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D95EB" w14:textId="43C761D7" w:rsidR="00366307" w:rsidRPr="00761B50" w:rsidRDefault="008C5209">
      <w:pPr>
        <w:pStyle w:val="Nzev"/>
        <w:rPr>
          <w:b/>
          <w:sz w:val="24"/>
        </w:rPr>
      </w:pPr>
      <w:r w:rsidRPr="008C5209">
        <w:rPr>
          <w:b/>
          <w:sz w:val="24"/>
        </w:rPr>
        <w:t>ROZDÍLOVÁ TABULKA NÁVRHU PŘEDPISU ČR S LEGISLATIVOU EU</w:t>
      </w:r>
    </w:p>
    <w:p w14:paraId="50494B49" w14:textId="70D362A9" w:rsidR="004725B3" w:rsidRPr="00761B50" w:rsidRDefault="00273EF1" w:rsidP="004725B3">
      <w:pPr>
        <w:overflowPunct/>
        <w:autoSpaceDE/>
        <w:autoSpaceDN/>
        <w:adjustRightInd/>
        <w:spacing w:before="120" w:after="120"/>
        <w:jc w:val="center"/>
        <w:textAlignment w:val="auto"/>
        <w:outlineLvl w:val="0"/>
        <w:rPr>
          <w:b/>
          <w:sz w:val="24"/>
          <w:szCs w:val="24"/>
        </w:rPr>
      </w:pPr>
      <w:r w:rsidRPr="00761B50">
        <w:rPr>
          <w:b/>
          <w:sz w:val="24"/>
          <w:szCs w:val="24"/>
        </w:rPr>
        <w:t>k návrhu zákona</w:t>
      </w:r>
      <w:r w:rsidR="006669A4" w:rsidRPr="00761B50">
        <w:t xml:space="preserve"> </w:t>
      </w:r>
      <w:r w:rsidR="006669A4" w:rsidRPr="00761B50">
        <w:rPr>
          <w:b/>
          <w:sz w:val="24"/>
          <w:szCs w:val="24"/>
        </w:rPr>
        <w:t>o konsolidaci veřejných rozpočtů</w:t>
      </w:r>
    </w:p>
    <w:p w14:paraId="7613680E" w14:textId="6DBF7678" w:rsidR="006669A4" w:rsidRPr="00761B50" w:rsidRDefault="006669A4" w:rsidP="006669A4">
      <w:pPr>
        <w:overflowPunct/>
        <w:autoSpaceDE/>
        <w:autoSpaceDN/>
        <w:adjustRightInd/>
        <w:spacing w:before="120" w:after="120"/>
        <w:textAlignment w:val="auto"/>
        <w:outlineLvl w:val="0"/>
        <w:rPr>
          <w:b/>
          <w:sz w:val="24"/>
          <w:szCs w:val="24"/>
        </w:rPr>
      </w:pPr>
      <w:r w:rsidRPr="00761B50">
        <w:rPr>
          <w:b/>
          <w:sz w:val="24"/>
          <w:szCs w:val="24"/>
        </w:rPr>
        <w:t>Zákon o dani z přidané hodnoty</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7"/>
        <w:gridCol w:w="4739"/>
        <w:gridCol w:w="1319"/>
        <w:gridCol w:w="1451"/>
        <w:gridCol w:w="5449"/>
      </w:tblGrid>
      <w:tr w:rsidR="00761B50" w:rsidRPr="00761B50" w14:paraId="6AA64623" w14:textId="77777777" w:rsidTr="00587190">
        <w:tc>
          <w:tcPr>
            <w:tcW w:w="5956" w:type="dxa"/>
            <w:gridSpan w:val="2"/>
            <w:vAlign w:val="center"/>
          </w:tcPr>
          <w:p w14:paraId="5953D0D9" w14:textId="77777777" w:rsidR="00506795" w:rsidRPr="00761B50" w:rsidRDefault="00506795" w:rsidP="00A14694">
            <w:pPr>
              <w:pStyle w:val="Textbubliny"/>
              <w:spacing w:before="60"/>
              <w:jc w:val="center"/>
              <w:rPr>
                <w:rFonts w:ascii="Times New Roman" w:hAnsi="Times New Roman" w:cs="Times New Roman"/>
                <w:b/>
                <w:bCs/>
                <w:sz w:val="20"/>
                <w:szCs w:val="20"/>
              </w:rPr>
            </w:pPr>
            <w:r w:rsidRPr="00761B50">
              <w:rPr>
                <w:rFonts w:ascii="Times New Roman" w:hAnsi="Times New Roman" w:cs="Times New Roman"/>
                <w:b/>
                <w:bCs/>
                <w:sz w:val="20"/>
                <w:szCs w:val="20"/>
              </w:rPr>
              <w:br w:type="page"/>
              <w:t>Navrhovaný právní předpis</w:t>
            </w:r>
          </w:p>
        </w:tc>
        <w:tc>
          <w:tcPr>
            <w:tcW w:w="8219" w:type="dxa"/>
            <w:gridSpan w:val="3"/>
            <w:vAlign w:val="center"/>
          </w:tcPr>
          <w:p w14:paraId="7F7FF350" w14:textId="77777777" w:rsidR="00506795" w:rsidRPr="00761B50" w:rsidRDefault="00506795" w:rsidP="00AF1FDC">
            <w:pPr>
              <w:pStyle w:val="Textbubliny"/>
              <w:spacing w:before="60"/>
              <w:jc w:val="center"/>
              <w:rPr>
                <w:rFonts w:ascii="Times New Roman" w:hAnsi="Times New Roman" w:cs="Times New Roman"/>
                <w:b/>
                <w:bCs/>
                <w:sz w:val="20"/>
                <w:szCs w:val="20"/>
              </w:rPr>
            </w:pPr>
            <w:r w:rsidRPr="00761B50">
              <w:rPr>
                <w:rFonts w:ascii="Times New Roman" w:hAnsi="Times New Roman" w:cs="Times New Roman"/>
                <w:b/>
                <w:bCs/>
                <w:sz w:val="20"/>
                <w:szCs w:val="20"/>
              </w:rPr>
              <w:t>Odpovídající předpis EU</w:t>
            </w:r>
          </w:p>
        </w:tc>
      </w:tr>
      <w:tr w:rsidR="00761B50" w:rsidRPr="00761B50" w14:paraId="59E1B6BF" w14:textId="77777777" w:rsidTr="00587190">
        <w:tc>
          <w:tcPr>
            <w:tcW w:w="1217" w:type="dxa"/>
            <w:vAlign w:val="center"/>
          </w:tcPr>
          <w:p w14:paraId="07DD9325" w14:textId="37F488D9" w:rsidR="004725B3" w:rsidRPr="00761B50" w:rsidRDefault="00506795" w:rsidP="00C3594F">
            <w:pPr>
              <w:spacing w:before="60"/>
              <w:jc w:val="center"/>
              <w:rPr>
                <w:b/>
                <w:bCs/>
              </w:rPr>
            </w:pPr>
            <w:r w:rsidRPr="00761B50">
              <w:rPr>
                <w:b/>
                <w:bCs/>
              </w:rPr>
              <w:t>Ustanovení</w:t>
            </w:r>
          </w:p>
        </w:tc>
        <w:tc>
          <w:tcPr>
            <w:tcW w:w="4739" w:type="dxa"/>
            <w:vAlign w:val="center"/>
          </w:tcPr>
          <w:p w14:paraId="5A62B188" w14:textId="77777777" w:rsidR="00506795" w:rsidRPr="00761B50" w:rsidRDefault="00506795" w:rsidP="00A14694">
            <w:pPr>
              <w:pStyle w:val="Pedmtkomente"/>
              <w:spacing w:before="60"/>
              <w:jc w:val="center"/>
            </w:pPr>
            <w:r w:rsidRPr="00761B50">
              <w:t>Obsah</w:t>
            </w:r>
          </w:p>
        </w:tc>
        <w:tc>
          <w:tcPr>
            <w:tcW w:w="1319" w:type="dxa"/>
            <w:vAlign w:val="center"/>
          </w:tcPr>
          <w:p w14:paraId="17418600" w14:textId="77777777" w:rsidR="00506795" w:rsidRPr="00761B50" w:rsidRDefault="00506795" w:rsidP="00A14694">
            <w:pPr>
              <w:spacing w:before="60"/>
              <w:jc w:val="center"/>
              <w:rPr>
                <w:b/>
                <w:bCs/>
              </w:rPr>
            </w:pPr>
            <w:r w:rsidRPr="00761B50">
              <w:rPr>
                <w:b/>
                <w:bCs/>
              </w:rPr>
              <w:t>CELEX č.</w:t>
            </w:r>
          </w:p>
        </w:tc>
        <w:tc>
          <w:tcPr>
            <w:tcW w:w="1451" w:type="dxa"/>
            <w:vAlign w:val="center"/>
          </w:tcPr>
          <w:p w14:paraId="47BE6E70" w14:textId="77777777" w:rsidR="00506795" w:rsidRPr="00761B50" w:rsidRDefault="00506795" w:rsidP="0020434C">
            <w:pPr>
              <w:spacing w:before="60"/>
            </w:pPr>
            <w:r w:rsidRPr="00761B50">
              <w:rPr>
                <w:b/>
                <w:bCs/>
              </w:rPr>
              <w:t>Ustanovení</w:t>
            </w:r>
          </w:p>
        </w:tc>
        <w:tc>
          <w:tcPr>
            <w:tcW w:w="5449" w:type="dxa"/>
            <w:vAlign w:val="center"/>
          </w:tcPr>
          <w:p w14:paraId="6F9FA09E" w14:textId="77777777" w:rsidR="00506795" w:rsidRPr="00761B50" w:rsidRDefault="00506795" w:rsidP="00515B1D">
            <w:pPr>
              <w:spacing w:before="60"/>
              <w:jc w:val="center"/>
            </w:pPr>
            <w:r w:rsidRPr="00761B50">
              <w:rPr>
                <w:b/>
                <w:bCs/>
              </w:rPr>
              <w:t>Obsah</w:t>
            </w:r>
          </w:p>
        </w:tc>
      </w:tr>
      <w:tr w:rsidR="00761B50" w:rsidRPr="00761B50" w14:paraId="6767EBAB" w14:textId="77777777" w:rsidTr="009B41D4">
        <w:tc>
          <w:tcPr>
            <w:tcW w:w="1217" w:type="dxa"/>
          </w:tcPr>
          <w:p w14:paraId="432CA636" w14:textId="5774B24F" w:rsidR="00506795" w:rsidRPr="00761B50" w:rsidRDefault="008D00A4" w:rsidP="008D00A4">
            <w:pPr>
              <w:spacing w:before="60"/>
              <w:jc w:val="both"/>
            </w:pPr>
            <w:r w:rsidRPr="00761B50">
              <w:t>§ 47 odst. 1</w:t>
            </w:r>
          </w:p>
        </w:tc>
        <w:tc>
          <w:tcPr>
            <w:tcW w:w="4739" w:type="dxa"/>
          </w:tcPr>
          <w:p w14:paraId="1D97BDFB" w14:textId="77777777" w:rsidR="008D00A4" w:rsidRPr="00761B50" w:rsidRDefault="008D00A4" w:rsidP="008D00A4">
            <w:pPr>
              <w:widowControl w:val="0"/>
              <w:tabs>
                <w:tab w:val="left" w:pos="3324"/>
              </w:tabs>
              <w:spacing w:before="120" w:after="120"/>
              <w:jc w:val="both"/>
              <w:rPr>
                <w:szCs w:val="24"/>
              </w:rPr>
            </w:pPr>
            <w:r w:rsidRPr="00761B50">
              <w:rPr>
                <w:szCs w:val="24"/>
              </w:rPr>
              <w:t>(1) U zdanitelného plnění nebo přijaté úplaty se uplatňuje</w:t>
            </w:r>
          </w:p>
          <w:p w14:paraId="616019CD" w14:textId="77777777" w:rsidR="008D00A4" w:rsidRPr="00761B50" w:rsidRDefault="008D00A4" w:rsidP="008D00A4">
            <w:pPr>
              <w:widowControl w:val="0"/>
              <w:ind w:left="284" w:hanging="284"/>
              <w:jc w:val="both"/>
              <w:rPr>
                <w:szCs w:val="24"/>
              </w:rPr>
            </w:pPr>
            <w:r w:rsidRPr="00761B50">
              <w:rPr>
                <w:szCs w:val="24"/>
              </w:rPr>
              <w:t>a)</w:t>
            </w:r>
            <w:r w:rsidRPr="00761B50">
              <w:rPr>
                <w:szCs w:val="24"/>
              </w:rPr>
              <w:tab/>
              <w:t xml:space="preserve">základní sazba daně ve výši 21 %, </w:t>
            </w:r>
            <w:r w:rsidRPr="00761B50">
              <w:rPr>
                <w:b/>
                <w:szCs w:val="24"/>
              </w:rPr>
              <w:t>nebo</w:t>
            </w:r>
          </w:p>
          <w:p w14:paraId="3ECAC296" w14:textId="77777777" w:rsidR="008D00A4" w:rsidRPr="00761B50" w:rsidRDefault="008D00A4" w:rsidP="008D00A4">
            <w:pPr>
              <w:widowControl w:val="0"/>
              <w:ind w:left="284" w:hanging="284"/>
              <w:jc w:val="both"/>
              <w:rPr>
                <w:szCs w:val="24"/>
              </w:rPr>
            </w:pPr>
            <w:r w:rsidRPr="00761B50">
              <w:rPr>
                <w:szCs w:val="24"/>
              </w:rPr>
              <w:t>b)</w:t>
            </w:r>
            <w:r w:rsidRPr="00761B50">
              <w:rPr>
                <w:szCs w:val="24"/>
              </w:rPr>
              <w:tab/>
            </w:r>
            <w:r w:rsidRPr="00761B50">
              <w:rPr>
                <w:strike/>
                <w:szCs w:val="24"/>
              </w:rPr>
              <w:t>první</w:t>
            </w:r>
            <w:r w:rsidRPr="00761B50">
              <w:rPr>
                <w:szCs w:val="24"/>
              </w:rPr>
              <w:t xml:space="preserve"> snížená sazba daně ve výši </w:t>
            </w:r>
            <w:r w:rsidRPr="00761B50">
              <w:rPr>
                <w:strike/>
                <w:szCs w:val="24"/>
              </w:rPr>
              <w:t xml:space="preserve">15 %, nebo </w:t>
            </w:r>
            <w:r w:rsidRPr="00761B50">
              <w:rPr>
                <w:b/>
                <w:szCs w:val="24"/>
              </w:rPr>
              <w:t>12 %.</w:t>
            </w:r>
          </w:p>
          <w:p w14:paraId="22F143E1" w14:textId="5D333691" w:rsidR="00506795" w:rsidRPr="00761B50" w:rsidRDefault="008D00A4" w:rsidP="008D00A4">
            <w:pPr>
              <w:spacing w:before="60"/>
              <w:jc w:val="both"/>
            </w:pPr>
            <w:r w:rsidRPr="00761B50">
              <w:rPr>
                <w:strike/>
                <w:szCs w:val="24"/>
              </w:rPr>
              <w:t>c) druhá snížená sazba daně ve výši 10 %.</w:t>
            </w:r>
          </w:p>
        </w:tc>
        <w:tc>
          <w:tcPr>
            <w:tcW w:w="1319" w:type="dxa"/>
            <w:shd w:val="clear" w:color="auto" w:fill="auto"/>
          </w:tcPr>
          <w:p w14:paraId="1CC5D58C" w14:textId="66A3A85B" w:rsidR="00506795" w:rsidRPr="00761B50" w:rsidRDefault="009B41D4" w:rsidP="00A14694">
            <w:pPr>
              <w:spacing w:before="60"/>
              <w:jc w:val="both"/>
            </w:pPr>
            <w:r w:rsidRPr="00761B50">
              <w:t>32022L0542</w:t>
            </w:r>
          </w:p>
        </w:tc>
        <w:tc>
          <w:tcPr>
            <w:tcW w:w="1451" w:type="dxa"/>
            <w:shd w:val="clear" w:color="auto" w:fill="auto"/>
          </w:tcPr>
          <w:p w14:paraId="3F25C3AE" w14:textId="77777777" w:rsidR="009B41D4" w:rsidRPr="00761B50" w:rsidRDefault="009B41D4" w:rsidP="009B41D4">
            <w:pPr>
              <w:spacing w:before="60"/>
            </w:pPr>
            <w:r w:rsidRPr="00761B50">
              <w:t xml:space="preserve">Článek 1 odst. 6 </w:t>
            </w:r>
          </w:p>
          <w:p w14:paraId="0A7C5CDA" w14:textId="26D0CA1F" w:rsidR="00506795" w:rsidRPr="00761B50" w:rsidRDefault="009B41D4" w:rsidP="009B41D4">
            <w:pPr>
              <w:spacing w:before="60"/>
            </w:pPr>
            <w:r w:rsidRPr="00761B50">
              <w:t>(čl. 98 odst. 1)</w:t>
            </w:r>
          </w:p>
        </w:tc>
        <w:tc>
          <w:tcPr>
            <w:tcW w:w="5449" w:type="dxa"/>
            <w:shd w:val="clear" w:color="auto" w:fill="auto"/>
          </w:tcPr>
          <w:p w14:paraId="20E40D7E" w14:textId="77777777" w:rsidR="009B41D4" w:rsidRPr="00761B50" w:rsidRDefault="009B41D4" w:rsidP="009B41D4">
            <w:pPr>
              <w:overflowPunct/>
              <w:spacing w:before="60"/>
              <w:jc w:val="center"/>
              <w:textAlignment w:val="auto"/>
            </w:pPr>
            <w:r w:rsidRPr="00761B50">
              <w:t>Článek 98</w:t>
            </w:r>
          </w:p>
          <w:p w14:paraId="67E65B6F" w14:textId="77777777" w:rsidR="009B41D4" w:rsidRPr="00761B50" w:rsidRDefault="009B41D4" w:rsidP="009B41D4">
            <w:pPr>
              <w:overflowPunct/>
              <w:spacing w:before="60"/>
              <w:jc w:val="both"/>
              <w:textAlignment w:val="auto"/>
            </w:pPr>
            <w:r w:rsidRPr="00761B50">
              <w:t>1. Členské státy mohou uplatňovat nanejvýš dvě snížené sazby.</w:t>
            </w:r>
          </w:p>
          <w:p w14:paraId="0B4EA82A" w14:textId="77777777" w:rsidR="009B41D4" w:rsidRPr="00761B50" w:rsidRDefault="009B41D4" w:rsidP="009B41D4">
            <w:pPr>
              <w:overflowPunct/>
              <w:spacing w:before="60"/>
              <w:jc w:val="both"/>
              <w:textAlignment w:val="auto"/>
            </w:pPr>
            <w:r w:rsidRPr="00761B50">
              <w:t>Tyto snížené sazby se stanoví jako procentní podíl ze základu daně, který nesmí být nižší než 5 %, a uplatňují se pouze u dodání zboží a poskytnutí služeb uvedených v příloze III.</w:t>
            </w:r>
          </w:p>
          <w:p w14:paraId="7176111E" w14:textId="639609E1" w:rsidR="00506795" w:rsidRPr="00761B50" w:rsidRDefault="009B41D4" w:rsidP="009B41D4">
            <w:pPr>
              <w:spacing w:before="60"/>
              <w:jc w:val="both"/>
            </w:pPr>
            <w:r w:rsidRPr="00761B50">
              <w:t>Členské státy mohou snížené sazby u dodání zboží a poskytnutí služeb uplatňovat nejvýše u 24 z bodů přílohy III.</w:t>
            </w:r>
          </w:p>
        </w:tc>
      </w:tr>
      <w:tr w:rsidR="00761B50" w:rsidRPr="00761B50" w14:paraId="1D26E2FB" w14:textId="77777777" w:rsidTr="009B41D4">
        <w:trPr>
          <w:trHeight w:val="1985"/>
        </w:trPr>
        <w:tc>
          <w:tcPr>
            <w:tcW w:w="1217" w:type="dxa"/>
            <w:vMerge w:val="restart"/>
          </w:tcPr>
          <w:p w14:paraId="18C8FDAD" w14:textId="32E958E4" w:rsidR="007E6316" w:rsidRPr="00761B50" w:rsidRDefault="007E6316" w:rsidP="009B41D4">
            <w:pPr>
              <w:spacing w:before="60"/>
            </w:pPr>
            <w:r w:rsidRPr="00761B50">
              <w:t>§ 47 odst. 3</w:t>
            </w:r>
          </w:p>
        </w:tc>
        <w:tc>
          <w:tcPr>
            <w:tcW w:w="4739" w:type="dxa"/>
            <w:vMerge w:val="restart"/>
          </w:tcPr>
          <w:p w14:paraId="54053272" w14:textId="37FEF86A" w:rsidR="007E6316" w:rsidRPr="00761B50" w:rsidRDefault="007E6316" w:rsidP="009B41D4">
            <w:pPr>
              <w:spacing w:before="60"/>
              <w:jc w:val="both"/>
              <w:rPr>
                <w:b/>
              </w:rPr>
            </w:pPr>
            <w:r w:rsidRPr="00761B50">
              <w:rPr>
                <w:szCs w:val="24"/>
              </w:rPr>
              <w:t>(3) U zboží se uplatňuje základní sazba daně, pokud zákon nestanoví jinak. U zboží uvedeného v příloze č. 3</w:t>
            </w:r>
            <w:r w:rsidRPr="00761B50">
              <w:rPr>
                <w:b/>
                <w:szCs w:val="24"/>
              </w:rPr>
              <w:t>, tepla a chladu</w:t>
            </w:r>
            <w:r w:rsidRPr="00761B50">
              <w:rPr>
                <w:szCs w:val="24"/>
              </w:rPr>
              <w:t xml:space="preserve"> se uplatňuje </w:t>
            </w:r>
            <w:r w:rsidRPr="00761B50">
              <w:rPr>
                <w:strike/>
                <w:szCs w:val="24"/>
              </w:rPr>
              <w:t>první</w:t>
            </w:r>
            <w:r w:rsidRPr="00761B50">
              <w:rPr>
                <w:szCs w:val="24"/>
              </w:rPr>
              <w:t xml:space="preserve"> snížená sazba daně. </w:t>
            </w:r>
            <w:r w:rsidRPr="00761B50">
              <w:rPr>
                <w:strike/>
                <w:szCs w:val="24"/>
              </w:rPr>
              <w:t>U zboží uvedeného v příloze č. 3a, tepla a chladu se uplatňuje druhá snížená sazba daně.</w:t>
            </w:r>
          </w:p>
        </w:tc>
        <w:tc>
          <w:tcPr>
            <w:tcW w:w="1319" w:type="dxa"/>
            <w:vMerge w:val="restart"/>
            <w:shd w:val="clear" w:color="auto" w:fill="auto"/>
          </w:tcPr>
          <w:p w14:paraId="666D2BD5" w14:textId="1A596091" w:rsidR="007E6316" w:rsidRPr="00761B50" w:rsidRDefault="007E6316" w:rsidP="009B41D4">
            <w:pPr>
              <w:spacing w:before="60"/>
              <w:jc w:val="both"/>
            </w:pPr>
            <w:r w:rsidRPr="00761B50">
              <w:t>32022L0542</w:t>
            </w:r>
          </w:p>
        </w:tc>
        <w:tc>
          <w:tcPr>
            <w:tcW w:w="1451" w:type="dxa"/>
            <w:shd w:val="clear" w:color="auto" w:fill="auto"/>
          </w:tcPr>
          <w:p w14:paraId="60BC9B57" w14:textId="77777777" w:rsidR="007E6316" w:rsidRPr="00761B50" w:rsidRDefault="007E6316" w:rsidP="009B41D4">
            <w:pPr>
              <w:spacing w:before="60"/>
            </w:pPr>
            <w:r w:rsidRPr="00761B50">
              <w:t xml:space="preserve">Článek 1 odst. 6 </w:t>
            </w:r>
          </w:p>
          <w:p w14:paraId="05378437" w14:textId="3EA04447" w:rsidR="007E6316" w:rsidRPr="00761B50" w:rsidRDefault="007E6316" w:rsidP="009B41D4">
            <w:pPr>
              <w:spacing w:before="60"/>
            </w:pPr>
            <w:r w:rsidRPr="00761B50">
              <w:t>(čl. 98 odst. 1)</w:t>
            </w:r>
          </w:p>
        </w:tc>
        <w:tc>
          <w:tcPr>
            <w:tcW w:w="5449" w:type="dxa"/>
            <w:shd w:val="clear" w:color="auto" w:fill="auto"/>
          </w:tcPr>
          <w:p w14:paraId="295EC45C" w14:textId="77777777" w:rsidR="007E6316" w:rsidRPr="00761B50" w:rsidRDefault="007E6316" w:rsidP="009B41D4">
            <w:pPr>
              <w:overflowPunct/>
              <w:spacing w:before="60"/>
              <w:jc w:val="center"/>
              <w:textAlignment w:val="auto"/>
            </w:pPr>
            <w:r w:rsidRPr="00761B50">
              <w:t>Článek 98</w:t>
            </w:r>
          </w:p>
          <w:p w14:paraId="339FD816" w14:textId="77777777" w:rsidR="007E6316" w:rsidRPr="00761B50" w:rsidRDefault="007E6316" w:rsidP="009B41D4">
            <w:pPr>
              <w:overflowPunct/>
              <w:spacing w:before="60"/>
              <w:jc w:val="both"/>
              <w:textAlignment w:val="auto"/>
            </w:pPr>
            <w:r w:rsidRPr="00761B50">
              <w:t>1. Členské státy mohou uplatňovat nanejvýš dvě snížené sazby.</w:t>
            </w:r>
          </w:p>
          <w:p w14:paraId="16319598" w14:textId="77777777" w:rsidR="007E6316" w:rsidRPr="00761B50" w:rsidRDefault="007E6316" w:rsidP="009B41D4">
            <w:pPr>
              <w:overflowPunct/>
              <w:spacing w:before="60"/>
              <w:jc w:val="both"/>
              <w:textAlignment w:val="auto"/>
            </w:pPr>
            <w:r w:rsidRPr="00761B50">
              <w:t>Tyto snížené sazby se stanoví jako procentní podíl ze základu daně, který nesmí být nižší než 5 %, a uplatňují se pouze u dodání zboží a poskytnutí služeb uvedených v příloze III.</w:t>
            </w:r>
          </w:p>
          <w:p w14:paraId="70FFB746" w14:textId="07449448" w:rsidR="007E6316" w:rsidRPr="00761B50" w:rsidRDefault="007E6316" w:rsidP="009B41D4">
            <w:pPr>
              <w:overflowPunct/>
              <w:spacing w:before="60"/>
              <w:jc w:val="both"/>
              <w:textAlignment w:val="auto"/>
            </w:pPr>
            <w:r w:rsidRPr="00761B50">
              <w:t>Členské státy mohou snížené sazby u dodání zboží a poskytnutí služeb uplatňovat nejvýše u 24 z bodů přílohy III.</w:t>
            </w:r>
          </w:p>
        </w:tc>
      </w:tr>
      <w:tr w:rsidR="00761B50" w:rsidRPr="00761B50" w14:paraId="51102E00" w14:textId="77777777" w:rsidTr="009B41D4">
        <w:trPr>
          <w:trHeight w:val="1985"/>
        </w:trPr>
        <w:tc>
          <w:tcPr>
            <w:tcW w:w="1217" w:type="dxa"/>
            <w:vMerge/>
          </w:tcPr>
          <w:p w14:paraId="392D2752" w14:textId="77777777" w:rsidR="007E6316" w:rsidRPr="00761B50" w:rsidRDefault="007E6316" w:rsidP="009B41D4">
            <w:pPr>
              <w:spacing w:before="60"/>
            </w:pPr>
          </w:p>
        </w:tc>
        <w:tc>
          <w:tcPr>
            <w:tcW w:w="4739" w:type="dxa"/>
            <w:vMerge/>
          </w:tcPr>
          <w:p w14:paraId="144A38E7" w14:textId="77777777" w:rsidR="007E6316" w:rsidRPr="00761B50" w:rsidRDefault="007E6316" w:rsidP="009B41D4">
            <w:pPr>
              <w:spacing w:before="60"/>
              <w:jc w:val="both"/>
              <w:rPr>
                <w:szCs w:val="24"/>
              </w:rPr>
            </w:pPr>
          </w:p>
        </w:tc>
        <w:tc>
          <w:tcPr>
            <w:tcW w:w="1319" w:type="dxa"/>
            <w:vMerge/>
            <w:shd w:val="clear" w:color="auto" w:fill="auto"/>
          </w:tcPr>
          <w:p w14:paraId="7E75ADA9" w14:textId="2EA0D51C" w:rsidR="007E6316" w:rsidRPr="00761B50" w:rsidRDefault="007E6316" w:rsidP="009B41D4">
            <w:pPr>
              <w:spacing w:before="60"/>
              <w:jc w:val="both"/>
            </w:pPr>
          </w:p>
        </w:tc>
        <w:tc>
          <w:tcPr>
            <w:tcW w:w="1451" w:type="dxa"/>
            <w:shd w:val="clear" w:color="auto" w:fill="auto"/>
          </w:tcPr>
          <w:p w14:paraId="63F5ACAC" w14:textId="77777777" w:rsidR="007E6316" w:rsidRPr="00761B50" w:rsidRDefault="007E6316" w:rsidP="009B41D4">
            <w:pPr>
              <w:rPr>
                <w:sz w:val="18"/>
                <w:szCs w:val="18"/>
              </w:rPr>
            </w:pPr>
            <w:r w:rsidRPr="00761B50">
              <w:rPr>
                <w:sz w:val="18"/>
                <w:szCs w:val="18"/>
              </w:rPr>
              <w:t>Příloha bod 11</w:t>
            </w:r>
          </w:p>
          <w:p w14:paraId="039431FF" w14:textId="7657A310" w:rsidR="007E6316" w:rsidRPr="00761B50" w:rsidRDefault="007E6316" w:rsidP="00937AE4">
            <w:pPr>
              <w:spacing w:before="60"/>
            </w:pPr>
            <w:r w:rsidRPr="00761B50">
              <w:rPr>
                <w:sz w:val="18"/>
                <w:szCs w:val="18"/>
              </w:rPr>
              <w:t>(příloha III, bod 22)</w:t>
            </w:r>
          </w:p>
        </w:tc>
        <w:tc>
          <w:tcPr>
            <w:tcW w:w="5449" w:type="dxa"/>
            <w:shd w:val="clear" w:color="auto" w:fill="auto"/>
          </w:tcPr>
          <w:p w14:paraId="674EB204" w14:textId="446A6166" w:rsidR="007E6316" w:rsidRPr="00761B50" w:rsidRDefault="007E6316" w:rsidP="00937AE4">
            <w:pPr>
              <w:overflowPunct/>
              <w:spacing w:before="60"/>
              <w:jc w:val="both"/>
              <w:textAlignment w:val="auto"/>
            </w:pPr>
            <w:r w:rsidRPr="00761B50">
              <w:rPr>
                <w:szCs w:val="18"/>
              </w:rPr>
              <w:t>22) dodání elektřiny, dálkového vytápění a dálkového chlazení a bioplynu vyrobeného ze surovin uvedených v příloze IX části A směrnice Evropského parlamentu a Rady 2018/2001; dodání a instalace vysoce účinných systémů vytápění s nízkými emisemi, které splňují referenční hodnoty emisí (částic) stanovené v příloze V nařízení Komise (EU) 2015/1189 a v příloze V nařízení Komise (EU) 2015/1185 a které obdržely energetický štítek EU prokazující splnění kritéria uvedeného v čl. 7 odst. 2 nařízení Evropského parlamentu a Rady (EU) 2017/1369, a do 1. ledna 2030 dodání zemního plynu a palivového dřeva;</w:t>
            </w:r>
          </w:p>
        </w:tc>
      </w:tr>
      <w:tr w:rsidR="00761B50" w:rsidRPr="00761B50" w14:paraId="44800A5C" w14:textId="77777777" w:rsidTr="00937AE4">
        <w:trPr>
          <w:trHeight w:val="2047"/>
        </w:trPr>
        <w:tc>
          <w:tcPr>
            <w:tcW w:w="1217" w:type="dxa"/>
          </w:tcPr>
          <w:p w14:paraId="3B59751D" w14:textId="34CBEDCF" w:rsidR="009B41D4" w:rsidRPr="00761B50" w:rsidRDefault="009B41D4" w:rsidP="009B41D4">
            <w:pPr>
              <w:spacing w:before="60"/>
            </w:pPr>
            <w:r w:rsidRPr="00761B50">
              <w:lastRenderedPageBreak/>
              <w:t>§ 47 odst. 4</w:t>
            </w:r>
          </w:p>
        </w:tc>
        <w:tc>
          <w:tcPr>
            <w:tcW w:w="4739" w:type="dxa"/>
          </w:tcPr>
          <w:p w14:paraId="71EEA4D6" w14:textId="7599602A" w:rsidR="009B41D4" w:rsidRPr="00761B50" w:rsidRDefault="009B41D4" w:rsidP="009B41D4">
            <w:pPr>
              <w:widowControl w:val="0"/>
              <w:tabs>
                <w:tab w:val="left" w:pos="3324"/>
              </w:tabs>
              <w:spacing w:before="120" w:after="120"/>
              <w:jc w:val="both"/>
              <w:rPr>
                <w:strike/>
                <w:sz w:val="24"/>
                <w:szCs w:val="24"/>
              </w:rPr>
            </w:pPr>
            <w:r w:rsidRPr="00761B50">
              <w:rPr>
                <w:szCs w:val="24"/>
              </w:rPr>
              <w:t xml:space="preserve">(4) U služeb se uplatňuje základní sazba daně, pokud zákon nestanoví jinak. U služeb uvedených v příloze č. 2 se uplatňuje </w:t>
            </w:r>
            <w:r w:rsidRPr="00761B50">
              <w:rPr>
                <w:strike/>
                <w:szCs w:val="24"/>
              </w:rPr>
              <w:t>první</w:t>
            </w:r>
            <w:r w:rsidRPr="00761B50">
              <w:rPr>
                <w:szCs w:val="24"/>
              </w:rPr>
              <w:t xml:space="preserve"> snížená sazba daně. </w:t>
            </w:r>
            <w:r w:rsidRPr="00761B50">
              <w:rPr>
                <w:strike/>
                <w:szCs w:val="24"/>
              </w:rPr>
              <w:t>U služeb uvedených v příloze č. 2a se uplatňuje druhá snížená sazba daně.</w:t>
            </w:r>
          </w:p>
        </w:tc>
        <w:tc>
          <w:tcPr>
            <w:tcW w:w="1319" w:type="dxa"/>
            <w:shd w:val="clear" w:color="auto" w:fill="auto"/>
          </w:tcPr>
          <w:p w14:paraId="6B3694A2" w14:textId="30384275" w:rsidR="009B41D4" w:rsidRPr="00761B50" w:rsidRDefault="009B41D4" w:rsidP="009B41D4">
            <w:pPr>
              <w:spacing w:before="60"/>
              <w:jc w:val="both"/>
            </w:pPr>
            <w:r w:rsidRPr="00761B50">
              <w:t>32022L0542</w:t>
            </w:r>
          </w:p>
        </w:tc>
        <w:tc>
          <w:tcPr>
            <w:tcW w:w="1451" w:type="dxa"/>
            <w:shd w:val="clear" w:color="auto" w:fill="auto"/>
          </w:tcPr>
          <w:p w14:paraId="190E7F3B" w14:textId="77777777" w:rsidR="009B41D4" w:rsidRPr="00761B50" w:rsidRDefault="009B41D4" w:rsidP="009B41D4">
            <w:pPr>
              <w:spacing w:before="60"/>
            </w:pPr>
            <w:r w:rsidRPr="00761B50">
              <w:t xml:space="preserve">Článek 1 odst. 6 </w:t>
            </w:r>
          </w:p>
          <w:p w14:paraId="27F10476" w14:textId="5C33C4FC" w:rsidR="009B41D4" w:rsidRPr="00761B50" w:rsidRDefault="009B41D4" w:rsidP="009B41D4">
            <w:pPr>
              <w:spacing w:before="60"/>
            </w:pPr>
            <w:r w:rsidRPr="00761B50">
              <w:t>(čl. 98 odst. 1)</w:t>
            </w:r>
          </w:p>
        </w:tc>
        <w:tc>
          <w:tcPr>
            <w:tcW w:w="5449" w:type="dxa"/>
            <w:shd w:val="clear" w:color="auto" w:fill="auto"/>
          </w:tcPr>
          <w:p w14:paraId="5C5B8423" w14:textId="77777777" w:rsidR="009B41D4" w:rsidRPr="00761B50" w:rsidRDefault="009B41D4" w:rsidP="009B41D4">
            <w:pPr>
              <w:overflowPunct/>
              <w:spacing w:before="60"/>
              <w:jc w:val="center"/>
              <w:textAlignment w:val="auto"/>
            </w:pPr>
            <w:r w:rsidRPr="00761B50">
              <w:t>Článek 98</w:t>
            </w:r>
          </w:p>
          <w:p w14:paraId="3DE9279A" w14:textId="77777777" w:rsidR="009B41D4" w:rsidRPr="00761B50" w:rsidRDefault="009B41D4" w:rsidP="009B41D4">
            <w:pPr>
              <w:overflowPunct/>
              <w:spacing w:before="60"/>
              <w:jc w:val="both"/>
              <w:textAlignment w:val="auto"/>
            </w:pPr>
            <w:r w:rsidRPr="00761B50">
              <w:t>1. Členské státy mohou uplatňovat nanejvýš dvě snížené sazby.</w:t>
            </w:r>
          </w:p>
          <w:p w14:paraId="34A12692" w14:textId="77777777" w:rsidR="009B41D4" w:rsidRPr="00761B50" w:rsidRDefault="009B41D4" w:rsidP="009B41D4">
            <w:pPr>
              <w:overflowPunct/>
              <w:spacing w:before="60"/>
              <w:jc w:val="both"/>
              <w:textAlignment w:val="auto"/>
            </w:pPr>
            <w:r w:rsidRPr="00761B50">
              <w:t xml:space="preserve">Tyto snížené sazby se stanoví jako procentní podíl ze základu daně, který nesmí být nižší než 5 %, a uplatňují se pouze u dodání zboží a poskytnutí </w:t>
            </w:r>
            <w:bookmarkStart w:id="0" w:name="_GoBack"/>
            <w:bookmarkEnd w:id="0"/>
            <w:r w:rsidRPr="00761B50">
              <w:t>služeb uvedených v příloze III.</w:t>
            </w:r>
          </w:p>
          <w:p w14:paraId="6444F536" w14:textId="255190E6" w:rsidR="009B41D4" w:rsidRPr="00761B50" w:rsidRDefault="009B41D4" w:rsidP="009B41D4">
            <w:pPr>
              <w:overflowPunct/>
              <w:spacing w:before="60"/>
              <w:jc w:val="both"/>
              <w:textAlignment w:val="auto"/>
            </w:pPr>
            <w:r w:rsidRPr="00761B50">
              <w:t>Členské státy mohou snížené sazby u dodání zboží a poskytnutí služeb uplatňovat nejvýše u 24 z bodů přílohy III.</w:t>
            </w:r>
          </w:p>
        </w:tc>
      </w:tr>
      <w:tr w:rsidR="00761B50" w:rsidRPr="00761B50" w14:paraId="56C4177F" w14:textId="77777777" w:rsidTr="00D60B68">
        <w:trPr>
          <w:trHeight w:val="1548"/>
        </w:trPr>
        <w:tc>
          <w:tcPr>
            <w:tcW w:w="1217" w:type="dxa"/>
            <w:vMerge w:val="restart"/>
          </w:tcPr>
          <w:p w14:paraId="21AB86B3" w14:textId="71632549" w:rsidR="00D60B68" w:rsidRPr="00761B50" w:rsidRDefault="00D60B68" w:rsidP="00D60B68">
            <w:pPr>
              <w:spacing w:before="60"/>
            </w:pPr>
            <w:r w:rsidRPr="00761B50">
              <w:t>§ 47 odst. 6</w:t>
            </w:r>
          </w:p>
        </w:tc>
        <w:tc>
          <w:tcPr>
            <w:tcW w:w="4739" w:type="dxa"/>
            <w:vMerge w:val="restart"/>
          </w:tcPr>
          <w:p w14:paraId="4C5B3C85" w14:textId="633ACEBD" w:rsidR="00D60B68" w:rsidRPr="00761B50" w:rsidRDefault="00D60B68" w:rsidP="00D60B68">
            <w:pPr>
              <w:widowControl w:val="0"/>
              <w:tabs>
                <w:tab w:val="left" w:pos="3324"/>
              </w:tabs>
              <w:spacing w:before="120" w:after="120"/>
              <w:jc w:val="both"/>
              <w:rPr>
                <w:sz w:val="24"/>
                <w:szCs w:val="24"/>
              </w:rPr>
            </w:pPr>
            <w:r w:rsidRPr="00761B50">
              <w:rPr>
                <w:szCs w:val="24"/>
              </w:rPr>
              <w:t xml:space="preserve">(6) U elektronicky poskytovaných služeb spočívajících v poskytnutí </w:t>
            </w:r>
            <w:r w:rsidRPr="00761B50">
              <w:rPr>
                <w:strike/>
                <w:szCs w:val="24"/>
              </w:rPr>
              <w:t>knih, brožur, letáků, prospektů,</w:t>
            </w:r>
            <w:r w:rsidRPr="00761B50">
              <w:rPr>
                <w:szCs w:val="24"/>
              </w:rPr>
              <w:t xml:space="preserve"> novin, časopisů, periodik, </w:t>
            </w:r>
            <w:r w:rsidRPr="00761B50">
              <w:rPr>
                <w:strike/>
                <w:szCs w:val="24"/>
              </w:rPr>
              <w:t>obrázkových knih, předloh ke kreslení, omalovánek</w:t>
            </w:r>
            <w:r w:rsidRPr="00761B50">
              <w:rPr>
                <w:szCs w:val="24"/>
              </w:rPr>
              <w:t xml:space="preserve">, hudebnin a kartografických výrobků, které by byly zbožím, na jehož dodání se uplatňuje </w:t>
            </w:r>
            <w:r w:rsidRPr="00761B50">
              <w:rPr>
                <w:strike/>
                <w:szCs w:val="24"/>
              </w:rPr>
              <w:t>druhá</w:t>
            </w:r>
            <w:r w:rsidRPr="00761B50">
              <w:rPr>
                <w:szCs w:val="24"/>
              </w:rPr>
              <w:t xml:space="preserve"> snížená sazba daně, pokud by byly obsaženy na hmotném nosiči, včetně jejich zpřístupnění v rámci veřejných knihovnických a informačních nebo dalších služeb poskytovaných podle knihovního zákona nebo obdobných služeb poskytovaných podle jiného právního předpisu, se uplatní </w:t>
            </w:r>
            <w:r w:rsidRPr="00761B50">
              <w:rPr>
                <w:strike/>
                <w:szCs w:val="24"/>
              </w:rPr>
              <w:t>druhá</w:t>
            </w:r>
            <w:r w:rsidRPr="00761B50">
              <w:rPr>
                <w:szCs w:val="24"/>
              </w:rPr>
              <w:t xml:space="preserve"> snížená sazba daně.</w:t>
            </w:r>
          </w:p>
        </w:tc>
        <w:tc>
          <w:tcPr>
            <w:tcW w:w="1319" w:type="dxa"/>
            <w:shd w:val="clear" w:color="auto" w:fill="auto"/>
          </w:tcPr>
          <w:p w14:paraId="632D9CB2" w14:textId="3C9C051B" w:rsidR="00D60B68" w:rsidRPr="00761B50" w:rsidRDefault="00D60B68" w:rsidP="00D60B68">
            <w:pPr>
              <w:spacing w:before="60"/>
              <w:jc w:val="both"/>
            </w:pPr>
            <w:r w:rsidRPr="00761B50">
              <w:t>32018L1713</w:t>
            </w:r>
          </w:p>
        </w:tc>
        <w:tc>
          <w:tcPr>
            <w:tcW w:w="1451" w:type="dxa"/>
            <w:shd w:val="clear" w:color="auto" w:fill="auto"/>
          </w:tcPr>
          <w:p w14:paraId="67E14575" w14:textId="487CB719" w:rsidR="00D60B68" w:rsidRPr="00761B50" w:rsidRDefault="00D60B68" w:rsidP="00D60B68">
            <w:pPr>
              <w:spacing w:before="60"/>
            </w:pPr>
            <w:r w:rsidRPr="00761B50">
              <w:t>Článek 1</w:t>
            </w:r>
            <w:r w:rsidRPr="00761B50">
              <w:br/>
              <w:t>odst. 1</w:t>
            </w:r>
            <w:r w:rsidRPr="00761B50">
              <w:br/>
              <w:t>(čl. 98 odst. 2)</w:t>
            </w:r>
          </w:p>
        </w:tc>
        <w:tc>
          <w:tcPr>
            <w:tcW w:w="5449" w:type="dxa"/>
            <w:shd w:val="clear" w:color="auto" w:fill="auto"/>
          </w:tcPr>
          <w:p w14:paraId="73890F33" w14:textId="77777777" w:rsidR="00D60B68" w:rsidRPr="00761B50" w:rsidRDefault="00D60B68" w:rsidP="00D60B68">
            <w:pPr>
              <w:spacing w:before="60" w:after="60"/>
              <w:jc w:val="both"/>
            </w:pPr>
            <w:r w:rsidRPr="00761B50">
              <w:t xml:space="preserve">Snížené sazby se neuplatňují u elektronicky poskytovaných služeb </w:t>
            </w:r>
          </w:p>
          <w:p w14:paraId="48328FD1" w14:textId="6C18FE8D" w:rsidR="00D60B68" w:rsidRPr="00761B50" w:rsidRDefault="00D60B68" w:rsidP="00D60B68">
            <w:pPr>
              <w:overflowPunct/>
              <w:spacing w:before="60"/>
              <w:jc w:val="both"/>
              <w:textAlignment w:val="auto"/>
            </w:pPr>
            <w:r w:rsidRPr="00761B50">
              <w:t>s výjimkou těch, na něž se vztahuje bod 6 přílohy III.</w:t>
            </w:r>
          </w:p>
        </w:tc>
      </w:tr>
      <w:tr w:rsidR="00761B50" w:rsidRPr="00761B50" w14:paraId="01117C37" w14:textId="77777777" w:rsidTr="00D60B68">
        <w:trPr>
          <w:trHeight w:val="1548"/>
        </w:trPr>
        <w:tc>
          <w:tcPr>
            <w:tcW w:w="1217" w:type="dxa"/>
            <w:vMerge/>
          </w:tcPr>
          <w:p w14:paraId="593DF66A" w14:textId="77777777" w:rsidR="00D60B68" w:rsidRPr="00761B50" w:rsidRDefault="00D60B68" w:rsidP="00D60B68">
            <w:pPr>
              <w:spacing w:before="60"/>
            </w:pPr>
          </w:p>
        </w:tc>
        <w:tc>
          <w:tcPr>
            <w:tcW w:w="4739" w:type="dxa"/>
            <w:vMerge/>
          </w:tcPr>
          <w:p w14:paraId="39232271" w14:textId="77777777" w:rsidR="00D60B68" w:rsidRPr="00761B50" w:rsidRDefault="00D60B68" w:rsidP="00D60B68">
            <w:pPr>
              <w:widowControl w:val="0"/>
              <w:tabs>
                <w:tab w:val="left" w:pos="3324"/>
              </w:tabs>
              <w:spacing w:before="120" w:after="120"/>
              <w:jc w:val="both"/>
              <w:rPr>
                <w:szCs w:val="24"/>
              </w:rPr>
            </w:pPr>
          </w:p>
        </w:tc>
        <w:tc>
          <w:tcPr>
            <w:tcW w:w="1319" w:type="dxa"/>
            <w:shd w:val="clear" w:color="auto" w:fill="auto"/>
          </w:tcPr>
          <w:p w14:paraId="66A860A6" w14:textId="06CE6467" w:rsidR="00D60B68" w:rsidRPr="00761B50" w:rsidRDefault="00D60B68" w:rsidP="00D60B68">
            <w:pPr>
              <w:jc w:val="center"/>
            </w:pPr>
            <w:r w:rsidRPr="00761B50">
              <w:t>32022L0542</w:t>
            </w:r>
          </w:p>
        </w:tc>
        <w:tc>
          <w:tcPr>
            <w:tcW w:w="1451" w:type="dxa"/>
            <w:shd w:val="clear" w:color="auto" w:fill="auto"/>
          </w:tcPr>
          <w:p w14:paraId="36EE7F10" w14:textId="77777777" w:rsidR="00D60B68" w:rsidRPr="00761B50" w:rsidRDefault="00D60B68" w:rsidP="00D60B68">
            <w:pPr>
              <w:spacing w:before="60"/>
              <w:rPr>
                <w:rFonts w:eastAsiaTheme="minorHAnsi"/>
              </w:rPr>
            </w:pPr>
            <w:r w:rsidRPr="00761B50">
              <w:rPr>
                <w:rFonts w:eastAsiaTheme="minorHAnsi"/>
              </w:rPr>
              <w:t>Příloha bod 1</w:t>
            </w:r>
          </w:p>
          <w:p w14:paraId="07F39DF3" w14:textId="768D52C4" w:rsidR="00D60B68" w:rsidRPr="00761B50" w:rsidRDefault="00D60B68" w:rsidP="00D60B68">
            <w:pPr>
              <w:spacing w:before="60"/>
            </w:pPr>
            <w:r w:rsidRPr="00761B50">
              <w:rPr>
                <w:rFonts w:eastAsiaTheme="minorHAnsi"/>
              </w:rPr>
              <w:t>(příloha III, body 5, 6, 7)</w:t>
            </w:r>
          </w:p>
        </w:tc>
        <w:tc>
          <w:tcPr>
            <w:tcW w:w="5449" w:type="dxa"/>
            <w:shd w:val="clear" w:color="auto" w:fill="auto"/>
          </w:tcPr>
          <w:p w14:paraId="27FF1D3D" w14:textId="5ED7E3CD" w:rsidR="00D60B68" w:rsidRPr="00761B50" w:rsidRDefault="00D60B68" w:rsidP="00D60B68">
            <w:pPr>
              <w:spacing w:before="60" w:after="60"/>
              <w:jc w:val="both"/>
              <w:rPr>
                <w:szCs w:val="24"/>
              </w:rPr>
            </w:pPr>
            <w:r w:rsidRPr="00761B50">
              <w:rPr>
                <w:szCs w:val="24"/>
              </w:rPr>
              <w:t>6) dodání knih, novin a časopisů (včetně brožur, letáků a obdobných tiskovin, dětských obrázkových knížek, náčrtníků či omalovánek, hudebních partitur tištěných či psaných, zeměpisných, vodopisných nebo obdobných map) buď na fyzickém nosiči, nebo elektronicky, nebo oběma způsoby, a to včetně dodání na výpůjčku knihovnami, nejedná-li se o publikace výlučně nebo převážně určené k propagaci ani o publikace výlučně nebo převážně sestávající ze zvukového hudebního nebo video obsahu; výroba publikací neziskových organizací a služby související s touto výrobou;</w:t>
            </w:r>
          </w:p>
        </w:tc>
      </w:tr>
      <w:tr w:rsidR="00761B50" w:rsidRPr="00761B50" w14:paraId="6843AD05" w14:textId="77777777" w:rsidTr="008B1119">
        <w:trPr>
          <w:trHeight w:val="1548"/>
        </w:trPr>
        <w:tc>
          <w:tcPr>
            <w:tcW w:w="1217" w:type="dxa"/>
          </w:tcPr>
          <w:p w14:paraId="14332ADF" w14:textId="5C55596E" w:rsidR="00D60B68" w:rsidRPr="00761B50" w:rsidRDefault="00D60B68" w:rsidP="00D60B68">
            <w:pPr>
              <w:spacing w:before="60"/>
            </w:pPr>
            <w:r w:rsidRPr="00761B50">
              <w:t>§ 47 odst. 7</w:t>
            </w:r>
          </w:p>
        </w:tc>
        <w:tc>
          <w:tcPr>
            <w:tcW w:w="4739" w:type="dxa"/>
          </w:tcPr>
          <w:p w14:paraId="0A0061C4" w14:textId="4B39DE35" w:rsidR="00D60B68" w:rsidRPr="00761B50" w:rsidRDefault="00D60B68" w:rsidP="00D60B68">
            <w:pPr>
              <w:widowControl w:val="0"/>
              <w:tabs>
                <w:tab w:val="left" w:pos="3324"/>
              </w:tabs>
              <w:spacing w:before="120" w:after="120"/>
              <w:jc w:val="both"/>
              <w:rPr>
                <w:sz w:val="24"/>
                <w:szCs w:val="24"/>
              </w:rPr>
            </w:pPr>
            <w:r w:rsidRPr="00761B50">
              <w:rPr>
                <w:szCs w:val="24"/>
              </w:rPr>
              <w:t xml:space="preserve">(7) Při dodání zboží nebo pořízení zboží z jiného členského státu, která obsahují druhy zboží podléhající různým sazbám daně, se uplatní </w:t>
            </w:r>
            <w:r w:rsidRPr="00761B50">
              <w:rPr>
                <w:strike/>
                <w:szCs w:val="24"/>
              </w:rPr>
              <w:t>nejvyšší z těchto sazeb</w:t>
            </w:r>
            <w:r w:rsidRPr="00761B50">
              <w:rPr>
                <w:szCs w:val="24"/>
              </w:rPr>
              <w:t xml:space="preserve"> </w:t>
            </w:r>
            <w:r w:rsidRPr="00761B50">
              <w:rPr>
                <w:b/>
                <w:szCs w:val="24"/>
              </w:rPr>
              <w:t>základní sazba daně</w:t>
            </w:r>
            <w:r w:rsidRPr="00761B50">
              <w:rPr>
                <w:szCs w:val="24"/>
              </w:rPr>
              <w:t>, čímž není dotčena možnost uplatnit u každého druhu zboží příslušnou sazbu daně samostatně.</w:t>
            </w:r>
          </w:p>
        </w:tc>
        <w:tc>
          <w:tcPr>
            <w:tcW w:w="1319" w:type="dxa"/>
            <w:shd w:val="clear" w:color="auto" w:fill="auto"/>
          </w:tcPr>
          <w:p w14:paraId="4BB34AE2" w14:textId="460363D5" w:rsidR="00D60B68" w:rsidRPr="00761B50" w:rsidRDefault="00D60B68" w:rsidP="00D60B68">
            <w:pPr>
              <w:spacing w:before="60"/>
              <w:jc w:val="both"/>
            </w:pPr>
            <w:r w:rsidRPr="00761B50">
              <w:t>32006L0112</w:t>
            </w:r>
          </w:p>
        </w:tc>
        <w:tc>
          <w:tcPr>
            <w:tcW w:w="1451" w:type="dxa"/>
            <w:shd w:val="clear" w:color="auto" w:fill="auto"/>
          </w:tcPr>
          <w:p w14:paraId="384CA029" w14:textId="744579C3" w:rsidR="00D60B68" w:rsidRPr="00761B50" w:rsidRDefault="00D60B68" w:rsidP="00D60B68">
            <w:pPr>
              <w:spacing w:before="60"/>
            </w:pPr>
            <w:r w:rsidRPr="00761B50">
              <w:t>Článek. 96</w:t>
            </w:r>
          </w:p>
        </w:tc>
        <w:tc>
          <w:tcPr>
            <w:tcW w:w="5449" w:type="dxa"/>
            <w:shd w:val="clear" w:color="auto" w:fill="auto"/>
          </w:tcPr>
          <w:p w14:paraId="19A52EC8" w14:textId="77777777" w:rsidR="00D60B68" w:rsidRPr="00761B50" w:rsidRDefault="00D60B68" w:rsidP="00D60B68">
            <w:pPr>
              <w:jc w:val="both"/>
            </w:pPr>
            <w:r w:rsidRPr="00761B50">
              <w:t>Základní sazba</w:t>
            </w:r>
          </w:p>
          <w:p w14:paraId="71006341" w14:textId="77777777" w:rsidR="00D60B68" w:rsidRPr="00761B50" w:rsidRDefault="00D60B68" w:rsidP="00D60B68">
            <w:pPr>
              <w:jc w:val="both"/>
            </w:pPr>
          </w:p>
          <w:p w14:paraId="6EA9197C" w14:textId="36ECA216" w:rsidR="00D60B68" w:rsidRPr="00761B50" w:rsidRDefault="00D60B68" w:rsidP="00D60B68">
            <w:pPr>
              <w:overflowPunct/>
              <w:spacing w:before="60"/>
              <w:jc w:val="both"/>
              <w:textAlignment w:val="auto"/>
            </w:pPr>
            <w:r w:rsidRPr="00761B50">
              <w:t>Členské státy uplatňují základní sazbu DPH, kterou stanoví každý členský stát jako procentní podíl ze základu daně a která je stejná pro dodání zboží i pro poskytnutí služby.</w:t>
            </w:r>
          </w:p>
        </w:tc>
      </w:tr>
      <w:tr w:rsidR="00761B50" w:rsidRPr="00761B50" w14:paraId="4EA119FE" w14:textId="77777777" w:rsidTr="00937AE4">
        <w:trPr>
          <w:trHeight w:val="1134"/>
        </w:trPr>
        <w:tc>
          <w:tcPr>
            <w:tcW w:w="1217" w:type="dxa"/>
          </w:tcPr>
          <w:p w14:paraId="3C266B5E" w14:textId="1BD799F5" w:rsidR="00D60B68" w:rsidRPr="00761B50" w:rsidRDefault="00D60B68" w:rsidP="00D60B68">
            <w:pPr>
              <w:spacing w:before="60"/>
            </w:pPr>
            <w:r w:rsidRPr="00761B50">
              <w:t>§ 47 odst. 8</w:t>
            </w:r>
          </w:p>
        </w:tc>
        <w:tc>
          <w:tcPr>
            <w:tcW w:w="4739" w:type="dxa"/>
          </w:tcPr>
          <w:p w14:paraId="28F1C8D8" w14:textId="4A964B7A" w:rsidR="00D60B68" w:rsidRPr="00761B50" w:rsidRDefault="00D60B68" w:rsidP="00D60B68">
            <w:pPr>
              <w:widowControl w:val="0"/>
              <w:tabs>
                <w:tab w:val="left" w:pos="3324"/>
              </w:tabs>
              <w:spacing w:before="120" w:after="120"/>
              <w:jc w:val="both"/>
              <w:rPr>
                <w:strike/>
                <w:sz w:val="24"/>
                <w:szCs w:val="24"/>
              </w:rPr>
            </w:pPr>
            <w:r w:rsidRPr="00761B50">
              <w:rPr>
                <w:strike/>
                <w:szCs w:val="24"/>
              </w:rPr>
              <w:t>(8) U dovozu uměleckých děl, sběratelských předmětů a starožitností uvedených v příloze č. 4 se uplatňuje první snížená sazba daně.</w:t>
            </w:r>
          </w:p>
        </w:tc>
        <w:tc>
          <w:tcPr>
            <w:tcW w:w="1319" w:type="dxa"/>
            <w:shd w:val="clear" w:color="auto" w:fill="auto"/>
          </w:tcPr>
          <w:p w14:paraId="5EB2DC2F" w14:textId="6CA89014" w:rsidR="00D60B68" w:rsidRPr="00761B50" w:rsidRDefault="00D60B68" w:rsidP="00D60B68">
            <w:pPr>
              <w:spacing w:before="60"/>
              <w:jc w:val="both"/>
            </w:pPr>
            <w:r w:rsidRPr="00761B50">
              <w:t>32006L0112</w:t>
            </w:r>
          </w:p>
        </w:tc>
        <w:tc>
          <w:tcPr>
            <w:tcW w:w="1451" w:type="dxa"/>
            <w:shd w:val="clear" w:color="auto" w:fill="auto"/>
          </w:tcPr>
          <w:p w14:paraId="0EB5EF7D" w14:textId="564C606F" w:rsidR="00D60B68" w:rsidRPr="00761B50" w:rsidRDefault="00D60B68" w:rsidP="00D60B68">
            <w:pPr>
              <w:spacing w:before="60"/>
            </w:pPr>
            <w:r w:rsidRPr="00761B50">
              <w:t>Článek. 96</w:t>
            </w:r>
          </w:p>
        </w:tc>
        <w:tc>
          <w:tcPr>
            <w:tcW w:w="5449" w:type="dxa"/>
            <w:shd w:val="clear" w:color="auto" w:fill="auto"/>
          </w:tcPr>
          <w:p w14:paraId="38680622" w14:textId="77777777" w:rsidR="00D60B68" w:rsidRPr="00761B50" w:rsidRDefault="00D60B68" w:rsidP="00D60B68">
            <w:pPr>
              <w:jc w:val="both"/>
            </w:pPr>
            <w:r w:rsidRPr="00761B50">
              <w:t>Základní sazba</w:t>
            </w:r>
          </w:p>
          <w:p w14:paraId="09C01BD9" w14:textId="77777777" w:rsidR="00D60B68" w:rsidRPr="00761B50" w:rsidRDefault="00D60B68" w:rsidP="00D60B68">
            <w:pPr>
              <w:jc w:val="both"/>
            </w:pPr>
          </w:p>
          <w:p w14:paraId="74B13DE9" w14:textId="29F910FA" w:rsidR="00D60B68" w:rsidRPr="00761B50" w:rsidRDefault="00D60B68" w:rsidP="00D60B68">
            <w:pPr>
              <w:overflowPunct/>
              <w:spacing w:before="60"/>
              <w:jc w:val="both"/>
              <w:textAlignment w:val="auto"/>
            </w:pPr>
            <w:r w:rsidRPr="00761B50">
              <w:t>Členské státy uplatňují základní sazbu DPH, kterou stanoví každý členský stát jako procentní podíl ze základu daně a která je stejná pro dodání zboží i pro poskytnutí služby.</w:t>
            </w:r>
          </w:p>
        </w:tc>
      </w:tr>
      <w:tr w:rsidR="00761B50" w:rsidRPr="00761B50" w14:paraId="1A5CF3CE" w14:textId="77777777" w:rsidTr="008B1119">
        <w:trPr>
          <w:trHeight w:val="981"/>
        </w:trPr>
        <w:tc>
          <w:tcPr>
            <w:tcW w:w="1217" w:type="dxa"/>
          </w:tcPr>
          <w:p w14:paraId="5AE85001" w14:textId="6CDC4E17" w:rsidR="00D60B68" w:rsidRPr="00761B50" w:rsidRDefault="00D60B68" w:rsidP="00D60B68">
            <w:pPr>
              <w:spacing w:before="60"/>
            </w:pPr>
            <w:r w:rsidRPr="00761B50">
              <w:lastRenderedPageBreak/>
              <w:t>§ 47 odst. 8</w:t>
            </w:r>
          </w:p>
        </w:tc>
        <w:tc>
          <w:tcPr>
            <w:tcW w:w="4739" w:type="dxa"/>
          </w:tcPr>
          <w:p w14:paraId="1D52160D" w14:textId="70D75207" w:rsidR="00D60B68" w:rsidRPr="00761B50" w:rsidRDefault="00D60B68" w:rsidP="00D60B68">
            <w:pPr>
              <w:widowControl w:val="0"/>
              <w:tabs>
                <w:tab w:val="left" w:pos="3324"/>
              </w:tabs>
              <w:spacing w:before="120" w:after="120"/>
              <w:jc w:val="both"/>
              <w:rPr>
                <w:sz w:val="24"/>
                <w:szCs w:val="24"/>
              </w:rPr>
            </w:pPr>
            <w:r w:rsidRPr="00761B50">
              <w:rPr>
                <w:strike/>
                <w:szCs w:val="24"/>
              </w:rPr>
              <w:t>(9)</w:t>
            </w:r>
            <w:r w:rsidRPr="00761B50">
              <w:rPr>
                <w:szCs w:val="24"/>
              </w:rPr>
              <w:t xml:space="preserve"> </w:t>
            </w:r>
            <w:r w:rsidRPr="00761B50">
              <w:rPr>
                <w:b/>
                <w:szCs w:val="24"/>
              </w:rPr>
              <w:t>(8)</w:t>
            </w:r>
            <w:r w:rsidRPr="00761B50">
              <w:rPr>
                <w:szCs w:val="24"/>
              </w:rPr>
              <w:t xml:space="preserve"> U dovozu zboží, u kterého se uplatňuje paušální celní sazba a který obsahuje druhy zboží, jež podléhají různým sazbám daně, zařazené do různých podpoložek celního sazebníku, se uplatní </w:t>
            </w:r>
            <w:r w:rsidRPr="00761B50">
              <w:rPr>
                <w:strike/>
                <w:szCs w:val="24"/>
              </w:rPr>
              <w:t>nejvyšší z těchto sazeb</w:t>
            </w:r>
            <w:r w:rsidRPr="00761B50">
              <w:rPr>
                <w:szCs w:val="24"/>
              </w:rPr>
              <w:t xml:space="preserve"> </w:t>
            </w:r>
            <w:r w:rsidRPr="00761B50">
              <w:rPr>
                <w:b/>
                <w:szCs w:val="24"/>
              </w:rPr>
              <w:t>základní sazba daně</w:t>
            </w:r>
            <w:r w:rsidRPr="00761B50">
              <w:rPr>
                <w:szCs w:val="24"/>
              </w:rPr>
              <w:t>.</w:t>
            </w:r>
          </w:p>
        </w:tc>
        <w:tc>
          <w:tcPr>
            <w:tcW w:w="1319" w:type="dxa"/>
            <w:shd w:val="clear" w:color="auto" w:fill="auto"/>
          </w:tcPr>
          <w:p w14:paraId="7124A279" w14:textId="6669AC10" w:rsidR="00D60B68" w:rsidRPr="00761B50" w:rsidRDefault="00D60B68" w:rsidP="00D60B68">
            <w:pPr>
              <w:spacing w:before="60"/>
              <w:jc w:val="both"/>
            </w:pPr>
            <w:r w:rsidRPr="00761B50">
              <w:t>32006L0112</w:t>
            </w:r>
          </w:p>
        </w:tc>
        <w:tc>
          <w:tcPr>
            <w:tcW w:w="1451" w:type="dxa"/>
            <w:shd w:val="clear" w:color="auto" w:fill="auto"/>
          </w:tcPr>
          <w:p w14:paraId="2579ED2D" w14:textId="76312DFD" w:rsidR="00D60B68" w:rsidRPr="00761B50" w:rsidRDefault="00D60B68" w:rsidP="00D60B68">
            <w:pPr>
              <w:spacing w:before="60"/>
            </w:pPr>
            <w:r w:rsidRPr="00761B50">
              <w:t>Článek. 96</w:t>
            </w:r>
          </w:p>
        </w:tc>
        <w:tc>
          <w:tcPr>
            <w:tcW w:w="5449" w:type="dxa"/>
            <w:shd w:val="clear" w:color="auto" w:fill="auto"/>
          </w:tcPr>
          <w:p w14:paraId="38C5856C" w14:textId="77777777" w:rsidR="00D60B68" w:rsidRPr="00761B50" w:rsidRDefault="00D60B68" w:rsidP="00D60B68">
            <w:pPr>
              <w:jc w:val="both"/>
            </w:pPr>
            <w:r w:rsidRPr="00761B50">
              <w:t>Základní sazba</w:t>
            </w:r>
          </w:p>
          <w:p w14:paraId="0C9C4B04" w14:textId="77777777" w:rsidR="00D60B68" w:rsidRPr="00761B50" w:rsidRDefault="00D60B68" w:rsidP="00D60B68">
            <w:pPr>
              <w:jc w:val="both"/>
            </w:pPr>
          </w:p>
          <w:p w14:paraId="518C9C81" w14:textId="62F69691" w:rsidR="00D60B68" w:rsidRPr="00761B50" w:rsidRDefault="00D60B68" w:rsidP="00D60B68">
            <w:pPr>
              <w:overflowPunct/>
              <w:spacing w:before="60"/>
              <w:jc w:val="both"/>
              <w:textAlignment w:val="auto"/>
            </w:pPr>
            <w:r w:rsidRPr="00761B50">
              <w:t>Členské státy uplatňují základní sazbu DPH, kterou stanoví každý členský stát jako procentní podíl ze základu daně a která je stejná pro dodání zboží i pro poskytnutí služby.</w:t>
            </w:r>
          </w:p>
        </w:tc>
      </w:tr>
      <w:tr w:rsidR="00761B50" w:rsidRPr="00761B50" w14:paraId="404EA8E2" w14:textId="77777777" w:rsidTr="00F5317E">
        <w:trPr>
          <w:trHeight w:val="981"/>
        </w:trPr>
        <w:tc>
          <w:tcPr>
            <w:tcW w:w="1217" w:type="dxa"/>
            <w:vMerge w:val="restart"/>
            <w:shd w:val="clear" w:color="auto" w:fill="auto"/>
          </w:tcPr>
          <w:p w14:paraId="0DB25701" w14:textId="06992BC6" w:rsidR="001100BD" w:rsidRPr="00761B50" w:rsidRDefault="001100BD" w:rsidP="00D60B68">
            <w:pPr>
              <w:spacing w:before="60"/>
            </w:pPr>
            <w:r w:rsidRPr="00761B50">
              <w:t>§ 48 odst. 1</w:t>
            </w:r>
          </w:p>
        </w:tc>
        <w:tc>
          <w:tcPr>
            <w:tcW w:w="4739" w:type="dxa"/>
            <w:vMerge w:val="restart"/>
            <w:shd w:val="clear" w:color="auto" w:fill="auto"/>
          </w:tcPr>
          <w:p w14:paraId="0DC07152" w14:textId="34CBCC22" w:rsidR="001100BD" w:rsidRPr="00761B50" w:rsidRDefault="001100BD" w:rsidP="00D60B68">
            <w:pPr>
              <w:spacing w:before="60"/>
              <w:jc w:val="both"/>
              <w:rPr>
                <w:b/>
              </w:rPr>
            </w:pPr>
            <w:r w:rsidRPr="00761B50">
              <w:rPr>
                <w:szCs w:val="24"/>
              </w:rPr>
              <w:t xml:space="preserve">(1) </w:t>
            </w:r>
            <w:r w:rsidRPr="00761B50">
              <w:rPr>
                <w:strike/>
                <w:szCs w:val="24"/>
              </w:rPr>
              <w:t>První snížená</w:t>
            </w:r>
            <w:r w:rsidRPr="00761B50">
              <w:rPr>
                <w:szCs w:val="24"/>
              </w:rPr>
              <w:t xml:space="preserve"> </w:t>
            </w:r>
            <w:proofErr w:type="spellStart"/>
            <w:r w:rsidRPr="00761B50">
              <w:rPr>
                <w:b/>
                <w:szCs w:val="24"/>
              </w:rPr>
              <w:t>Snížená</w:t>
            </w:r>
            <w:proofErr w:type="spellEnd"/>
            <w:r w:rsidRPr="00761B50">
              <w:rPr>
                <w:szCs w:val="24"/>
              </w:rPr>
              <w:t xml:space="preserve"> sazba daně se uplatní při poskytnutí stavebních nebo montážních prací provedených na dokončené stavbě, pokud se jedná o stavbu pro bydlení nebo stavbu pro </w:t>
            </w:r>
            <w:r w:rsidRPr="00761B50">
              <w:rPr>
                <w:strike/>
                <w:szCs w:val="24"/>
              </w:rPr>
              <w:t>sociální</w:t>
            </w:r>
            <w:r w:rsidRPr="00761B50">
              <w:rPr>
                <w:szCs w:val="24"/>
              </w:rPr>
              <w:t xml:space="preserve"> </w:t>
            </w:r>
            <w:r w:rsidRPr="00761B50">
              <w:rPr>
                <w:b/>
                <w:szCs w:val="24"/>
              </w:rPr>
              <w:t>dostupné</w:t>
            </w:r>
            <w:r w:rsidRPr="00761B50">
              <w:rPr>
                <w:szCs w:val="24"/>
              </w:rPr>
              <w:t xml:space="preserve"> bydlení.</w:t>
            </w:r>
          </w:p>
        </w:tc>
        <w:tc>
          <w:tcPr>
            <w:tcW w:w="1319" w:type="dxa"/>
            <w:vMerge w:val="restart"/>
            <w:shd w:val="clear" w:color="auto" w:fill="auto"/>
          </w:tcPr>
          <w:p w14:paraId="2AC813DB" w14:textId="05C6F6B8" w:rsidR="001100BD" w:rsidRPr="00761B50" w:rsidRDefault="001100BD" w:rsidP="00D60B68">
            <w:pPr>
              <w:spacing w:before="60"/>
              <w:jc w:val="both"/>
            </w:pPr>
            <w:r w:rsidRPr="00761B50">
              <w:t>32022L0542</w:t>
            </w:r>
          </w:p>
        </w:tc>
        <w:tc>
          <w:tcPr>
            <w:tcW w:w="1451" w:type="dxa"/>
            <w:shd w:val="clear" w:color="auto" w:fill="auto"/>
          </w:tcPr>
          <w:p w14:paraId="6969B5AB" w14:textId="77777777" w:rsidR="001100BD" w:rsidRPr="00761B50" w:rsidRDefault="001100BD" w:rsidP="00D60B68">
            <w:pPr>
              <w:spacing w:before="60"/>
            </w:pPr>
            <w:r w:rsidRPr="00761B50">
              <w:t xml:space="preserve">Článek 1 odst. 6 </w:t>
            </w:r>
          </w:p>
          <w:p w14:paraId="58AE93D2" w14:textId="176B4082" w:rsidR="001100BD" w:rsidRPr="00761B50" w:rsidRDefault="001100BD" w:rsidP="00D60B68">
            <w:pPr>
              <w:spacing w:before="60"/>
            </w:pPr>
            <w:r w:rsidRPr="00761B50">
              <w:t>(čl. 98 odst. 1)</w:t>
            </w:r>
          </w:p>
        </w:tc>
        <w:tc>
          <w:tcPr>
            <w:tcW w:w="5449" w:type="dxa"/>
            <w:shd w:val="clear" w:color="auto" w:fill="auto"/>
          </w:tcPr>
          <w:p w14:paraId="0F7211EF" w14:textId="77777777" w:rsidR="001100BD" w:rsidRPr="00761B50" w:rsidRDefault="001100BD" w:rsidP="00D60B68">
            <w:pPr>
              <w:overflowPunct/>
              <w:spacing w:before="60"/>
              <w:jc w:val="center"/>
              <w:textAlignment w:val="auto"/>
            </w:pPr>
            <w:r w:rsidRPr="00761B50">
              <w:t>Článek 98</w:t>
            </w:r>
          </w:p>
          <w:p w14:paraId="2626C169" w14:textId="77777777" w:rsidR="001100BD" w:rsidRPr="00761B50" w:rsidRDefault="001100BD" w:rsidP="00D60B68">
            <w:pPr>
              <w:overflowPunct/>
              <w:spacing w:before="60"/>
              <w:jc w:val="both"/>
              <w:textAlignment w:val="auto"/>
            </w:pPr>
            <w:r w:rsidRPr="00761B50">
              <w:t>1. Členské státy mohou uplatňovat nanejvýš dvě snížené sazby.</w:t>
            </w:r>
          </w:p>
          <w:p w14:paraId="37D6ACD7" w14:textId="77777777" w:rsidR="001100BD" w:rsidRPr="00761B50" w:rsidRDefault="001100BD" w:rsidP="00D60B68">
            <w:pPr>
              <w:overflowPunct/>
              <w:spacing w:before="60"/>
              <w:jc w:val="both"/>
              <w:textAlignment w:val="auto"/>
            </w:pPr>
            <w:r w:rsidRPr="00761B50">
              <w:t>Tyto snížené sazby se stanoví jako procentní podíl ze základu daně, který nesmí být nižší než 5 %, a uplatňují se pouze u dodání zboží a poskytnutí služeb uvedených v příloze III.</w:t>
            </w:r>
          </w:p>
          <w:p w14:paraId="3C69C245" w14:textId="41B189D3" w:rsidR="001100BD" w:rsidRPr="00761B50" w:rsidRDefault="001100BD" w:rsidP="00D60B68">
            <w:pPr>
              <w:overflowPunct/>
              <w:spacing w:before="60"/>
              <w:jc w:val="both"/>
              <w:textAlignment w:val="auto"/>
            </w:pPr>
            <w:r w:rsidRPr="00761B50">
              <w:t>Členské státy mohou snížené sazby u dodání zboží a poskytnutí služeb uplatňovat nejvýše u 24 z bodů přílohy III.</w:t>
            </w:r>
          </w:p>
        </w:tc>
      </w:tr>
      <w:tr w:rsidR="00761B50" w:rsidRPr="00761B50" w14:paraId="169723A9" w14:textId="77777777" w:rsidTr="00F5317E">
        <w:trPr>
          <w:trHeight w:val="981"/>
        </w:trPr>
        <w:tc>
          <w:tcPr>
            <w:tcW w:w="1217" w:type="dxa"/>
            <w:vMerge/>
            <w:shd w:val="clear" w:color="auto" w:fill="auto"/>
          </w:tcPr>
          <w:p w14:paraId="1903261D" w14:textId="77777777" w:rsidR="001100BD" w:rsidRPr="00761B50" w:rsidRDefault="001100BD" w:rsidP="00D60B68">
            <w:pPr>
              <w:spacing w:before="60"/>
            </w:pPr>
          </w:p>
        </w:tc>
        <w:tc>
          <w:tcPr>
            <w:tcW w:w="4739" w:type="dxa"/>
            <w:vMerge/>
            <w:shd w:val="clear" w:color="auto" w:fill="auto"/>
          </w:tcPr>
          <w:p w14:paraId="28D9EC98" w14:textId="77777777" w:rsidR="001100BD" w:rsidRPr="00761B50" w:rsidRDefault="001100BD" w:rsidP="00D60B68">
            <w:pPr>
              <w:spacing w:before="60"/>
              <w:jc w:val="both"/>
              <w:rPr>
                <w:szCs w:val="24"/>
              </w:rPr>
            </w:pPr>
          </w:p>
        </w:tc>
        <w:tc>
          <w:tcPr>
            <w:tcW w:w="1319" w:type="dxa"/>
            <w:vMerge/>
            <w:shd w:val="clear" w:color="auto" w:fill="auto"/>
          </w:tcPr>
          <w:p w14:paraId="0CD7D418" w14:textId="77777777" w:rsidR="001100BD" w:rsidRPr="00761B50" w:rsidRDefault="001100BD" w:rsidP="001100BD">
            <w:pPr>
              <w:spacing w:before="60"/>
              <w:jc w:val="both"/>
            </w:pPr>
          </w:p>
        </w:tc>
        <w:tc>
          <w:tcPr>
            <w:tcW w:w="1451" w:type="dxa"/>
            <w:shd w:val="clear" w:color="auto" w:fill="auto"/>
          </w:tcPr>
          <w:p w14:paraId="7075E9E4" w14:textId="77777777" w:rsidR="001100BD" w:rsidRPr="00761B50" w:rsidRDefault="001100BD" w:rsidP="00D60B68">
            <w:pPr>
              <w:rPr>
                <w:sz w:val="18"/>
                <w:szCs w:val="18"/>
              </w:rPr>
            </w:pPr>
            <w:r w:rsidRPr="00761B50">
              <w:rPr>
                <w:sz w:val="18"/>
                <w:szCs w:val="18"/>
              </w:rPr>
              <w:t>Příloha bod 2</w:t>
            </w:r>
          </w:p>
          <w:p w14:paraId="4A48851D" w14:textId="6EA4C069" w:rsidR="001100BD" w:rsidRPr="00761B50" w:rsidRDefault="001100BD" w:rsidP="00D60B68">
            <w:pPr>
              <w:spacing w:before="60"/>
            </w:pPr>
            <w:r w:rsidRPr="00761B50">
              <w:rPr>
                <w:sz w:val="18"/>
                <w:szCs w:val="18"/>
              </w:rPr>
              <w:t>(příloha III,</w:t>
            </w:r>
            <w:r w:rsidRPr="00761B50">
              <w:rPr>
                <w:sz w:val="18"/>
                <w:szCs w:val="18"/>
              </w:rPr>
              <w:br/>
              <w:t>bod 10)</w:t>
            </w:r>
          </w:p>
        </w:tc>
        <w:tc>
          <w:tcPr>
            <w:tcW w:w="5449" w:type="dxa"/>
            <w:shd w:val="clear" w:color="auto" w:fill="auto"/>
          </w:tcPr>
          <w:p w14:paraId="5B2787F2" w14:textId="100AD485" w:rsidR="001100BD" w:rsidRPr="00761B50" w:rsidRDefault="001100BD" w:rsidP="00D60B68">
            <w:pPr>
              <w:overflowPunct/>
              <w:spacing w:before="60"/>
              <w:jc w:val="both"/>
              <w:textAlignment w:val="auto"/>
            </w:pPr>
            <w:r w:rsidRPr="00761B50">
              <w:t>10) dodání a výstavba bydlení v rámci sociální politiky vymezené členskými státy; renovace a přestavba, včetně demolice a rekonstrukce, a opravy bydlení a soukromých obydlí; pronájem nemovitostí za účelem bydlení;</w:t>
            </w:r>
          </w:p>
        </w:tc>
      </w:tr>
      <w:tr w:rsidR="00761B50" w:rsidRPr="00761B50" w14:paraId="2852E2D8" w14:textId="77777777" w:rsidTr="00587190">
        <w:trPr>
          <w:trHeight w:val="981"/>
        </w:trPr>
        <w:tc>
          <w:tcPr>
            <w:tcW w:w="1217" w:type="dxa"/>
            <w:vMerge w:val="restart"/>
          </w:tcPr>
          <w:p w14:paraId="1DC0801B" w14:textId="6DC26E44" w:rsidR="00D60B68" w:rsidRPr="00761B50" w:rsidRDefault="00D60B68" w:rsidP="00D60B68">
            <w:pPr>
              <w:spacing w:before="60"/>
            </w:pPr>
            <w:r w:rsidRPr="00761B50">
              <w:t>§ 49</w:t>
            </w:r>
          </w:p>
        </w:tc>
        <w:tc>
          <w:tcPr>
            <w:tcW w:w="4739" w:type="dxa"/>
            <w:vMerge w:val="restart"/>
          </w:tcPr>
          <w:p w14:paraId="79771519" w14:textId="49F8B2B1" w:rsidR="00D60B68" w:rsidRPr="00761B50" w:rsidRDefault="00D60B68" w:rsidP="00D60B68">
            <w:pPr>
              <w:widowControl w:val="0"/>
              <w:tabs>
                <w:tab w:val="left" w:pos="3324"/>
              </w:tabs>
              <w:spacing w:before="120" w:after="120"/>
              <w:jc w:val="both"/>
              <w:rPr>
                <w:szCs w:val="24"/>
              </w:rPr>
            </w:pPr>
            <w:r w:rsidRPr="00761B50">
              <w:rPr>
                <w:szCs w:val="24"/>
              </w:rPr>
              <w:t xml:space="preserve">(1) </w:t>
            </w:r>
            <w:r w:rsidRPr="00761B50">
              <w:rPr>
                <w:strike/>
                <w:szCs w:val="24"/>
              </w:rPr>
              <w:t>První snížená</w:t>
            </w:r>
            <w:r w:rsidRPr="00761B50">
              <w:rPr>
                <w:szCs w:val="24"/>
              </w:rPr>
              <w:t xml:space="preserve"> </w:t>
            </w:r>
            <w:proofErr w:type="spellStart"/>
            <w:r w:rsidRPr="00761B50">
              <w:rPr>
                <w:b/>
                <w:szCs w:val="24"/>
              </w:rPr>
              <w:t>Snížená</w:t>
            </w:r>
            <w:proofErr w:type="spellEnd"/>
            <w:r w:rsidRPr="00761B50">
              <w:rPr>
                <w:szCs w:val="24"/>
              </w:rPr>
              <w:t xml:space="preserve"> sazba daně se uplatní při poskytnutí stavebních a montážních prací spojených s výstavbou stavby, která je stavbou pro </w:t>
            </w:r>
            <w:r w:rsidRPr="00761B50">
              <w:rPr>
                <w:strike/>
                <w:szCs w:val="24"/>
              </w:rPr>
              <w:t>sociální</w:t>
            </w:r>
            <w:r w:rsidRPr="00761B50">
              <w:rPr>
                <w:szCs w:val="24"/>
              </w:rPr>
              <w:t xml:space="preserve"> </w:t>
            </w:r>
            <w:r w:rsidRPr="00761B50">
              <w:rPr>
                <w:b/>
                <w:szCs w:val="24"/>
              </w:rPr>
              <w:t>dostupné</w:t>
            </w:r>
            <w:r w:rsidRPr="00761B50">
              <w:rPr>
                <w:szCs w:val="24"/>
              </w:rPr>
              <w:t xml:space="preserve"> bydlení.</w:t>
            </w:r>
          </w:p>
          <w:p w14:paraId="687168AD" w14:textId="77777777" w:rsidR="00D60B68" w:rsidRPr="00761B50" w:rsidRDefault="00D60B68" w:rsidP="00D60B68">
            <w:pPr>
              <w:widowControl w:val="0"/>
              <w:tabs>
                <w:tab w:val="left" w:pos="3324"/>
              </w:tabs>
              <w:spacing w:before="120" w:after="120"/>
              <w:jc w:val="both"/>
              <w:rPr>
                <w:szCs w:val="24"/>
              </w:rPr>
            </w:pPr>
            <w:r w:rsidRPr="00761B50">
              <w:rPr>
                <w:szCs w:val="24"/>
              </w:rPr>
              <w:t xml:space="preserve">(2) </w:t>
            </w:r>
            <w:r w:rsidRPr="00761B50">
              <w:rPr>
                <w:strike/>
                <w:szCs w:val="24"/>
              </w:rPr>
              <w:t>První snížená</w:t>
            </w:r>
            <w:r w:rsidRPr="00761B50">
              <w:rPr>
                <w:szCs w:val="24"/>
              </w:rPr>
              <w:t xml:space="preserve"> </w:t>
            </w:r>
            <w:proofErr w:type="spellStart"/>
            <w:r w:rsidRPr="00761B50">
              <w:rPr>
                <w:b/>
                <w:szCs w:val="24"/>
              </w:rPr>
              <w:t>Snížená</w:t>
            </w:r>
            <w:proofErr w:type="spellEnd"/>
            <w:r w:rsidRPr="00761B50">
              <w:rPr>
                <w:szCs w:val="24"/>
              </w:rPr>
              <w:t xml:space="preserve"> sazba daně se uplatní také při poskytnutí stavebních a montážních prací, kterými se stavba nebo prostor mění na stavbu pro </w:t>
            </w:r>
            <w:r w:rsidRPr="00761B50">
              <w:rPr>
                <w:strike/>
                <w:szCs w:val="24"/>
              </w:rPr>
              <w:t>sociální</w:t>
            </w:r>
            <w:r w:rsidRPr="00761B50">
              <w:rPr>
                <w:szCs w:val="24"/>
              </w:rPr>
              <w:t xml:space="preserve"> </w:t>
            </w:r>
            <w:r w:rsidRPr="00761B50">
              <w:rPr>
                <w:b/>
                <w:szCs w:val="24"/>
              </w:rPr>
              <w:t>dostupné</w:t>
            </w:r>
            <w:r w:rsidRPr="00761B50">
              <w:rPr>
                <w:szCs w:val="24"/>
              </w:rPr>
              <w:t xml:space="preserve"> bydlení.</w:t>
            </w:r>
          </w:p>
          <w:p w14:paraId="61C993C8" w14:textId="77777777" w:rsidR="00D60B68" w:rsidRPr="00761B50" w:rsidRDefault="00D60B68" w:rsidP="00D60B68">
            <w:pPr>
              <w:widowControl w:val="0"/>
              <w:tabs>
                <w:tab w:val="left" w:pos="3324"/>
              </w:tabs>
              <w:spacing w:before="120" w:after="120"/>
              <w:jc w:val="both"/>
              <w:rPr>
                <w:szCs w:val="24"/>
              </w:rPr>
            </w:pPr>
            <w:r w:rsidRPr="00761B50">
              <w:rPr>
                <w:szCs w:val="24"/>
              </w:rPr>
              <w:t xml:space="preserve">(3) </w:t>
            </w:r>
            <w:r w:rsidRPr="00761B50">
              <w:rPr>
                <w:strike/>
                <w:szCs w:val="24"/>
              </w:rPr>
              <w:t>První snížená</w:t>
            </w:r>
            <w:r w:rsidRPr="00761B50">
              <w:rPr>
                <w:szCs w:val="24"/>
              </w:rPr>
              <w:t xml:space="preserve"> </w:t>
            </w:r>
            <w:proofErr w:type="spellStart"/>
            <w:r w:rsidRPr="00761B50">
              <w:rPr>
                <w:b/>
                <w:szCs w:val="24"/>
              </w:rPr>
              <w:t>Snížená</w:t>
            </w:r>
            <w:proofErr w:type="spellEnd"/>
            <w:r w:rsidRPr="00761B50">
              <w:rPr>
                <w:szCs w:val="24"/>
              </w:rPr>
              <w:t xml:space="preserve"> sazba daně se uplatní u dodání</w:t>
            </w:r>
          </w:p>
          <w:p w14:paraId="0D373ED2" w14:textId="77777777" w:rsidR="00D60B68" w:rsidRPr="00761B50" w:rsidRDefault="00D60B68" w:rsidP="00D60B68">
            <w:pPr>
              <w:widowControl w:val="0"/>
              <w:ind w:left="284" w:hanging="284"/>
              <w:jc w:val="both"/>
              <w:rPr>
                <w:szCs w:val="24"/>
              </w:rPr>
            </w:pPr>
            <w:r w:rsidRPr="00761B50">
              <w:rPr>
                <w:szCs w:val="24"/>
              </w:rPr>
              <w:t>a)</w:t>
            </w:r>
            <w:r w:rsidRPr="00761B50">
              <w:rPr>
                <w:szCs w:val="24"/>
              </w:rPr>
              <w:tab/>
              <w:t xml:space="preserve">stavby pro </w:t>
            </w:r>
            <w:r w:rsidRPr="00761B50">
              <w:rPr>
                <w:strike/>
                <w:szCs w:val="24"/>
              </w:rPr>
              <w:t>sociální</w:t>
            </w:r>
            <w:r w:rsidRPr="00761B50">
              <w:rPr>
                <w:szCs w:val="24"/>
              </w:rPr>
              <w:t xml:space="preserve"> </w:t>
            </w:r>
            <w:r w:rsidRPr="00761B50">
              <w:rPr>
                <w:b/>
                <w:szCs w:val="24"/>
              </w:rPr>
              <w:t>dostupné</w:t>
            </w:r>
            <w:r w:rsidRPr="00761B50">
              <w:rPr>
                <w:szCs w:val="24"/>
              </w:rPr>
              <w:t xml:space="preserve"> bydlení,</w:t>
            </w:r>
          </w:p>
          <w:p w14:paraId="1B71A5A1" w14:textId="77777777" w:rsidR="00D60B68" w:rsidRPr="00761B50" w:rsidRDefault="00D60B68" w:rsidP="00D60B68">
            <w:pPr>
              <w:widowControl w:val="0"/>
              <w:ind w:left="284" w:hanging="284"/>
              <w:jc w:val="both"/>
              <w:rPr>
                <w:szCs w:val="24"/>
              </w:rPr>
            </w:pPr>
            <w:r w:rsidRPr="00761B50">
              <w:rPr>
                <w:szCs w:val="24"/>
              </w:rPr>
              <w:t>b)</w:t>
            </w:r>
            <w:r w:rsidRPr="00761B50">
              <w:rPr>
                <w:szCs w:val="24"/>
              </w:rPr>
              <w:tab/>
              <w:t xml:space="preserve">pozemku, jehož součástí není jiná stavba než stavba pro </w:t>
            </w:r>
            <w:r w:rsidRPr="00761B50">
              <w:rPr>
                <w:strike/>
                <w:szCs w:val="24"/>
              </w:rPr>
              <w:t>sociální</w:t>
            </w:r>
            <w:r w:rsidRPr="00761B50">
              <w:rPr>
                <w:szCs w:val="24"/>
              </w:rPr>
              <w:t xml:space="preserve"> </w:t>
            </w:r>
            <w:r w:rsidRPr="00761B50">
              <w:rPr>
                <w:b/>
                <w:szCs w:val="24"/>
              </w:rPr>
              <w:t>dostupné</w:t>
            </w:r>
            <w:r w:rsidRPr="00761B50">
              <w:rPr>
                <w:szCs w:val="24"/>
              </w:rPr>
              <w:t xml:space="preserve"> bydlení,</w:t>
            </w:r>
          </w:p>
          <w:p w14:paraId="71EBD2D3" w14:textId="77777777" w:rsidR="00D60B68" w:rsidRPr="00761B50" w:rsidRDefault="00D60B68" w:rsidP="00D60B68">
            <w:pPr>
              <w:widowControl w:val="0"/>
              <w:ind w:left="284" w:hanging="284"/>
              <w:jc w:val="both"/>
              <w:rPr>
                <w:szCs w:val="24"/>
              </w:rPr>
            </w:pPr>
            <w:r w:rsidRPr="00761B50">
              <w:rPr>
                <w:szCs w:val="24"/>
              </w:rPr>
              <w:t>c)</w:t>
            </w:r>
            <w:r w:rsidRPr="00761B50">
              <w:rPr>
                <w:szCs w:val="24"/>
              </w:rPr>
              <w:tab/>
              <w:t xml:space="preserve">práva stavby, jehož součástí není jiná stavba než stavba pro </w:t>
            </w:r>
            <w:r w:rsidRPr="00761B50">
              <w:rPr>
                <w:strike/>
                <w:szCs w:val="24"/>
              </w:rPr>
              <w:t>sociální</w:t>
            </w:r>
            <w:r w:rsidRPr="00761B50">
              <w:rPr>
                <w:szCs w:val="24"/>
              </w:rPr>
              <w:t xml:space="preserve"> </w:t>
            </w:r>
            <w:r w:rsidRPr="00761B50">
              <w:rPr>
                <w:b/>
                <w:szCs w:val="24"/>
              </w:rPr>
              <w:t>dostupné</w:t>
            </w:r>
            <w:r w:rsidRPr="00761B50">
              <w:rPr>
                <w:szCs w:val="24"/>
              </w:rPr>
              <w:t xml:space="preserve"> bydlení, nebo</w:t>
            </w:r>
          </w:p>
          <w:p w14:paraId="7CFF420E" w14:textId="07E2EFA5" w:rsidR="00D60B68" w:rsidRPr="00761B50" w:rsidRDefault="00D60B68" w:rsidP="00D60B68">
            <w:pPr>
              <w:spacing w:before="60"/>
              <w:jc w:val="both"/>
              <w:rPr>
                <w:b/>
              </w:rPr>
            </w:pPr>
            <w:r w:rsidRPr="00761B50">
              <w:rPr>
                <w:szCs w:val="24"/>
              </w:rPr>
              <w:t xml:space="preserve">d) jednotky, která nezahrnuje jiný prostor než obytný prostor pro </w:t>
            </w:r>
            <w:r w:rsidRPr="00761B50">
              <w:rPr>
                <w:strike/>
                <w:szCs w:val="24"/>
              </w:rPr>
              <w:t>sociální</w:t>
            </w:r>
            <w:r w:rsidRPr="00761B50">
              <w:rPr>
                <w:szCs w:val="24"/>
              </w:rPr>
              <w:t xml:space="preserve"> </w:t>
            </w:r>
            <w:r w:rsidRPr="00761B50">
              <w:rPr>
                <w:b/>
                <w:szCs w:val="24"/>
              </w:rPr>
              <w:t>dostupné</w:t>
            </w:r>
            <w:r w:rsidRPr="00761B50">
              <w:rPr>
                <w:szCs w:val="24"/>
              </w:rPr>
              <w:t xml:space="preserve"> bydlení.</w:t>
            </w:r>
          </w:p>
        </w:tc>
        <w:tc>
          <w:tcPr>
            <w:tcW w:w="1319" w:type="dxa"/>
          </w:tcPr>
          <w:p w14:paraId="67960067" w14:textId="4B8B46F0" w:rsidR="00D60B68" w:rsidRPr="00761B50" w:rsidRDefault="00D60B68" w:rsidP="00D60B68">
            <w:pPr>
              <w:spacing w:before="60"/>
              <w:jc w:val="both"/>
            </w:pPr>
            <w:r w:rsidRPr="00761B50">
              <w:t>32022L0542</w:t>
            </w:r>
          </w:p>
        </w:tc>
        <w:tc>
          <w:tcPr>
            <w:tcW w:w="1451" w:type="dxa"/>
          </w:tcPr>
          <w:p w14:paraId="1A810291" w14:textId="77777777" w:rsidR="00D60B68" w:rsidRPr="00761B50" w:rsidRDefault="00D60B68" w:rsidP="00D60B68">
            <w:pPr>
              <w:spacing w:before="60"/>
            </w:pPr>
            <w:r w:rsidRPr="00761B50">
              <w:t xml:space="preserve">Článek 1 odst. 6 </w:t>
            </w:r>
          </w:p>
          <w:p w14:paraId="009A7039" w14:textId="624C3C75" w:rsidR="00D60B68" w:rsidRPr="00761B50" w:rsidRDefault="00D60B68" w:rsidP="00D60B68">
            <w:pPr>
              <w:spacing w:before="60"/>
            </w:pPr>
            <w:r w:rsidRPr="00761B50">
              <w:t>(čl. 98 odst. 1)</w:t>
            </w:r>
          </w:p>
        </w:tc>
        <w:tc>
          <w:tcPr>
            <w:tcW w:w="5449" w:type="dxa"/>
          </w:tcPr>
          <w:p w14:paraId="31E7F6DE" w14:textId="77777777" w:rsidR="00D60B68" w:rsidRPr="00761B50" w:rsidRDefault="00D60B68" w:rsidP="00D60B68">
            <w:pPr>
              <w:overflowPunct/>
              <w:spacing w:before="60"/>
              <w:jc w:val="center"/>
              <w:textAlignment w:val="auto"/>
            </w:pPr>
            <w:r w:rsidRPr="00761B50">
              <w:t>Článek 98</w:t>
            </w:r>
          </w:p>
          <w:p w14:paraId="2AF66350" w14:textId="77777777" w:rsidR="00D60B68" w:rsidRPr="00761B50" w:rsidRDefault="00D60B68" w:rsidP="00D60B68">
            <w:pPr>
              <w:overflowPunct/>
              <w:spacing w:before="60"/>
              <w:jc w:val="both"/>
              <w:textAlignment w:val="auto"/>
            </w:pPr>
            <w:r w:rsidRPr="00761B50">
              <w:t>1. Členské státy mohou uplatňovat nanejvýš dvě snížené sazby.</w:t>
            </w:r>
          </w:p>
          <w:p w14:paraId="494CC489" w14:textId="77777777" w:rsidR="00D60B68" w:rsidRPr="00761B50" w:rsidRDefault="00D60B68" w:rsidP="00D60B68">
            <w:pPr>
              <w:overflowPunct/>
              <w:spacing w:before="60"/>
              <w:jc w:val="both"/>
              <w:textAlignment w:val="auto"/>
            </w:pPr>
            <w:r w:rsidRPr="00761B50">
              <w:t>Tyto snížené sazby se stanoví jako procentní podíl ze základu daně, který nesmí být nižší než 5 %, a uplatňují se pouze u dodání zboží a poskytnutí služeb uvedených v příloze III.</w:t>
            </w:r>
          </w:p>
          <w:p w14:paraId="3FCFF766" w14:textId="211C98C2" w:rsidR="00D60B68" w:rsidRPr="00761B50" w:rsidRDefault="00D60B68" w:rsidP="00D60B68">
            <w:pPr>
              <w:overflowPunct/>
              <w:spacing w:before="60"/>
              <w:jc w:val="both"/>
              <w:textAlignment w:val="auto"/>
            </w:pPr>
            <w:r w:rsidRPr="00761B50">
              <w:t>Členské státy mohou snížené sazby u dodání zboží a poskytnutí služeb uplatňovat nejvýše u 24 z bodů přílohy III.</w:t>
            </w:r>
          </w:p>
        </w:tc>
      </w:tr>
      <w:tr w:rsidR="00761B50" w:rsidRPr="00761B50" w14:paraId="2C0E663D" w14:textId="77777777" w:rsidTr="00587190">
        <w:trPr>
          <w:trHeight w:val="981"/>
        </w:trPr>
        <w:tc>
          <w:tcPr>
            <w:tcW w:w="1217" w:type="dxa"/>
            <w:vMerge/>
          </w:tcPr>
          <w:p w14:paraId="75394546" w14:textId="77777777" w:rsidR="00D60B68" w:rsidRPr="00761B50" w:rsidRDefault="00D60B68" w:rsidP="00D60B68">
            <w:pPr>
              <w:spacing w:before="60"/>
            </w:pPr>
          </w:p>
        </w:tc>
        <w:tc>
          <w:tcPr>
            <w:tcW w:w="4739" w:type="dxa"/>
            <w:vMerge/>
          </w:tcPr>
          <w:p w14:paraId="31238544" w14:textId="77777777" w:rsidR="00D60B68" w:rsidRPr="00761B50" w:rsidRDefault="00D60B68" w:rsidP="00D60B68">
            <w:pPr>
              <w:widowControl w:val="0"/>
              <w:tabs>
                <w:tab w:val="left" w:pos="3324"/>
              </w:tabs>
              <w:spacing w:before="120" w:after="120"/>
              <w:jc w:val="both"/>
              <w:rPr>
                <w:szCs w:val="24"/>
              </w:rPr>
            </w:pPr>
          </w:p>
        </w:tc>
        <w:tc>
          <w:tcPr>
            <w:tcW w:w="1319" w:type="dxa"/>
          </w:tcPr>
          <w:p w14:paraId="3ABC5ED7" w14:textId="5F321826" w:rsidR="00D60B68" w:rsidRPr="00761B50" w:rsidRDefault="00D60B68" w:rsidP="00D60B68">
            <w:pPr>
              <w:spacing w:before="60"/>
              <w:jc w:val="both"/>
            </w:pPr>
            <w:r w:rsidRPr="00761B50">
              <w:t>32022L0542</w:t>
            </w:r>
          </w:p>
        </w:tc>
        <w:tc>
          <w:tcPr>
            <w:tcW w:w="1451" w:type="dxa"/>
          </w:tcPr>
          <w:p w14:paraId="1FD56537" w14:textId="50B0D577" w:rsidR="00D60B68" w:rsidRPr="00761B50" w:rsidRDefault="00D60B68" w:rsidP="00D60B68">
            <w:pPr>
              <w:rPr>
                <w:sz w:val="18"/>
                <w:szCs w:val="18"/>
              </w:rPr>
            </w:pPr>
            <w:r w:rsidRPr="00761B50">
              <w:rPr>
                <w:sz w:val="18"/>
                <w:szCs w:val="18"/>
              </w:rPr>
              <w:t>Příloha bod 2</w:t>
            </w:r>
          </w:p>
          <w:p w14:paraId="678F2F7A" w14:textId="5D62C60E" w:rsidR="00D60B68" w:rsidRPr="00761B50" w:rsidRDefault="00D60B68" w:rsidP="00D60B68">
            <w:pPr>
              <w:spacing w:before="60"/>
            </w:pPr>
            <w:r w:rsidRPr="00761B50">
              <w:rPr>
                <w:sz w:val="18"/>
                <w:szCs w:val="18"/>
              </w:rPr>
              <w:t>(příloha III, bod 10)</w:t>
            </w:r>
          </w:p>
        </w:tc>
        <w:tc>
          <w:tcPr>
            <w:tcW w:w="5449" w:type="dxa"/>
          </w:tcPr>
          <w:p w14:paraId="7B1D3F32" w14:textId="2639D56F" w:rsidR="00D60B68" w:rsidRPr="00761B50" w:rsidRDefault="00D60B68" w:rsidP="00D60B68">
            <w:pPr>
              <w:overflowPunct/>
              <w:spacing w:before="60"/>
              <w:jc w:val="both"/>
              <w:textAlignment w:val="auto"/>
            </w:pPr>
            <w:r w:rsidRPr="00761B50">
              <w:t>10) dodání a výstavba bydlení v rámci sociální politiky vymezené členskými státy; renovace a přestavba, včetně demolice a rekonstrukce, a opravy bydlení a soukromých obydlí; pronájem nemovitostí za účelem bydlení;</w:t>
            </w:r>
          </w:p>
        </w:tc>
      </w:tr>
      <w:tr w:rsidR="00761B50" w:rsidRPr="00761B50" w14:paraId="2FF1E87A" w14:textId="77777777" w:rsidTr="00FE464A">
        <w:trPr>
          <w:trHeight w:val="416"/>
        </w:trPr>
        <w:tc>
          <w:tcPr>
            <w:tcW w:w="1217" w:type="dxa"/>
            <w:vMerge w:val="restart"/>
          </w:tcPr>
          <w:p w14:paraId="04B6CD25" w14:textId="687C9CEC" w:rsidR="00B11F82" w:rsidRPr="00761B50" w:rsidRDefault="00B11F82" w:rsidP="00D60B68">
            <w:pPr>
              <w:spacing w:before="60"/>
            </w:pPr>
            <w:r w:rsidRPr="00761B50">
              <w:t>§ 71i</w:t>
            </w:r>
          </w:p>
        </w:tc>
        <w:tc>
          <w:tcPr>
            <w:tcW w:w="4739" w:type="dxa"/>
            <w:vMerge w:val="restart"/>
          </w:tcPr>
          <w:p w14:paraId="5172828B" w14:textId="77777777" w:rsidR="00B11F82" w:rsidRPr="00761B50" w:rsidRDefault="00B11F82" w:rsidP="00D60B68">
            <w:pPr>
              <w:spacing w:before="60"/>
              <w:jc w:val="center"/>
              <w:rPr>
                <w:b/>
              </w:rPr>
            </w:pPr>
            <w:r w:rsidRPr="00761B50">
              <w:rPr>
                <w:b/>
              </w:rPr>
              <w:t>§ 71i</w:t>
            </w:r>
          </w:p>
          <w:p w14:paraId="3F9B05DA" w14:textId="77777777" w:rsidR="00B11F82" w:rsidRPr="00761B50" w:rsidRDefault="00B11F82" w:rsidP="00D60B68">
            <w:pPr>
              <w:spacing w:before="60"/>
              <w:jc w:val="center"/>
              <w:rPr>
                <w:b/>
              </w:rPr>
            </w:pPr>
            <w:r w:rsidRPr="00761B50">
              <w:rPr>
                <w:b/>
              </w:rPr>
              <w:lastRenderedPageBreak/>
              <w:t>Osvobození od daně při dodání knih a poskytnutí obdobných služeb</w:t>
            </w:r>
          </w:p>
          <w:p w14:paraId="6B6D2A6F" w14:textId="77777777" w:rsidR="00B11F82" w:rsidRPr="00761B50" w:rsidRDefault="00B11F82" w:rsidP="00D60B68">
            <w:pPr>
              <w:spacing w:before="60"/>
              <w:rPr>
                <w:b/>
              </w:rPr>
            </w:pPr>
          </w:p>
          <w:p w14:paraId="7069F905" w14:textId="77777777" w:rsidR="008A68DF" w:rsidRPr="00761B50" w:rsidRDefault="008A68DF" w:rsidP="008A68DF">
            <w:pPr>
              <w:spacing w:before="60"/>
              <w:jc w:val="both"/>
              <w:rPr>
                <w:b/>
              </w:rPr>
            </w:pPr>
            <w:r w:rsidRPr="00761B50">
              <w:rPr>
                <w:b/>
              </w:rPr>
              <w:t>(1) Knihou se pro účely daně z přidané hodnoty rozumí kniha, brožura,  obrázková kniha pro děti, předloha ke kreslení pro děti nebo omalovánky pro děti, včetně zvukového záznamu přednesu jejich obsahu, pokud se jedná o zboží,</w:t>
            </w:r>
          </w:p>
          <w:p w14:paraId="2C831DF1" w14:textId="77777777" w:rsidR="008A68DF" w:rsidRPr="00761B50" w:rsidRDefault="008A68DF" w:rsidP="008A68DF">
            <w:pPr>
              <w:spacing w:before="60"/>
              <w:jc w:val="both"/>
              <w:rPr>
                <w:b/>
              </w:rPr>
            </w:pPr>
            <w:r w:rsidRPr="00761B50">
              <w:rPr>
                <w:b/>
              </w:rPr>
              <w:t>a) které je uvedeno pod kódem nomenklatury celního sazebníku, ve znění platném k 1. lednu 2018, v čísle 4901, 4903, nebo 8523,</w:t>
            </w:r>
          </w:p>
          <w:p w14:paraId="3D207A65" w14:textId="77777777" w:rsidR="008A68DF" w:rsidRPr="00761B50" w:rsidRDefault="008A68DF" w:rsidP="008A68DF">
            <w:pPr>
              <w:spacing w:before="60"/>
              <w:jc w:val="both"/>
              <w:rPr>
                <w:b/>
              </w:rPr>
            </w:pPr>
            <w:r w:rsidRPr="00761B50">
              <w:rPr>
                <w:b/>
              </w:rPr>
              <w:t>b)</w:t>
            </w:r>
            <w:r w:rsidRPr="00761B50">
              <w:rPr>
                <w:b/>
              </w:rPr>
              <w:tab/>
              <w:t xml:space="preserve">které je obsaženo na hmotném nosiči, </w:t>
            </w:r>
          </w:p>
          <w:p w14:paraId="22045859" w14:textId="77777777" w:rsidR="008A68DF" w:rsidRPr="00761B50" w:rsidRDefault="008A68DF" w:rsidP="008A68DF">
            <w:pPr>
              <w:spacing w:before="60"/>
              <w:jc w:val="both"/>
              <w:rPr>
                <w:b/>
              </w:rPr>
            </w:pPr>
            <w:r w:rsidRPr="00761B50">
              <w:rPr>
                <w:b/>
              </w:rPr>
              <w:t>c)</w:t>
            </w:r>
            <w:r w:rsidRPr="00761B50">
              <w:rPr>
                <w:b/>
              </w:rPr>
              <w:tab/>
              <w:t>u kterého reklama podle zákona upravujícího regulaci reklamy nepředstavuje více než 50 % jeho obsahu a</w:t>
            </w:r>
          </w:p>
          <w:p w14:paraId="1BBE1824" w14:textId="77777777" w:rsidR="008A68DF" w:rsidRPr="00761B50" w:rsidRDefault="008A68DF" w:rsidP="008A68DF">
            <w:pPr>
              <w:spacing w:before="60"/>
              <w:jc w:val="both"/>
              <w:rPr>
                <w:b/>
              </w:rPr>
            </w:pPr>
            <w:r w:rsidRPr="00761B50">
              <w:rPr>
                <w:b/>
              </w:rPr>
              <w:t>d)</w:t>
            </w:r>
            <w:r w:rsidRPr="00761B50">
              <w:rPr>
                <w:b/>
              </w:rPr>
              <w:tab/>
              <w:t>které se výlučně nebo převážně nesestává z hudebního zvukového nebo audiovizuálního obsahu.</w:t>
            </w:r>
          </w:p>
          <w:p w14:paraId="66B0CD54" w14:textId="77777777" w:rsidR="008A68DF" w:rsidRPr="00761B50" w:rsidRDefault="008A68DF" w:rsidP="008A68DF">
            <w:pPr>
              <w:spacing w:before="60"/>
              <w:jc w:val="both"/>
              <w:rPr>
                <w:b/>
              </w:rPr>
            </w:pPr>
            <w:r w:rsidRPr="00761B50">
              <w:rPr>
                <w:b/>
              </w:rPr>
              <w:t>(2) Službou obdobnou dodání knih se pro účely tohoto zákona rozumí</w:t>
            </w:r>
          </w:p>
          <w:p w14:paraId="27C20ED2" w14:textId="77777777" w:rsidR="008A68DF" w:rsidRPr="00761B50" w:rsidRDefault="008A68DF" w:rsidP="008A68DF">
            <w:pPr>
              <w:spacing w:before="60"/>
              <w:jc w:val="both"/>
              <w:rPr>
                <w:b/>
              </w:rPr>
            </w:pPr>
            <w:r w:rsidRPr="00761B50">
              <w:rPr>
                <w:b/>
              </w:rPr>
              <w:t>a)</w:t>
            </w:r>
            <w:r w:rsidRPr="00761B50">
              <w:rPr>
                <w:b/>
              </w:rPr>
              <w:tab/>
              <w:t>elektronicky poskytovaná služba spočívající v poskytnutí knihy, brožury, obrázkové knihy pro děti, předlohy ke kreslení pro děti nebo omalovánek pro děti, včetně zvukového záznamu přednesu jejich obsahu, jejichž dodání by bylo osvobozeno od daně, pokud by byly obsaženy na hmotném nosiči, včetně jejich zpřístupnění v rámci veřejných knihovnických a informačních nebo dalších služeb poskytovaných podle knihovního zákona nebo obdobných služeb poskytovaných podle jiného právního předpisu,</w:t>
            </w:r>
          </w:p>
          <w:p w14:paraId="73E8BD4F" w14:textId="5ABF5911" w:rsidR="00B11F82" w:rsidRPr="00761B50" w:rsidRDefault="008A68DF" w:rsidP="008A68DF">
            <w:pPr>
              <w:spacing w:before="60"/>
              <w:jc w:val="both"/>
              <w:rPr>
                <w:b/>
                <w:i/>
              </w:rPr>
            </w:pPr>
            <w:r w:rsidRPr="00761B50">
              <w:rPr>
                <w:b/>
              </w:rPr>
              <w:t>b) půjčování nebo nájem knihy, pokud se jedná o veřejné knihovnické a informační nebo další služby poskytované podle knihovního zákona nebo obdobné služby poskytované podle jiného právního předpisu.</w:t>
            </w:r>
          </w:p>
        </w:tc>
        <w:tc>
          <w:tcPr>
            <w:tcW w:w="1319" w:type="dxa"/>
            <w:vMerge w:val="restart"/>
          </w:tcPr>
          <w:p w14:paraId="42B3863A" w14:textId="313C912A" w:rsidR="00B11F82" w:rsidRPr="00761B50" w:rsidRDefault="00B11F82" w:rsidP="00D60B68">
            <w:pPr>
              <w:spacing w:before="60"/>
              <w:jc w:val="both"/>
            </w:pPr>
            <w:r w:rsidRPr="00761B50">
              <w:lastRenderedPageBreak/>
              <w:t>32022L0542</w:t>
            </w:r>
          </w:p>
        </w:tc>
        <w:tc>
          <w:tcPr>
            <w:tcW w:w="1451" w:type="dxa"/>
          </w:tcPr>
          <w:p w14:paraId="034286CB" w14:textId="77777777" w:rsidR="00B11F82" w:rsidRPr="00761B50" w:rsidRDefault="00B11F82" w:rsidP="00D60B68">
            <w:pPr>
              <w:spacing w:before="60"/>
            </w:pPr>
            <w:r w:rsidRPr="00761B50">
              <w:t xml:space="preserve">Článek 1 odst. 6 </w:t>
            </w:r>
          </w:p>
          <w:p w14:paraId="7C3149B1" w14:textId="683A5C37" w:rsidR="00B11F82" w:rsidRPr="00761B50" w:rsidRDefault="00B11F82" w:rsidP="00D60B68">
            <w:pPr>
              <w:spacing w:before="60"/>
            </w:pPr>
            <w:r w:rsidRPr="00761B50">
              <w:lastRenderedPageBreak/>
              <w:t>(čl. 98 odst. 2 první a druhý pododstavec)</w:t>
            </w:r>
          </w:p>
        </w:tc>
        <w:tc>
          <w:tcPr>
            <w:tcW w:w="5449" w:type="dxa"/>
          </w:tcPr>
          <w:p w14:paraId="3850BCF4" w14:textId="77777777" w:rsidR="00B11F82" w:rsidRPr="00761B50" w:rsidRDefault="00B11F82" w:rsidP="00D60B68">
            <w:pPr>
              <w:overflowPunct/>
              <w:spacing w:before="60"/>
              <w:jc w:val="both"/>
              <w:textAlignment w:val="auto"/>
            </w:pPr>
            <w:r w:rsidRPr="00761B50">
              <w:lastRenderedPageBreak/>
              <w:t xml:space="preserve">2. Kromě dvou snížených sazeb uvedených v odstavci 1 tohoto článku mohou členské státy uplatňovat sníženou sazbu, která je nižší než minimální sazba ve výši 5 %, a osvobození od daně s </w:t>
            </w:r>
            <w:r w:rsidRPr="00761B50">
              <w:lastRenderedPageBreak/>
              <w:t>nárokem na odpočet daně odvedené na předchozím stupni, na dodání zboží a poskytnutí služeb zahrnuté nejvýše v sedmi z bodů přílohy III.</w:t>
            </w:r>
          </w:p>
          <w:p w14:paraId="0C6DAB65" w14:textId="77777777" w:rsidR="00B11F82" w:rsidRPr="00761B50" w:rsidRDefault="00B11F82" w:rsidP="00D60B68">
            <w:pPr>
              <w:overflowPunct/>
              <w:spacing w:before="60"/>
              <w:jc w:val="both"/>
              <w:textAlignment w:val="auto"/>
            </w:pPr>
            <w:r w:rsidRPr="00761B50">
              <w:t>Snížená sazba, která je nižší než minimální sazba ve výši 5 %, a osvobození od daně s nárokem na odpočet daně odvedené na předchozím stupni se mohou uplatnit pouze na dodání zboží nebo poskytnutí služeb u těchto bodů přílohy III:</w:t>
            </w:r>
          </w:p>
          <w:p w14:paraId="6654F17E" w14:textId="77777777" w:rsidR="00B11F82" w:rsidRPr="00761B50" w:rsidRDefault="00B11F82" w:rsidP="00D60B68">
            <w:pPr>
              <w:overflowPunct/>
              <w:spacing w:before="60"/>
              <w:jc w:val="both"/>
              <w:textAlignment w:val="auto"/>
            </w:pPr>
            <w:r w:rsidRPr="00761B50">
              <w:t>a) body 1 až 6 a 10c;</w:t>
            </w:r>
          </w:p>
          <w:p w14:paraId="09E4F75A" w14:textId="63C16AA1" w:rsidR="00B11F82" w:rsidRPr="00761B50" w:rsidRDefault="00B11F82" w:rsidP="00D60B68">
            <w:pPr>
              <w:overflowPunct/>
              <w:spacing w:before="60"/>
              <w:jc w:val="both"/>
              <w:textAlignment w:val="auto"/>
            </w:pPr>
            <w:r w:rsidRPr="00761B50">
              <w:t>b) kterýkoli jiný bod přílohy III, na který se vztahují možnosti stanovené v čl. 105a odst. 1.</w:t>
            </w:r>
          </w:p>
        </w:tc>
      </w:tr>
      <w:tr w:rsidR="00761B50" w:rsidRPr="00761B50" w14:paraId="36D541A0" w14:textId="77777777" w:rsidTr="00FE464A">
        <w:trPr>
          <w:trHeight w:val="416"/>
        </w:trPr>
        <w:tc>
          <w:tcPr>
            <w:tcW w:w="1217" w:type="dxa"/>
            <w:vMerge/>
          </w:tcPr>
          <w:p w14:paraId="73730216" w14:textId="77777777" w:rsidR="00B11F82" w:rsidRPr="00761B50" w:rsidRDefault="00B11F82" w:rsidP="00D60B68">
            <w:pPr>
              <w:spacing w:before="60"/>
            </w:pPr>
          </w:p>
        </w:tc>
        <w:tc>
          <w:tcPr>
            <w:tcW w:w="4739" w:type="dxa"/>
            <w:vMerge/>
          </w:tcPr>
          <w:p w14:paraId="1E240765" w14:textId="77777777" w:rsidR="00B11F82" w:rsidRPr="00761B50" w:rsidRDefault="00B11F82" w:rsidP="00D60B68">
            <w:pPr>
              <w:spacing w:before="60"/>
              <w:jc w:val="center"/>
              <w:rPr>
                <w:b/>
              </w:rPr>
            </w:pPr>
          </w:p>
        </w:tc>
        <w:tc>
          <w:tcPr>
            <w:tcW w:w="1319" w:type="dxa"/>
            <w:vMerge/>
          </w:tcPr>
          <w:p w14:paraId="673C7BD7" w14:textId="73EB0636" w:rsidR="00B11F82" w:rsidRPr="00761B50" w:rsidRDefault="00B11F82" w:rsidP="00D60B68">
            <w:pPr>
              <w:spacing w:before="60"/>
              <w:jc w:val="both"/>
            </w:pPr>
          </w:p>
        </w:tc>
        <w:tc>
          <w:tcPr>
            <w:tcW w:w="1451" w:type="dxa"/>
          </w:tcPr>
          <w:p w14:paraId="5FCE0EEB" w14:textId="77777777" w:rsidR="00B11F82" w:rsidRPr="00761B50" w:rsidRDefault="00B11F82" w:rsidP="00D60B68">
            <w:pPr>
              <w:spacing w:before="60"/>
            </w:pPr>
            <w:r w:rsidRPr="00761B50">
              <w:t>Příloha bod 1</w:t>
            </w:r>
          </w:p>
          <w:p w14:paraId="1667D241" w14:textId="4101F5C8" w:rsidR="00B11F82" w:rsidRPr="00761B50" w:rsidRDefault="00B11F82" w:rsidP="00D60B68">
            <w:pPr>
              <w:spacing w:before="60"/>
            </w:pPr>
            <w:r w:rsidRPr="00761B50">
              <w:t>(příloha III,</w:t>
            </w:r>
            <w:r w:rsidRPr="00761B50">
              <w:br/>
              <w:t>bod 6)</w:t>
            </w:r>
          </w:p>
        </w:tc>
        <w:tc>
          <w:tcPr>
            <w:tcW w:w="5449" w:type="dxa"/>
          </w:tcPr>
          <w:p w14:paraId="27F9D7B7" w14:textId="7BB843FB" w:rsidR="00B11F82" w:rsidRPr="00761B50" w:rsidRDefault="00B11F82" w:rsidP="00D60B68">
            <w:pPr>
              <w:overflowPunct/>
              <w:spacing w:before="60"/>
              <w:jc w:val="both"/>
              <w:textAlignment w:val="auto"/>
            </w:pPr>
            <w:r w:rsidRPr="00761B50">
              <w:t>6) dodání knih, novin a časopisů (včetně brožur, letáků a obdobných tiskovin, dětských obrázkových knížek, náčrtníků či omalovánek, hudebních partitur tištěných či psaných, zeměpisných, vodopisných nebo obdobných map) buď na fyzickém nosiči, nebo elektronicky, nebo oběma způsoby, a to včetně dodání na výpůjčku knihovnami, nejedná-li se o publikace výlučně nebo převážně určené k propagaci ani o publikace výlučně nebo převážně sestávající ze zvukového hudebního nebo video obsahu; výroba publikací neziskových organizací a služby související s touto výrobou;</w:t>
            </w:r>
          </w:p>
        </w:tc>
      </w:tr>
      <w:tr w:rsidR="00761B50" w:rsidRPr="00761B50" w14:paraId="4CCB57FE" w14:textId="77777777" w:rsidTr="00587190">
        <w:trPr>
          <w:trHeight w:val="981"/>
        </w:trPr>
        <w:tc>
          <w:tcPr>
            <w:tcW w:w="1217" w:type="dxa"/>
            <w:vMerge w:val="restart"/>
          </w:tcPr>
          <w:p w14:paraId="47ED0194" w14:textId="30355AEA" w:rsidR="00D60B68" w:rsidRPr="00761B50" w:rsidRDefault="00D60B68" w:rsidP="00D60B68">
            <w:pPr>
              <w:spacing w:before="60"/>
            </w:pPr>
            <w:r w:rsidRPr="00761B50">
              <w:t>příloha č. 2</w:t>
            </w:r>
          </w:p>
        </w:tc>
        <w:tc>
          <w:tcPr>
            <w:tcW w:w="4739" w:type="dxa"/>
            <w:vMerge w:val="restart"/>
          </w:tcPr>
          <w:p w14:paraId="11E2E37B" w14:textId="77777777" w:rsidR="00D60B68" w:rsidRPr="00761B50" w:rsidRDefault="00D60B68" w:rsidP="00D60B68">
            <w:pPr>
              <w:widowControl w:val="0"/>
              <w:jc w:val="right"/>
              <w:rPr>
                <w:b/>
                <w:bCs/>
              </w:rPr>
            </w:pPr>
            <w:r w:rsidRPr="00761B50">
              <w:rPr>
                <w:b/>
                <w:bCs/>
              </w:rPr>
              <w:t xml:space="preserve">Příloha č. 2 k zákonu č. 235/2004 Sb.  </w:t>
            </w:r>
          </w:p>
          <w:p w14:paraId="483D988F" w14:textId="77777777" w:rsidR="00D60B68" w:rsidRPr="00761B50" w:rsidRDefault="00D60B68" w:rsidP="00D60B68">
            <w:pPr>
              <w:widowControl w:val="0"/>
              <w:jc w:val="center"/>
              <w:rPr>
                <w:b/>
                <w:bCs/>
              </w:rPr>
            </w:pPr>
            <w:r w:rsidRPr="00761B50">
              <w:rPr>
                <w:b/>
                <w:bCs/>
              </w:rPr>
              <w:t xml:space="preserve">Seznam služeb podléhajících snížené sazbě daně </w:t>
            </w:r>
          </w:p>
          <w:p w14:paraId="7E128C99" w14:textId="77777777" w:rsidR="00D60B68" w:rsidRPr="00761B50" w:rsidRDefault="00D60B68" w:rsidP="00D60B68">
            <w:pPr>
              <w:spacing w:before="60"/>
              <w:rPr>
                <w:b/>
              </w:rPr>
            </w:pPr>
          </w:p>
          <w:p w14:paraId="28A8C3F1" w14:textId="77777777" w:rsidR="00D60B68" w:rsidRPr="00761B50" w:rsidRDefault="00D60B68" w:rsidP="00D60B68">
            <w:pPr>
              <w:widowControl w:val="0"/>
              <w:tabs>
                <w:tab w:val="left" w:pos="1701"/>
              </w:tabs>
              <w:spacing w:after="120"/>
              <w:jc w:val="both"/>
              <w:rPr>
                <w:b/>
              </w:rPr>
            </w:pPr>
            <w:r w:rsidRPr="00761B50">
              <w:rPr>
                <w:b/>
              </w:rPr>
              <w:lastRenderedPageBreak/>
              <w:t>CZ-CPA</w:t>
            </w:r>
            <w:r w:rsidRPr="00761B50">
              <w:rPr>
                <w:b/>
              </w:rPr>
              <w:tab/>
              <w:t>Popis služby</w:t>
            </w:r>
          </w:p>
          <w:p w14:paraId="6D71BFDA" w14:textId="77777777" w:rsidR="00D60B68" w:rsidRPr="00761B50" w:rsidRDefault="00D60B68" w:rsidP="00D60B68">
            <w:pPr>
              <w:widowControl w:val="0"/>
              <w:tabs>
                <w:tab w:val="left" w:pos="1701"/>
              </w:tabs>
              <w:spacing w:after="60"/>
              <w:jc w:val="both"/>
              <w:rPr>
                <w:b/>
              </w:rPr>
            </w:pPr>
            <w:r w:rsidRPr="00761B50">
              <w:rPr>
                <w:b/>
              </w:rPr>
              <w:t>36.00.2</w:t>
            </w:r>
            <w:r w:rsidRPr="00761B50">
              <w:rPr>
                <w:b/>
              </w:rPr>
              <w:tab/>
              <w:t>Úprava a rozvod vody prostřednictvím sítí.</w:t>
            </w:r>
          </w:p>
          <w:p w14:paraId="3FD9FD17" w14:textId="77777777" w:rsidR="00D60B68" w:rsidRPr="00761B50" w:rsidRDefault="00D60B68" w:rsidP="00D60B68">
            <w:pPr>
              <w:widowControl w:val="0"/>
              <w:tabs>
                <w:tab w:val="left" w:pos="1701"/>
              </w:tabs>
              <w:jc w:val="both"/>
              <w:rPr>
                <w:b/>
              </w:rPr>
            </w:pPr>
            <w:r w:rsidRPr="00761B50">
              <w:rPr>
                <w:b/>
              </w:rPr>
              <w:t>37</w:t>
            </w:r>
            <w:r w:rsidRPr="00761B50">
              <w:rPr>
                <w:b/>
              </w:rPr>
              <w:tab/>
              <w:t>Odvádění a čištění odpadních vod včetně ostatních služeb souvisejících</w:t>
            </w:r>
          </w:p>
          <w:p w14:paraId="28CF2E9A" w14:textId="77777777" w:rsidR="00D60B68" w:rsidRPr="00761B50" w:rsidRDefault="00D60B68" w:rsidP="00D60B68">
            <w:pPr>
              <w:widowControl w:val="0"/>
              <w:tabs>
                <w:tab w:val="left" w:pos="1701"/>
              </w:tabs>
              <w:spacing w:after="60"/>
              <w:jc w:val="both"/>
              <w:rPr>
                <w:b/>
              </w:rPr>
            </w:pPr>
            <w:r w:rsidRPr="00761B50">
              <w:rPr>
                <w:b/>
              </w:rPr>
              <w:tab/>
              <w:t>s těmito činnostmi.</w:t>
            </w:r>
          </w:p>
          <w:p w14:paraId="2F3B9C38" w14:textId="6B507032" w:rsidR="00D60B68" w:rsidRPr="00761B50" w:rsidRDefault="00D60B68" w:rsidP="00D60B68">
            <w:pPr>
              <w:widowControl w:val="0"/>
              <w:tabs>
                <w:tab w:val="left" w:pos="1701"/>
              </w:tabs>
              <w:spacing w:after="60"/>
              <w:jc w:val="both"/>
              <w:rPr>
                <w:b/>
                <w:highlight w:val="lightGray"/>
              </w:rPr>
            </w:pPr>
            <w:r w:rsidRPr="00761B50">
              <w:rPr>
                <w:b/>
              </w:rPr>
              <w:t>49</w:t>
            </w:r>
            <w:r w:rsidRPr="00761B50">
              <w:rPr>
                <w:b/>
              </w:rPr>
              <w:tab/>
              <w:t xml:space="preserve">Pozemní hromadná doprava osob a jejich zavazadel; </w:t>
            </w:r>
            <w:r w:rsidRPr="00761B50">
              <w:rPr>
                <w:b/>
              </w:rPr>
              <w:tab/>
              <w:t>osobní doprava lyžařskými vleky.</w:t>
            </w:r>
          </w:p>
          <w:p w14:paraId="1CE4D4C1" w14:textId="1C9B69C4" w:rsidR="00D60B68" w:rsidRPr="00761B50" w:rsidRDefault="00D60B68" w:rsidP="00D60B68">
            <w:pPr>
              <w:widowControl w:val="0"/>
              <w:tabs>
                <w:tab w:val="left" w:pos="1701"/>
              </w:tabs>
              <w:spacing w:after="60"/>
              <w:jc w:val="both"/>
              <w:rPr>
                <w:b/>
              </w:rPr>
            </w:pPr>
            <w:r w:rsidRPr="00761B50">
              <w:rPr>
                <w:b/>
              </w:rPr>
              <w:t>50</w:t>
            </w:r>
            <w:r w:rsidRPr="00761B50">
              <w:rPr>
                <w:b/>
              </w:rPr>
              <w:tab/>
              <w:t>Vodní hromadná doprava osob a jejich zavazadel.</w:t>
            </w:r>
          </w:p>
          <w:p w14:paraId="11C2C3BD" w14:textId="77777777" w:rsidR="00D60B68" w:rsidRPr="00761B50" w:rsidRDefault="00D60B68" w:rsidP="00D60B68">
            <w:pPr>
              <w:widowControl w:val="0"/>
              <w:tabs>
                <w:tab w:val="left" w:pos="1701"/>
              </w:tabs>
              <w:spacing w:after="60"/>
              <w:jc w:val="both"/>
              <w:rPr>
                <w:b/>
              </w:rPr>
            </w:pPr>
            <w:r w:rsidRPr="00761B50">
              <w:rPr>
                <w:b/>
              </w:rPr>
              <w:t>55</w:t>
            </w:r>
            <w:r w:rsidRPr="00761B50">
              <w:rPr>
                <w:b/>
              </w:rPr>
              <w:tab/>
              <w:t>Ubytovací služby.</w:t>
            </w:r>
          </w:p>
          <w:p w14:paraId="77DBD20B" w14:textId="77777777" w:rsidR="00D60B68" w:rsidRPr="00761B50" w:rsidRDefault="00D60B68" w:rsidP="00D60B68">
            <w:pPr>
              <w:widowControl w:val="0"/>
              <w:tabs>
                <w:tab w:val="left" w:pos="1701"/>
              </w:tabs>
              <w:spacing w:after="60"/>
              <w:ind w:left="1700" w:hanging="1700"/>
              <w:jc w:val="both"/>
              <w:rPr>
                <w:b/>
              </w:rPr>
            </w:pPr>
            <w:r w:rsidRPr="00761B50">
              <w:rPr>
                <w:b/>
              </w:rPr>
              <w:t>56</w:t>
            </w:r>
            <w:r w:rsidRPr="00761B50">
              <w:rPr>
                <w:b/>
              </w:rPr>
              <w:tab/>
              <w:t>Stravovací služby, s výjimkou podávání nápojů jiných než pitné vody; podávání pitné vody.</w:t>
            </w:r>
          </w:p>
          <w:p w14:paraId="4715EC87" w14:textId="77777777" w:rsidR="00D60B68" w:rsidRPr="00761B50" w:rsidRDefault="00D60B68" w:rsidP="00D60B68">
            <w:pPr>
              <w:widowControl w:val="0"/>
              <w:tabs>
                <w:tab w:val="left" w:pos="1701"/>
              </w:tabs>
              <w:spacing w:before="60"/>
              <w:ind w:left="708" w:hanging="708"/>
              <w:jc w:val="both"/>
              <w:rPr>
                <w:b/>
              </w:rPr>
            </w:pPr>
            <w:r w:rsidRPr="00761B50">
              <w:rPr>
                <w:b/>
              </w:rPr>
              <w:t>59.14, 90, 91,</w:t>
            </w:r>
            <w:r w:rsidRPr="00761B50">
              <w:rPr>
                <w:b/>
              </w:rPr>
              <w:tab/>
              <w:t>Poskytnutí oprávnění ke vstupu na představení, do divadel, do cirkusů,</w:t>
            </w:r>
          </w:p>
          <w:p w14:paraId="2F1FCCB0" w14:textId="77777777" w:rsidR="00D60B68" w:rsidRPr="00761B50" w:rsidRDefault="00D60B68" w:rsidP="00D60B68">
            <w:pPr>
              <w:widowControl w:val="0"/>
              <w:tabs>
                <w:tab w:val="left" w:pos="1701"/>
              </w:tabs>
              <w:jc w:val="both"/>
              <w:rPr>
                <w:b/>
              </w:rPr>
            </w:pPr>
            <w:r w:rsidRPr="00761B50">
              <w:rPr>
                <w:b/>
              </w:rPr>
              <w:t>93</w:t>
            </w:r>
            <w:r w:rsidRPr="00761B50">
              <w:rPr>
                <w:b/>
              </w:rPr>
              <w:tab/>
              <w:t xml:space="preserve">do zábavních parků, na koncerty, do muzeí, do zoologických zahrad, do </w:t>
            </w:r>
          </w:p>
          <w:p w14:paraId="71FC4703" w14:textId="77777777" w:rsidR="00D60B68" w:rsidRPr="00761B50" w:rsidRDefault="00D60B68" w:rsidP="00D60B68">
            <w:pPr>
              <w:widowControl w:val="0"/>
              <w:tabs>
                <w:tab w:val="left" w:pos="1701"/>
              </w:tabs>
              <w:ind w:left="1701"/>
              <w:jc w:val="both"/>
              <w:rPr>
                <w:b/>
              </w:rPr>
            </w:pPr>
            <w:r w:rsidRPr="00761B50">
              <w:rPr>
                <w:b/>
              </w:rPr>
              <w:t>kin, na výstavy a na podobné kulturní události nebo do podobných kulturních zařízení; poskytnutí oprávnění ke vstupu do botanických zahrad, přírodních rezervací a národních parků.</w:t>
            </w:r>
          </w:p>
          <w:p w14:paraId="763D3E70" w14:textId="77777777" w:rsidR="00D60B68" w:rsidRPr="00761B50" w:rsidRDefault="00D60B68" w:rsidP="00D60B68">
            <w:pPr>
              <w:widowControl w:val="0"/>
              <w:tabs>
                <w:tab w:val="left" w:pos="1701"/>
              </w:tabs>
              <w:ind w:left="1695" w:hanging="1695"/>
              <w:jc w:val="both"/>
              <w:rPr>
                <w:b/>
              </w:rPr>
            </w:pPr>
            <w:r w:rsidRPr="00761B50">
              <w:rPr>
                <w:b/>
              </w:rPr>
              <w:t>77, 85, 91</w:t>
            </w:r>
            <w:r w:rsidRPr="00761B50">
              <w:rPr>
                <w:b/>
              </w:rPr>
              <w:tab/>
            </w:r>
            <w:r w:rsidRPr="00761B50">
              <w:rPr>
                <w:b/>
              </w:rPr>
              <w:tab/>
              <w:t>Půjčování nebo nájem novin, časopisů, periodik, hudebnin a kartografických výrobků, na jejichž dodání se uplatňuje snížená sazba daně, pokud se jedná o veřejné knihovnické a informační nebo další služby poskytované podle knihovního zákona nebo obdobné služby poskytované podle jiného právního předpisu.</w:t>
            </w:r>
          </w:p>
          <w:p w14:paraId="269154BC" w14:textId="77777777" w:rsidR="00D60B68" w:rsidRPr="00761B50" w:rsidRDefault="00D60B68" w:rsidP="00D60B68">
            <w:pPr>
              <w:widowControl w:val="0"/>
              <w:tabs>
                <w:tab w:val="left" w:pos="1701"/>
              </w:tabs>
              <w:jc w:val="both"/>
              <w:rPr>
                <w:b/>
              </w:rPr>
            </w:pPr>
            <w:r w:rsidRPr="00761B50">
              <w:rPr>
                <w:b/>
              </w:rPr>
              <w:t>86</w:t>
            </w:r>
            <w:r w:rsidRPr="00761B50">
              <w:rPr>
                <w:b/>
              </w:rPr>
              <w:tab/>
              <w:t>Zdravotní péče.</w:t>
            </w:r>
          </w:p>
          <w:p w14:paraId="306C887D" w14:textId="77777777" w:rsidR="00D60B68" w:rsidRPr="00761B50" w:rsidRDefault="00D60B68" w:rsidP="00D60B68">
            <w:pPr>
              <w:widowControl w:val="0"/>
              <w:tabs>
                <w:tab w:val="left" w:pos="1701"/>
              </w:tabs>
              <w:spacing w:after="60"/>
              <w:jc w:val="both"/>
              <w:rPr>
                <w:b/>
              </w:rPr>
            </w:pPr>
            <w:r w:rsidRPr="00761B50">
              <w:rPr>
                <w:b/>
              </w:rPr>
              <w:lastRenderedPageBreak/>
              <w:t>87</w:t>
            </w:r>
            <w:r w:rsidRPr="00761B50">
              <w:rPr>
                <w:b/>
              </w:rPr>
              <w:tab/>
              <w:t>Sociální péče.</w:t>
            </w:r>
          </w:p>
          <w:p w14:paraId="4EBCF53B" w14:textId="77777777" w:rsidR="00D60B68" w:rsidRPr="00761B50" w:rsidRDefault="00D60B68" w:rsidP="00D60B68">
            <w:pPr>
              <w:widowControl w:val="0"/>
              <w:tabs>
                <w:tab w:val="left" w:pos="1701"/>
              </w:tabs>
              <w:spacing w:after="60"/>
              <w:jc w:val="both"/>
              <w:rPr>
                <w:b/>
              </w:rPr>
            </w:pPr>
            <w:r w:rsidRPr="00761B50">
              <w:rPr>
                <w:b/>
              </w:rPr>
              <w:t>88.10, 88.91</w:t>
            </w:r>
            <w:r w:rsidRPr="00761B50">
              <w:rPr>
                <w:b/>
              </w:rPr>
              <w:tab/>
              <w:t>Domácí péče o děti, staré, nemocné nebo zdravotně postižené občany.</w:t>
            </w:r>
          </w:p>
          <w:p w14:paraId="4218BFC3" w14:textId="77777777" w:rsidR="00D60B68" w:rsidRPr="00761B50" w:rsidRDefault="00D60B68" w:rsidP="00D60B68">
            <w:pPr>
              <w:widowControl w:val="0"/>
              <w:tabs>
                <w:tab w:val="left" w:pos="1701"/>
              </w:tabs>
              <w:jc w:val="both"/>
              <w:rPr>
                <w:b/>
              </w:rPr>
            </w:pPr>
            <w:r w:rsidRPr="00761B50">
              <w:rPr>
                <w:b/>
              </w:rPr>
              <w:t>93.11, 93.12,</w:t>
            </w:r>
            <w:r w:rsidRPr="00761B50">
              <w:rPr>
                <w:b/>
              </w:rPr>
              <w:tab/>
              <w:t>Poskytnutí oprávnění ke vstupu na sportovní události; použití krytých</w:t>
            </w:r>
          </w:p>
          <w:p w14:paraId="4A8161D3" w14:textId="77777777" w:rsidR="00D60B68" w:rsidRPr="00761B50" w:rsidRDefault="00D60B68" w:rsidP="00D60B68">
            <w:pPr>
              <w:widowControl w:val="0"/>
              <w:tabs>
                <w:tab w:val="left" w:pos="1701"/>
              </w:tabs>
              <w:ind w:left="1695" w:hanging="1695"/>
              <w:jc w:val="both"/>
              <w:rPr>
                <w:b/>
              </w:rPr>
            </w:pPr>
            <w:r w:rsidRPr="00761B50">
              <w:rPr>
                <w:b/>
              </w:rPr>
              <w:t>93.13, 93.29.11</w:t>
            </w:r>
            <w:r w:rsidRPr="00761B50">
              <w:rPr>
                <w:b/>
              </w:rPr>
              <w:tab/>
              <w:t>i nekrytých sportovních zařízení ke sportovním činnostem; služby související s provozem rekreačních parků a pláží.</w:t>
            </w:r>
          </w:p>
          <w:p w14:paraId="6092A827" w14:textId="77777777" w:rsidR="00D60B68" w:rsidRPr="00761B50" w:rsidRDefault="00D60B68" w:rsidP="00D60B68">
            <w:pPr>
              <w:widowControl w:val="0"/>
              <w:tabs>
                <w:tab w:val="left" w:pos="1701"/>
              </w:tabs>
              <w:jc w:val="both"/>
              <w:rPr>
                <w:b/>
              </w:rPr>
            </w:pPr>
            <w:r w:rsidRPr="00761B50">
              <w:rPr>
                <w:b/>
              </w:rPr>
              <w:t>96.03</w:t>
            </w:r>
            <w:r w:rsidRPr="00761B50">
              <w:rPr>
                <w:b/>
              </w:rPr>
              <w:tab/>
              <w:t>Pohřební a související služby mimo pohřebních služeb pro zvířata.</w:t>
            </w:r>
          </w:p>
          <w:p w14:paraId="7549CB76" w14:textId="77777777" w:rsidR="00D60B68" w:rsidRPr="00761B50" w:rsidRDefault="00D60B68" w:rsidP="00D60B68">
            <w:pPr>
              <w:widowControl w:val="0"/>
              <w:tabs>
                <w:tab w:val="left" w:pos="1701"/>
              </w:tabs>
              <w:spacing w:after="60"/>
              <w:jc w:val="both"/>
              <w:rPr>
                <w:b/>
              </w:rPr>
            </w:pPr>
            <w:r w:rsidRPr="00761B50">
              <w:rPr>
                <w:b/>
              </w:rPr>
              <w:t>96.04</w:t>
            </w:r>
            <w:r w:rsidRPr="00761B50">
              <w:rPr>
                <w:b/>
              </w:rPr>
              <w:tab/>
              <w:t>Služby tureckých lázní, saun, parních lázní a solných jeskyní.</w:t>
            </w:r>
          </w:p>
          <w:p w14:paraId="2B0F7244" w14:textId="77777777" w:rsidR="00D60B68" w:rsidRPr="00761B50" w:rsidRDefault="00D60B68" w:rsidP="00D60B68">
            <w:pPr>
              <w:widowControl w:val="0"/>
              <w:spacing w:before="120"/>
              <w:jc w:val="both"/>
              <w:rPr>
                <w:b/>
              </w:rPr>
            </w:pPr>
            <w:r w:rsidRPr="00761B50">
              <w:rPr>
                <w:b/>
              </w:rPr>
              <w:t>Snížené sazbě daně podléhají služby, které odpovídají současně číselnému kódu klasifikace produkce CZ-CPA, ve znění platném k 1. lednu 2008, a výslovně uvedenému slovnímu popisu k tomuto kódu v textové části této přílohy.</w:t>
            </w:r>
          </w:p>
          <w:p w14:paraId="0A9F730C" w14:textId="737113AF" w:rsidR="00D60B68" w:rsidRPr="00761B50" w:rsidRDefault="008A68DF" w:rsidP="00D60B68">
            <w:pPr>
              <w:widowControl w:val="0"/>
              <w:spacing w:before="120"/>
              <w:jc w:val="both"/>
              <w:rPr>
                <w:b/>
              </w:rPr>
            </w:pPr>
            <w:r w:rsidRPr="00761B50">
              <w:rPr>
                <w:b/>
              </w:rPr>
              <w:t>H</w:t>
            </w:r>
            <w:r w:rsidR="00D60B68" w:rsidRPr="00761B50">
              <w:rPr>
                <w:b/>
              </w:rPr>
              <w:t>romadnou dopravou osob se pro účely daně z přidané hodnoty rozumí přeprava osob po stanovených trasách, kdy cestující nastupují a vystupují na předem určených zastávkách nebo místech podle předem stanovených jízdních řádů, schválených podle zákona č. 266/1994 Sb., o dráhách, ve znění pozdějších předpisů, nebo zákona č. 114/1995 Sb., o vnitrozemské plavbě, ve znění pozdějších předpisů, a přeprava osob, která je linkovou osobní dopravou nebo příležitostnou osobní silniční dopravou podle zákona č. 111/1994 Sb., o silniční dopravě, ve znění pozdějších předpisů.</w:t>
            </w:r>
          </w:p>
          <w:p w14:paraId="6A6259F6" w14:textId="220D4CC2" w:rsidR="00D60B68" w:rsidRPr="00761B50" w:rsidRDefault="00D60B68" w:rsidP="00D60B68">
            <w:pPr>
              <w:spacing w:before="60"/>
              <w:jc w:val="both"/>
              <w:rPr>
                <w:b/>
                <w:szCs w:val="24"/>
              </w:rPr>
            </w:pPr>
            <w:r w:rsidRPr="00761B50">
              <w:rPr>
                <w:b/>
              </w:rPr>
              <w:t xml:space="preserve">Pitnou vodou se pro účely daně z přidané hodnoty rozumí pitná voda dodávaná odběratelům vodovodem podle zákona č. 274/2001 Sb., o vodovodech a kanalizacích pro veřejnou potřebu a o změně některých zákonů (zákon o vodovodech a kanalizacích), ve znění pozdějších předpisů, a teplá voda dodávaná potrubím užitkové vody nebo vnitřním vodovodem, které jsou konstrukčně propojeny </w:t>
            </w:r>
            <w:r w:rsidRPr="00761B50">
              <w:rPr>
                <w:b/>
              </w:rPr>
              <w:lastRenderedPageBreak/>
              <w:t>směšovací baterií s vodovodním potrubím pitné vody splňující podmínky zákona č. 258/2000 Sb., o ochraně veřejného zdraví a o změně některých souvisejících zákonů, ve znění pozdějších předpisů a vyhlášky č. 252/2004 Sb., kterou se stanoví hygienické požadavky na pitnou a teplou vodu a četnost a rozsah kontroly pitné vody.</w:t>
            </w:r>
          </w:p>
        </w:tc>
        <w:tc>
          <w:tcPr>
            <w:tcW w:w="1319" w:type="dxa"/>
          </w:tcPr>
          <w:p w14:paraId="5A223258" w14:textId="15B50BB6" w:rsidR="00D60B68" w:rsidRPr="00761B50" w:rsidRDefault="00D60B68" w:rsidP="00D60B68">
            <w:pPr>
              <w:spacing w:before="60"/>
              <w:jc w:val="both"/>
            </w:pPr>
            <w:r w:rsidRPr="00761B50">
              <w:lastRenderedPageBreak/>
              <w:t>32006L0112</w:t>
            </w:r>
          </w:p>
        </w:tc>
        <w:tc>
          <w:tcPr>
            <w:tcW w:w="1451" w:type="dxa"/>
          </w:tcPr>
          <w:p w14:paraId="6CF23D19" w14:textId="4398CA13" w:rsidR="00D60B68" w:rsidRPr="00761B50" w:rsidRDefault="00D60B68" w:rsidP="00D60B68">
            <w:pPr>
              <w:spacing w:before="60"/>
            </w:pPr>
            <w:r w:rsidRPr="00761B50">
              <w:t>Příloha III,</w:t>
            </w:r>
            <w:r w:rsidRPr="00761B50">
              <w:br/>
              <w:t>(body 2, 12, 16, 17)</w:t>
            </w:r>
          </w:p>
        </w:tc>
        <w:tc>
          <w:tcPr>
            <w:tcW w:w="5449" w:type="dxa"/>
          </w:tcPr>
          <w:p w14:paraId="7DE92D50" w14:textId="77777777" w:rsidR="00D60B68" w:rsidRPr="00761B50" w:rsidRDefault="00D60B68" w:rsidP="00D60B68">
            <w:pPr>
              <w:spacing w:before="60" w:after="60"/>
              <w:jc w:val="both"/>
            </w:pPr>
            <w:r w:rsidRPr="00761B50">
              <w:t>2) rozvod vody;</w:t>
            </w:r>
          </w:p>
          <w:p w14:paraId="21868ECC" w14:textId="77777777" w:rsidR="00D60B68" w:rsidRPr="00761B50" w:rsidRDefault="00D60B68" w:rsidP="00D60B68">
            <w:pPr>
              <w:spacing w:before="60" w:after="60"/>
              <w:jc w:val="both"/>
            </w:pPr>
            <w:r w:rsidRPr="00761B50">
              <w:t xml:space="preserve">12) poskytnutí ubytování hotelovými a jinými obdobnými zařízeními, včetně poskytnutí ubytování v prázdninových táborech </w:t>
            </w:r>
            <w:r w:rsidRPr="00761B50">
              <w:lastRenderedPageBreak/>
              <w:t>a na místech upravených k využívání jako tábořiště a parkovišť pro obytné přívěsy;</w:t>
            </w:r>
          </w:p>
          <w:p w14:paraId="7A2E32DA" w14:textId="77777777" w:rsidR="00D60B68" w:rsidRPr="00761B50" w:rsidRDefault="00D60B68" w:rsidP="00D60B68">
            <w:pPr>
              <w:spacing w:before="60" w:after="60"/>
              <w:jc w:val="both"/>
            </w:pPr>
            <w:r w:rsidRPr="00761B50">
              <w:t>16) poskytnutí služeb pohřebními ústavy a krematorii, jakož i dodání souvisejícího zboží;</w:t>
            </w:r>
          </w:p>
          <w:p w14:paraId="241ECDD6" w14:textId="56684BBB" w:rsidR="00D60B68" w:rsidRPr="00761B50" w:rsidRDefault="00D60B68" w:rsidP="00D60B68">
            <w:pPr>
              <w:spacing w:before="60" w:after="60"/>
              <w:jc w:val="both"/>
            </w:pPr>
            <w:r w:rsidRPr="00761B50">
              <w:t>17) poskytnutí lékařské, zubolékařské a lázeňské péče, není-li osvobozeno od daně podle čl. 132 odst. 1 písm. b) až e);</w:t>
            </w:r>
          </w:p>
        </w:tc>
      </w:tr>
      <w:tr w:rsidR="00761B50" w:rsidRPr="00761B50" w14:paraId="7A25512F" w14:textId="77777777" w:rsidTr="00587190">
        <w:trPr>
          <w:trHeight w:val="981"/>
        </w:trPr>
        <w:tc>
          <w:tcPr>
            <w:tcW w:w="1217" w:type="dxa"/>
            <w:vMerge/>
          </w:tcPr>
          <w:p w14:paraId="2CE0FBF8" w14:textId="77777777" w:rsidR="00D60B68" w:rsidRPr="00761B50" w:rsidRDefault="00D60B68" w:rsidP="00D60B68">
            <w:pPr>
              <w:spacing w:before="60"/>
            </w:pPr>
          </w:p>
        </w:tc>
        <w:tc>
          <w:tcPr>
            <w:tcW w:w="4739" w:type="dxa"/>
            <w:vMerge/>
          </w:tcPr>
          <w:p w14:paraId="4E2F16D6" w14:textId="77777777" w:rsidR="00D60B68" w:rsidRPr="00761B50" w:rsidRDefault="00D60B68" w:rsidP="00D60B68">
            <w:pPr>
              <w:widowControl w:val="0"/>
              <w:jc w:val="right"/>
              <w:rPr>
                <w:b/>
                <w:bCs/>
              </w:rPr>
            </w:pPr>
          </w:p>
        </w:tc>
        <w:tc>
          <w:tcPr>
            <w:tcW w:w="1319" w:type="dxa"/>
            <w:vMerge w:val="restart"/>
          </w:tcPr>
          <w:p w14:paraId="7F8BDCFD" w14:textId="2F96BAFA" w:rsidR="00D60B68" w:rsidRPr="00761B50" w:rsidRDefault="00D60B68" w:rsidP="00D60B68">
            <w:pPr>
              <w:spacing w:before="60"/>
              <w:jc w:val="both"/>
            </w:pPr>
            <w:r w:rsidRPr="00761B50">
              <w:t>32009L0047</w:t>
            </w:r>
          </w:p>
        </w:tc>
        <w:tc>
          <w:tcPr>
            <w:tcW w:w="1451" w:type="dxa"/>
          </w:tcPr>
          <w:p w14:paraId="33A9E087" w14:textId="30C21FC5" w:rsidR="00D60B68" w:rsidRPr="00761B50" w:rsidRDefault="00D60B68" w:rsidP="00D60B68">
            <w:pPr>
              <w:spacing w:before="60"/>
            </w:pPr>
            <w:r w:rsidRPr="00761B50">
              <w:t>PŘÍLOHA</w:t>
            </w:r>
            <w:r w:rsidRPr="00761B50">
              <w:br/>
              <w:t>odst. 3</w:t>
            </w:r>
            <w:r w:rsidRPr="00761B50">
              <w:br/>
              <w:t>(příloha III bod 12a)</w:t>
            </w:r>
          </w:p>
        </w:tc>
        <w:tc>
          <w:tcPr>
            <w:tcW w:w="5449" w:type="dxa"/>
          </w:tcPr>
          <w:p w14:paraId="17177662" w14:textId="769AA1FB" w:rsidR="00D60B68" w:rsidRPr="00761B50" w:rsidRDefault="00D60B68" w:rsidP="00D60B68">
            <w:pPr>
              <w:spacing w:before="60" w:after="60"/>
              <w:jc w:val="both"/>
            </w:pPr>
            <w:r w:rsidRPr="00761B50">
              <w:t>12a) restaurační a cateringové služby, přičemž je možné vyloučit dodání (alkoholických nebo nealkoholických) nápojů;</w:t>
            </w:r>
          </w:p>
        </w:tc>
      </w:tr>
      <w:tr w:rsidR="00761B50" w:rsidRPr="00761B50" w14:paraId="27E77469" w14:textId="77777777" w:rsidTr="00587190">
        <w:trPr>
          <w:trHeight w:val="981"/>
        </w:trPr>
        <w:tc>
          <w:tcPr>
            <w:tcW w:w="1217" w:type="dxa"/>
            <w:vMerge/>
          </w:tcPr>
          <w:p w14:paraId="5AD7000A" w14:textId="77777777" w:rsidR="00D60B68" w:rsidRPr="00761B50" w:rsidRDefault="00D60B68" w:rsidP="00D60B68">
            <w:pPr>
              <w:spacing w:before="60"/>
            </w:pPr>
          </w:p>
        </w:tc>
        <w:tc>
          <w:tcPr>
            <w:tcW w:w="4739" w:type="dxa"/>
            <w:vMerge/>
          </w:tcPr>
          <w:p w14:paraId="052971D4" w14:textId="77777777" w:rsidR="00D60B68" w:rsidRPr="00761B50" w:rsidRDefault="00D60B68" w:rsidP="00D60B68">
            <w:pPr>
              <w:widowControl w:val="0"/>
              <w:jc w:val="right"/>
              <w:rPr>
                <w:b/>
                <w:bCs/>
              </w:rPr>
            </w:pPr>
          </w:p>
        </w:tc>
        <w:tc>
          <w:tcPr>
            <w:tcW w:w="1319" w:type="dxa"/>
            <w:vMerge/>
          </w:tcPr>
          <w:p w14:paraId="22007E9A" w14:textId="77777777" w:rsidR="00D60B68" w:rsidRPr="00761B50" w:rsidRDefault="00D60B68" w:rsidP="00D60B68">
            <w:pPr>
              <w:spacing w:before="60"/>
              <w:jc w:val="both"/>
            </w:pPr>
          </w:p>
        </w:tc>
        <w:tc>
          <w:tcPr>
            <w:tcW w:w="1451" w:type="dxa"/>
          </w:tcPr>
          <w:p w14:paraId="08059059" w14:textId="3EF23CB7" w:rsidR="00D60B68" w:rsidRPr="00761B50" w:rsidRDefault="00D60B68" w:rsidP="00D60B68">
            <w:pPr>
              <w:spacing w:before="60"/>
            </w:pPr>
            <w:r w:rsidRPr="00761B50">
              <w:t>PŘÍLOHA</w:t>
            </w:r>
            <w:r w:rsidRPr="00761B50">
              <w:br/>
              <w:t>odst. 4</w:t>
            </w:r>
            <w:r w:rsidRPr="00761B50">
              <w:br/>
              <w:t>(příloha III</w:t>
            </w:r>
            <w:r w:rsidRPr="00761B50">
              <w:br/>
              <w:t>bod 20)</w:t>
            </w:r>
          </w:p>
        </w:tc>
        <w:tc>
          <w:tcPr>
            <w:tcW w:w="5449" w:type="dxa"/>
          </w:tcPr>
          <w:p w14:paraId="587F54DD" w14:textId="162D6589" w:rsidR="00D60B68" w:rsidRPr="00761B50" w:rsidRDefault="00D60B68" w:rsidP="00D60B68">
            <w:pPr>
              <w:spacing w:before="60" w:after="60"/>
              <w:jc w:val="both"/>
            </w:pPr>
            <w:r w:rsidRPr="00761B50">
              <w:t>20. domácí pečovatelské služby (např. pomoc v domácnosti a péče o děti, staré, nemocné nebo postižené osoby);</w:t>
            </w:r>
          </w:p>
        </w:tc>
      </w:tr>
      <w:tr w:rsidR="00761B50" w:rsidRPr="00761B50" w14:paraId="5FCCE03E" w14:textId="77777777" w:rsidTr="00587190">
        <w:trPr>
          <w:trHeight w:val="981"/>
        </w:trPr>
        <w:tc>
          <w:tcPr>
            <w:tcW w:w="1217" w:type="dxa"/>
            <w:vMerge/>
          </w:tcPr>
          <w:p w14:paraId="4045B99E" w14:textId="77777777" w:rsidR="00D60B68" w:rsidRPr="00761B50" w:rsidRDefault="00D60B68" w:rsidP="00D60B68">
            <w:pPr>
              <w:spacing w:before="60"/>
            </w:pPr>
          </w:p>
        </w:tc>
        <w:tc>
          <w:tcPr>
            <w:tcW w:w="4739" w:type="dxa"/>
            <w:vMerge/>
          </w:tcPr>
          <w:p w14:paraId="4DEEAFCD" w14:textId="77777777" w:rsidR="00D60B68" w:rsidRPr="00761B50" w:rsidRDefault="00D60B68" w:rsidP="00D60B68">
            <w:pPr>
              <w:widowControl w:val="0"/>
              <w:jc w:val="right"/>
              <w:rPr>
                <w:b/>
                <w:bCs/>
              </w:rPr>
            </w:pPr>
          </w:p>
        </w:tc>
        <w:tc>
          <w:tcPr>
            <w:tcW w:w="1319" w:type="dxa"/>
          </w:tcPr>
          <w:p w14:paraId="54773E53" w14:textId="683BFC20" w:rsidR="00D60B68" w:rsidRPr="00761B50" w:rsidRDefault="00D60B68" w:rsidP="00D60B68">
            <w:pPr>
              <w:spacing w:before="60"/>
              <w:jc w:val="both"/>
            </w:pPr>
            <w:r w:rsidRPr="00761B50">
              <w:t>32018L1713</w:t>
            </w:r>
          </w:p>
        </w:tc>
        <w:tc>
          <w:tcPr>
            <w:tcW w:w="1451" w:type="dxa"/>
          </w:tcPr>
          <w:p w14:paraId="6819B7EB" w14:textId="1F2C163D" w:rsidR="00D60B68" w:rsidRPr="00761B50" w:rsidRDefault="00D60B68" w:rsidP="00D60B68">
            <w:pPr>
              <w:spacing w:before="60"/>
            </w:pPr>
            <w:r w:rsidRPr="00761B50">
              <w:t>Článek 1</w:t>
            </w:r>
            <w:r w:rsidRPr="00761B50">
              <w:br/>
              <w:t>odst. 1</w:t>
            </w:r>
            <w:r w:rsidRPr="00761B50">
              <w:br/>
              <w:t>(čl. 98 odst. 2)</w:t>
            </w:r>
          </w:p>
        </w:tc>
        <w:tc>
          <w:tcPr>
            <w:tcW w:w="5449" w:type="dxa"/>
          </w:tcPr>
          <w:p w14:paraId="22AC9438" w14:textId="77777777" w:rsidR="00D60B68" w:rsidRPr="00761B50" w:rsidRDefault="00D60B68" w:rsidP="00D60B68">
            <w:pPr>
              <w:spacing w:before="60" w:after="60"/>
              <w:jc w:val="both"/>
            </w:pPr>
            <w:r w:rsidRPr="00761B50">
              <w:t xml:space="preserve">Snížené sazby se neuplatňují u elektronicky poskytovaných služeb </w:t>
            </w:r>
          </w:p>
          <w:p w14:paraId="3DB18F22" w14:textId="51BEE110" w:rsidR="00D60B68" w:rsidRPr="00761B50" w:rsidRDefault="00D60B68" w:rsidP="00D60B68">
            <w:pPr>
              <w:spacing w:before="60" w:after="60"/>
              <w:jc w:val="both"/>
            </w:pPr>
            <w:r w:rsidRPr="00761B50">
              <w:t>s výjimkou těch, na něž se vztahuje bod 6 přílohy III.</w:t>
            </w:r>
          </w:p>
        </w:tc>
      </w:tr>
      <w:tr w:rsidR="00761B50" w:rsidRPr="00761B50" w14:paraId="505D4C3E" w14:textId="77777777" w:rsidTr="00AE4935">
        <w:trPr>
          <w:trHeight w:val="487"/>
        </w:trPr>
        <w:tc>
          <w:tcPr>
            <w:tcW w:w="1217" w:type="dxa"/>
            <w:vMerge/>
          </w:tcPr>
          <w:p w14:paraId="1F263599" w14:textId="136B6B38" w:rsidR="00D60B68" w:rsidRPr="00761B50" w:rsidRDefault="00D60B68" w:rsidP="00D60B68">
            <w:pPr>
              <w:spacing w:before="60"/>
            </w:pPr>
          </w:p>
        </w:tc>
        <w:tc>
          <w:tcPr>
            <w:tcW w:w="4739" w:type="dxa"/>
            <w:vMerge/>
          </w:tcPr>
          <w:p w14:paraId="17E2E701" w14:textId="5E162A8E" w:rsidR="00D60B68" w:rsidRPr="00761B50" w:rsidRDefault="00D60B68" w:rsidP="00D60B68">
            <w:pPr>
              <w:spacing w:before="60" w:after="60"/>
              <w:jc w:val="both"/>
              <w:rPr>
                <w:b/>
                <w:szCs w:val="24"/>
              </w:rPr>
            </w:pPr>
          </w:p>
        </w:tc>
        <w:tc>
          <w:tcPr>
            <w:tcW w:w="1319" w:type="dxa"/>
            <w:vMerge w:val="restart"/>
          </w:tcPr>
          <w:p w14:paraId="76C4E295" w14:textId="5D8F0B66" w:rsidR="00D60B68" w:rsidRPr="00761B50" w:rsidRDefault="00D60B68" w:rsidP="00D60B68">
            <w:pPr>
              <w:spacing w:before="60"/>
              <w:jc w:val="both"/>
            </w:pPr>
            <w:r w:rsidRPr="00761B50">
              <w:t>32022L0542</w:t>
            </w:r>
          </w:p>
        </w:tc>
        <w:tc>
          <w:tcPr>
            <w:tcW w:w="1451" w:type="dxa"/>
          </w:tcPr>
          <w:p w14:paraId="40DF5BB3" w14:textId="77777777" w:rsidR="00D60B68" w:rsidRPr="00761B50" w:rsidRDefault="00D60B68" w:rsidP="00D60B68">
            <w:pPr>
              <w:spacing w:before="60"/>
              <w:rPr>
                <w:rFonts w:eastAsiaTheme="minorHAnsi"/>
              </w:rPr>
            </w:pPr>
            <w:r w:rsidRPr="00761B50">
              <w:rPr>
                <w:rFonts w:eastAsiaTheme="minorHAnsi"/>
              </w:rPr>
              <w:t>Příloha bod 1</w:t>
            </w:r>
          </w:p>
          <w:p w14:paraId="7A356A6F" w14:textId="5DF9AF8E" w:rsidR="00D60B68" w:rsidRPr="00761B50" w:rsidRDefault="00D60B68" w:rsidP="00D60B68">
            <w:pPr>
              <w:spacing w:before="60"/>
              <w:rPr>
                <w:rFonts w:eastAsiaTheme="minorHAnsi"/>
              </w:rPr>
            </w:pPr>
            <w:r w:rsidRPr="00761B50">
              <w:rPr>
                <w:rFonts w:eastAsiaTheme="minorHAnsi"/>
              </w:rPr>
              <w:t>(příloha III, body 5, 6, 7)</w:t>
            </w:r>
          </w:p>
        </w:tc>
        <w:tc>
          <w:tcPr>
            <w:tcW w:w="5449" w:type="dxa"/>
          </w:tcPr>
          <w:p w14:paraId="0A91F493" w14:textId="77777777" w:rsidR="00D60B68" w:rsidRPr="00761B50" w:rsidRDefault="00D60B68" w:rsidP="00D60B68">
            <w:pPr>
              <w:spacing w:before="60" w:after="60"/>
              <w:jc w:val="both"/>
              <w:rPr>
                <w:szCs w:val="24"/>
              </w:rPr>
            </w:pPr>
            <w:r w:rsidRPr="00761B50">
              <w:rPr>
                <w:szCs w:val="24"/>
              </w:rPr>
              <w:t>5) přeprava osob a přeprava zboží, které je doprovází, jako například zavazadel, jízdních kol včetně elektrických jízdních kol, motorových nebo jiných vozidel, nebo poskytování služeb souvisejících s přepravou osob;</w:t>
            </w:r>
          </w:p>
          <w:p w14:paraId="63A5096C" w14:textId="77777777" w:rsidR="00D60B68" w:rsidRPr="00761B50" w:rsidRDefault="00D60B68" w:rsidP="00D60B68">
            <w:pPr>
              <w:spacing w:before="60" w:after="60"/>
              <w:jc w:val="both"/>
              <w:rPr>
                <w:szCs w:val="24"/>
              </w:rPr>
            </w:pPr>
            <w:r w:rsidRPr="00761B50">
              <w:rPr>
                <w:szCs w:val="24"/>
              </w:rPr>
              <w:t>6) dodání knih, novin a časopisů (včetně brožur, letáků a obdobných tiskovin, dětských obrázkových knížek, náčrtníků či omalovánek, hudebních partitur tištěných či psaných, zeměpisných, vodopisných nebo obdobných map) buď na fyzickém nosiči, nebo elektronicky, nebo oběma způsoby, a to včetně dodání na výpůjčku knihovnami, nejedná-li se o publikace výlučně nebo převážně určené k propagaci ani o publikace výlučně nebo převážně sestávající ze zvukového hudebního nebo video obsahu; výroba publikací neziskových organizací a služby související s touto výrobou;</w:t>
            </w:r>
          </w:p>
          <w:p w14:paraId="6E410B59" w14:textId="03E7834E" w:rsidR="00D60B68" w:rsidRPr="00761B50" w:rsidRDefault="00D60B68" w:rsidP="00D60B68">
            <w:pPr>
              <w:spacing w:before="60" w:after="60"/>
              <w:jc w:val="both"/>
              <w:rPr>
                <w:szCs w:val="24"/>
              </w:rPr>
            </w:pPr>
            <w:r w:rsidRPr="00761B50">
              <w:rPr>
                <w:szCs w:val="24"/>
              </w:rPr>
              <w:t>7) oprávnění ke vstupu na představení, do divadel, do cirkusů, na trhy a veletrhy, do zábavních parků, na koncerty, do muzeí, do zoologických zahrad, do kin, na výstavy a na jiné kulturní akce nebo do jiných kulturních zařízení nebo přístup k živým přenosům z těchto akcí nebo návštěv nebo obojí;</w:t>
            </w:r>
          </w:p>
        </w:tc>
      </w:tr>
      <w:tr w:rsidR="00761B50" w:rsidRPr="00761B50" w14:paraId="3F5FEDBD" w14:textId="77777777" w:rsidTr="00AE4935">
        <w:trPr>
          <w:trHeight w:val="487"/>
        </w:trPr>
        <w:tc>
          <w:tcPr>
            <w:tcW w:w="1217" w:type="dxa"/>
            <w:vMerge/>
          </w:tcPr>
          <w:p w14:paraId="6EA6E53A" w14:textId="77777777" w:rsidR="00D60B68" w:rsidRPr="00761B50" w:rsidRDefault="00D60B68" w:rsidP="00D60B68">
            <w:pPr>
              <w:spacing w:before="60"/>
            </w:pPr>
          </w:p>
        </w:tc>
        <w:tc>
          <w:tcPr>
            <w:tcW w:w="4739" w:type="dxa"/>
            <w:vMerge/>
          </w:tcPr>
          <w:p w14:paraId="13B4E306" w14:textId="77777777" w:rsidR="00D60B68" w:rsidRPr="00761B50" w:rsidRDefault="00D60B68" w:rsidP="00D60B68">
            <w:pPr>
              <w:spacing w:before="60" w:after="60"/>
              <w:jc w:val="both"/>
              <w:rPr>
                <w:b/>
                <w:szCs w:val="24"/>
              </w:rPr>
            </w:pPr>
          </w:p>
        </w:tc>
        <w:tc>
          <w:tcPr>
            <w:tcW w:w="1319" w:type="dxa"/>
            <w:vMerge/>
          </w:tcPr>
          <w:p w14:paraId="1D7627E3" w14:textId="77777777" w:rsidR="00D60B68" w:rsidRPr="00761B50" w:rsidRDefault="00D60B68" w:rsidP="00D60B68">
            <w:pPr>
              <w:spacing w:before="60"/>
              <w:jc w:val="both"/>
            </w:pPr>
          </w:p>
        </w:tc>
        <w:tc>
          <w:tcPr>
            <w:tcW w:w="1451" w:type="dxa"/>
          </w:tcPr>
          <w:p w14:paraId="1AD8C396" w14:textId="77777777" w:rsidR="00D60B68" w:rsidRPr="00761B50" w:rsidRDefault="00D60B68" w:rsidP="00D60B68">
            <w:pPr>
              <w:spacing w:before="60"/>
              <w:rPr>
                <w:rFonts w:eastAsiaTheme="minorHAnsi"/>
              </w:rPr>
            </w:pPr>
            <w:r w:rsidRPr="00761B50">
              <w:rPr>
                <w:rFonts w:eastAsiaTheme="minorHAnsi"/>
              </w:rPr>
              <w:t>Příloha bod 6</w:t>
            </w:r>
          </w:p>
          <w:p w14:paraId="58E4E69C" w14:textId="15975B86" w:rsidR="00D60B68" w:rsidRPr="00761B50" w:rsidRDefault="00D60B68" w:rsidP="00D60B68">
            <w:pPr>
              <w:spacing w:before="60"/>
              <w:rPr>
                <w:rFonts w:eastAsiaTheme="minorHAnsi"/>
              </w:rPr>
            </w:pPr>
            <w:r w:rsidRPr="00761B50">
              <w:rPr>
                <w:rFonts w:eastAsiaTheme="minorHAnsi"/>
              </w:rPr>
              <w:t>(příloha III,</w:t>
            </w:r>
            <w:r w:rsidRPr="00761B50">
              <w:rPr>
                <w:rFonts w:eastAsiaTheme="minorHAnsi"/>
              </w:rPr>
              <w:br/>
              <w:t>bod 13)</w:t>
            </w:r>
          </w:p>
        </w:tc>
        <w:tc>
          <w:tcPr>
            <w:tcW w:w="5449" w:type="dxa"/>
          </w:tcPr>
          <w:p w14:paraId="606FE2E2" w14:textId="2523EF62" w:rsidR="00D60B68" w:rsidRPr="00761B50" w:rsidRDefault="00D60B68" w:rsidP="00D60B68">
            <w:pPr>
              <w:spacing w:before="60" w:after="60"/>
              <w:jc w:val="both"/>
              <w:rPr>
                <w:szCs w:val="24"/>
              </w:rPr>
            </w:pPr>
            <w:r w:rsidRPr="00761B50">
              <w:rPr>
                <w:szCs w:val="24"/>
              </w:rPr>
              <w:t>13) oprávnění ke vstupu na sportovní akce nebo přístup k živému přenosu těchto akcí nebo obojí; využívání sportovních zařízení a poskytování kurzů sportovních nebo fyzických cvičení, a to i ve formě živého přenosu;</w:t>
            </w:r>
          </w:p>
        </w:tc>
      </w:tr>
      <w:tr w:rsidR="00761B50" w:rsidRPr="00761B50" w14:paraId="38718459" w14:textId="77777777" w:rsidTr="00AE4935">
        <w:trPr>
          <w:trHeight w:val="487"/>
        </w:trPr>
        <w:tc>
          <w:tcPr>
            <w:tcW w:w="1217" w:type="dxa"/>
            <w:vMerge/>
          </w:tcPr>
          <w:p w14:paraId="196B0E47" w14:textId="77777777" w:rsidR="00D60B68" w:rsidRPr="00761B50" w:rsidRDefault="00D60B68" w:rsidP="00D60B68">
            <w:pPr>
              <w:spacing w:before="60"/>
            </w:pPr>
          </w:p>
        </w:tc>
        <w:tc>
          <w:tcPr>
            <w:tcW w:w="4739" w:type="dxa"/>
            <w:vMerge/>
          </w:tcPr>
          <w:p w14:paraId="3B0F743D" w14:textId="77777777" w:rsidR="00D60B68" w:rsidRPr="00761B50" w:rsidRDefault="00D60B68" w:rsidP="00D60B68">
            <w:pPr>
              <w:spacing w:before="60" w:after="60"/>
              <w:jc w:val="both"/>
              <w:rPr>
                <w:b/>
                <w:szCs w:val="24"/>
              </w:rPr>
            </w:pPr>
          </w:p>
        </w:tc>
        <w:tc>
          <w:tcPr>
            <w:tcW w:w="1319" w:type="dxa"/>
            <w:vMerge/>
          </w:tcPr>
          <w:p w14:paraId="5AEB15B6" w14:textId="77777777" w:rsidR="00D60B68" w:rsidRPr="00761B50" w:rsidRDefault="00D60B68" w:rsidP="00D60B68">
            <w:pPr>
              <w:spacing w:before="60"/>
              <w:jc w:val="both"/>
            </w:pPr>
          </w:p>
        </w:tc>
        <w:tc>
          <w:tcPr>
            <w:tcW w:w="1451" w:type="dxa"/>
          </w:tcPr>
          <w:p w14:paraId="08D3C808" w14:textId="77777777" w:rsidR="00D60B68" w:rsidRPr="00761B50" w:rsidRDefault="00D60B68" w:rsidP="00D60B68">
            <w:pPr>
              <w:spacing w:before="60"/>
              <w:rPr>
                <w:rFonts w:eastAsiaTheme="minorHAnsi"/>
              </w:rPr>
            </w:pPr>
            <w:r w:rsidRPr="00761B50">
              <w:rPr>
                <w:rFonts w:eastAsiaTheme="minorHAnsi"/>
              </w:rPr>
              <w:t>Příloha bod 8</w:t>
            </w:r>
          </w:p>
          <w:p w14:paraId="07ACC0E3" w14:textId="3FC9A920" w:rsidR="00D60B68" w:rsidRPr="00761B50" w:rsidRDefault="00D60B68" w:rsidP="00D60B68">
            <w:pPr>
              <w:spacing w:before="60"/>
              <w:rPr>
                <w:rFonts w:eastAsiaTheme="minorHAnsi"/>
              </w:rPr>
            </w:pPr>
            <w:r w:rsidRPr="00761B50">
              <w:rPr>
                <w:rFonts w:eastAsiaTheme="minorHAnsi"/>
              </w:rPr>
              <w:t>(příloha III,</w:t>
            </w:r>
            <w:r w:rsidRPr="00761B50">
              <w:rPr>
                <w:rFonts w:eastAsiaTheme="minorHAnsi"/>
              </w:rPr>
              <w:br/>
              <w:t>bod 15)</w:t>
            </w:r>
          </w:p>
        </w:tc>
        <w:tc>
          <w:tcPr>
            <w:tcW w:w="5449" w:type="dxa"/>
          </w:tcPr>
          <w:p w14:paraId="097068CF" w14:textId="7DD4C0BF" w:rsidR="00D60B68" w:rsidRPr="00761B50" w:rsidRDefault="00D60B68" w:rsidP="00D60B68">
            <w:pPr>
              <w:spacing w:before="60" w:after="60"/>
              <w:jc w:val="both"/>
              <w:rPr>
                <w:szCs w:val="24"/>
              </w:rPr>
            </w:pPr>
            <w:r w:rsidRPr="00761B50">
              <w:rPr>
                <w:szCs w:val="24"/>
              </w:rPr>
              <w:t>15) dodání zboží a poskytnutí služeb organizacemi, které provádějí činnost v oblasti sociální péče a sociálního zabezpečení, jak jsou vymezeny členskými státy, a které členské státy uznávají za subjekty sociální povahy, nejsou-li tato plnění osvobozena od daně podle článků 132, 135 a 136;</w:t>
            </w:r>
          </w:p>
        </w:tc>
      </w:tr>
      <w:tr w:rsidR="00761B50" w:rsidRPr="00761B50" w14:paraId="1D7A3744" w14:textId="77777777" w:rsidTr="00784EA2">
        <w:trPr>
          <w:trHeight w:val="981"/>
        </w:trPr>
        <w:tc>
          <w:tcPr>
            <w:tcW w:w="1217" w:type="dxa"/>
            <w:vMerge/>
          </w:tcPr>
          <w:p w14:paraId="23642B5C" w14:textId="5F6C3B2F" w:rsidR="00D60B68" w:rsidRPr="00761B50" w:rsidRDefault="00D60B68" w:rsidP="00D60B68">
            <w:pPr>
              <w:spacing w:before="60"/>
            </w:pPr>
          </w:p>
        </w:tc>
        <w:tc>
          <w:tcPr>
            <w:tcW w:w="4739" w:type="dxa"/>
            <w:vMerge/>
            <w:shd w:val="clear" w:color="auto" w:fill="auto"/>
          </w:tcPr>
          <w:p w14:paraId="54E03778" w14:textId="3D78D410" w:rsidR="00D60B68" w:rsidRPr="00761B50" w:rsidRDefault="00D60B68" w:rsidP="00D60B68">
            <w:pPr>
              <w:spacing w:before="60"/>
              <w:jc w:val="both"/>
              <w:rPr>
                <w:b/>
              </w:rPr>
            </w:pPr>
          </w:p>
        </w:tc>
        <w:tc>
          <w:tcPr>
            <w:tcW w:w="1319" w:type="dxa"/>
            <w:vMerge/>
            <w:shd w:val="clear" w:color="auto" w:fill="auto"/>
          </w:tcPr>
          <w:p w14:paraId="38BCE8A3" w14:textId="02CAE9D2" w:rsidR="00D60B68" w:rsidRPr="00761B50" w:rsidRDefault="00D60B68" w:rsidP="00D60B68">
            <w:pPr>
              <w:spacing w:before="60"/>
              <w:jc w:val="both"/>
            </w:pPr>
          </w:p>
        </w:tc>
        <w:tc>
          <w:tcPr>
            <w:tcW w:w="1451" w:type="dxa"/>
            <w:shd w:val="clear" w:color="auto" w:fill="auto"/>
          </w:tcPr>
          <w:p w14:paraId="45FE5CE3" w14:textId="77777777" w:rsidR="00D60B68" w:rsidRPr="00761B50" w:rsidRDefault="00D60B68" w:rsidP="00D60B68">
            <w:pPr>
              <w:spacing w:before="60"/>
              <w:rPr>
                <w:rFonts w:eastAsiaTheme="minorHAnsi"/>
              </w:rPr>
            </w:pPr>
            <w:r w:rsidRPr="00761B50">
              <w:rPr>
                <w:rFonts w:eastAsiaTheme="minorHAnsi"/>
              </w:rPr>
              <w:t>Příloha bod 9</w:t>
            </w:r>
          </w:p>
          <w:p w14:paraId="42357A39" w14:textId="13A7E552" w:rsidR="00D60B68" w:rsidRPr="00761B50" w:rsidRDefault="00D60B68" w:rsidP="00D60B68">
            <w:pPr>
              <w:spacing w:before="60"/>
            </w:pPr>
            <w:r w:rsidRPr="00761B50">
              <w:rPr>
                <w:rFonts w:eastAsiaTheme="minorHAnsi"/>
              </w:rPr>
              <w:t>(příloha III,</w:t>
            </w:r>
            <w:r w:rsidRPr="00761B50">
              <w:rPr>
                <w:rFonts w:eastAsiaTheme="minorHAnsi"/>
              </w:rPr>
              <w:br/>
              <w:t>bod 18)</w:t>
            </w:r>
          </w:p>
        </w:tc>
        <w:tc>
          <w:tcPr>
            <w:tcW w:w="5449" w:type="dxa"/>
            <w:shd w:val="clear" w:color="auto" w:fill="auto"/>
          </w:tcPr>
          <w:p w14:paraId="189EC1B7" w14:textId="638B5C76" w:rsidR="00D60B68" w:rsidRPr="00761B50" w:rsidRDefault="00D60B68" w:rsidP="00D60B68">
            <w:pPr>
              <w:overflowPunct/>
              <w:spacing w:before="60" w:after="60"/>
              <w:jc w:val="both"/>
              <w:textAlignment w:val="auto"/>
            </w:pPr>
            <w:r w:rsidRPr="00761B50">
              <w:rPr>
                <w:szCs w:val="24"/>
              </w:rPr>
              <w:t>18) poskytnutí služeb v souvislosti s čištěním odpadních vod, úklidem veřejných komunikací, odvozem a zpracováním domovního odpadu nebo recyklací odpadů, nejedná-li se o takové služby poskytované subjekty uvedenými v článku 13;</w:t>
            </w:r>
          </w:p>
        </w:tc>
      </w:tr>
      <w:tr w:rsidR="00761B50" w:rsidRPr="00761B50" w14:paraId="4E9772C8" w14:textId="77777777" w:rsidTr="00784EA2">
        <w:trPr>
          <w:trHeight w:val="981"/>
        </w:trPr>
        <w:tc>
          <w:tcPr>
            <w:tcW w:w="1217" w:type="dxa"/>
          </w:tcPr>
          <w:p w14:paraId="13F9E9BA" w14:textId="29837A7F" w:rsidR="00C621A7" w:rsidRPr="00761B50" w:rsidRDefault="00C621A7" w:rsidP="00C621A7">
            <w:pPr>
              <w:spacing w:before="60"/>
            </w:pPr>
            <w:r w:rsidRPr="00761B50">
              <w:t>příloha č. 3</w:t>
            </w:r>
            <w:r w:rsidRPr="00761B50">
              <w:br/>
              <w:t>01-05, 07-23, 25</w:t>
            </w:r>
          </w:p>
        </w:tc>
        <w:tc>
          <w:tcPr>
            <w:tcW w:w="4739" w:type="dxa"/>
            <w:shd w:val="clear" w:color="auto" w:fill="auto"/>
          </w:tcPr>
          <w:p w14:paraId="758834AC" w14:textId="549C1C49" w:rsidR="00C621A7" w:rsidRPr="00761B50" w:rsidRDefault="008A68DF" w:rsidP="008A68DF">
            <w:pPr>
              <w:spacing w:before="60"/>
              <w:jc w:val="both"/>
              <w:rPr>
                <w:b/>
              </w:rPr>
            </w:pPr>
            <w:r w:rsidRPr="00761B50">
              <w:rPr>
                <w:b/>
              </w:rPr>
              <w:t>- Potraviny; krmiva pro zvířata; živá zvířata, semena, rostliny a přísady, obvykle určené k přípravě potravin; výrobky obvykle používané jako doplněk nebo náhražka potravin. Mimo nápojů a vody; to neplatí pro tekuté mléčné výrobky pod kódem nomenklatury celního sazebníku v kapitole 4.</w:t>
            </w:r>
          </w:p>
        </w:tc>
        <w:tc>
          <w:tcPr>
            <w:tcW w:w="1319" w:type="dxa"/>
            <w:shd w:val="clear" w:color="auto" w:fill="auto"/>
          </w:tcPr>
          <w:p w14:paraId="05599BDB" w14:textId="4347BBB9" w:rsidR="00C621A7" w:rsidRPr="00761B50" w:rsidRDefault="00C621A7" w:rsidP="00C621A7">
            <w:pPr>
              <w:spacing w:before="60"/>
              <w:jc w:val="both"/>
            </w:pPr>
            <w:r w:rsidRPr="00761B50">
              <w:t>32006L0112</w:t>
            </w:r>
          </w:p>
        </w:tc>
        <w:tc>
          <w:tcPr>
            <w:tcW w:w="1451" w:type="dxa"/>
            <w:shd w:val="clear" w:color="auto" w:fill="auto"/>
          </w:tcPr>
          <w:p w14:paraId="59BCCD4A" w14:textId="47E5D45B" w:rsidR="00C621A7" w:rsidRPr="00761B50" w:rsidRDefault="00C621A7" w:rsidP="00C621A7">
            <w:pPr>
              <w:spacing w:before="60"/>
              <w:rPr>
                <w:rFonts w:eastAsiaTheme="minorHAnsi"/>
              </w:rPr>
            </w:pPr>
            <w:r w:rsidRPr="00761B50">
              <w:t>Příloha III,</w:t>
            </w:r>
            <w:r w:rsidRPr="00761B50">
              <w:br/>
              <w:t>(bod 1)</w:t>
            </w:r>
          </w:p>
        </w:tc>
        <w:tc>
          <w:tcPr>
            <w:tcW w:w="5449" w:type="dxa"/>
            <w:shd w:val="clear" w:color="auto" w:fill="auto"/>
          </w:tcPr>
          <w:p w14:paraId="3B1C7A95" w14:textId="05DBC3B9" w:rsidR="00C621A7" w:rsidRPr="00761B50" w:rsidRDefault="00C621A7" w:rsidP="00C621A7">
            <w:pPr>
              <w:overflowPunct/>
              <w:spacing w:before="60" w:after="60"/>
              <w:jc w:val="both"/>
              <w:textAlignment w:val="auto"/>
              <w:rPr>
                <w:szCs w:val="24"/>
              </w:rPr>
            </w:pPr>
            <w:r w:rsidRPr="00761B50">
              <w:t>1) Potraviny (včetně nápojů, avšak s výjimkou alkoholických nápojů) pro lidskou a zvířecí spotřebu; živá zvířata, semena, rostliny a přísady obvykle určené k použití při přípravě potravin; výrobky obvykle určené k použití jako doplněk nebo náhražka potravin;</w:t>
            </w:r>
          </w:p>
        </w:tc>
      </w:tr>
      <w:tr w:rsidR="00761B50" w:rsidRPr="00761B50" w14:paraId="1491D8EE" w14:textId="77777777" w:rsidTr="00587190">
        <w:trPr>
          <w:trHeight w:val="981"/>
        </w:trPr>
        <w:tc>
          <w:tcPr>
            <w:tcW w:w="1217" w:type="dxa"/>
          </w:tcPr>
          <w:p w14:paraId="6AC252C5" w14:textId="08C816BA" w:rsidR="00C621A7" w:rsidRPr="00761B50" w:rsidRDefault="00C621A7" w:rsidP="00C621A7">
            <w:pPr>
              <w:spacing w:before="60"/>
            </w:pPr>
            <w:r w:rsidRPr="00761B50">
              <w:t>příloha č. 3</w:t>
            </w:r>
            <w:r w:rsidRPr="00761B50">
              <w:br/>
              <w:t>2201</w:t>
            </w:r>
          </w:p>
        </w:tc>
        <w:tc>
          <w:tcPr>
            <w:tcW w:w="4739" w:type="dxa"/>
          </w:tcPr>
          <w:p w14:paraId="3BEE3818" w14:textId="4E5B94A2" w:rsidR="00C621A7" w:rsidRPr="00761B50" w:rsidRDefault="00C621A7" w:rsidP="00C621A7">
            <w:pPr>
              <w:spacing w:before="60" w:after="60"/>
              <w:jc w:val="both"/>
              <w:rPr>
                <w:b/>
              </w:rPr>
            </w:pPr>
            <w:r w:rsidRPr="00761B50">
              <w:rPr>
                <w:b/>
              </w:rPr>
              <w:t>- Pitná voda</w:t>
            </w:r>
            <w:r w:rsidR="00761B50" w:rsidRPr="00761B50">
              <w:rPr>
                <w:b/>
              </w:rPr>
              <w:t>.</w:t>
            </w:r>
          </w:p>
        </w:tc>
        <w:tc>
          <w:tcPr>
            <w:tcW w:w="1319" w:type="dxa"/>
          </w:tcPr>
          <w:p w14:paraId="3CEAB31B" w14:textId="617B88D7" w:rsidR="00C621A7" w:rsidRPr="00761B50" w:rsidRDefault="00C621A7" w:rsidP="00C621A7">
            <w:pPr>
              <w:spacing w:before="60"/>
              <w:jc w:val="both"/>
            </w:pPr>
            <w:r w:rsidRPr="00761B50">
              <w:t>32006L0112</w:t>
            </w:r>
          </w:p>
        </w:tc>
        <w:tc>
          <w:tcPr>
            <w:tcW w:w="1451" w:type="dxa"/>
          </w:tcPr>
          <w:p w14:paraId="12E5EA1A" w14:textId="5B3D7E24" w:rsidR="00C621A7" w:rsidRPr="00761B50" w:rsidRDefault="00C621A7" w:rsidP="00C621A7">
            <w:pPr>
              <w:spacing w:before="60"/>
            </w:pPr>
            <w:r w:rsidRPr="00761B50">
              <w:t>Příloha III,</w:t>
            </w:r>
            <w:r w:rsidRPr="00761B50">
              <w:br/>
              <w:t>(bod 1)</w:t>
            </w:r>
          </w:p>
        </w:tc>
        <w:tc>
          <w:tcPr>
            <w:tcW w:w="5449" w:type="dxa"/>
          </w:tcPr>
          <w:p w14:paraId="1952B260" w14:textId="611D0358" w:rsidR="00C621A7" w:rsidRPr="00761B50" w:rsidRDefault="00C621A7" w:rsidP="00C621A7">
            <w:pPr>
              <w:overflowPunct/>
              <w:spacing w:before="60"/>
              <w:jc w:val="both"/>
              <w:textAlignment w:val="auto"/>
            </w:pPr>
            <w:r w:rsidRPr="00761B50">
              <w:t>1) Potraviny (včetně nápojů, avšak s výjimkou alkoholických nápojů) pro lidskou a zvířecí spotřebu; živá zvířata, semena, rostliny a přísady obvykle určené k použití při přípravě potravin; výrobky obvykle určené k použití jako doplněk nebo náhražka potravin;</w:t>
            </w:r>
          </w:p>
        </w:tc>
      </w:tr>
      <w:tr w:rsidR="00761B50" w:rsidRPr="00761B50" w14:paraId="5D4DE549" w14:textId="77777777" w:rsidTr="00AA5532">
        <w:trPr>
          <w:trHeight w:val="1972"/>
        </w:trPr>
        <w:tc>
          <w:tcPr>
            <w:tcW w:w="1217" w:type="dxa"/>
          </w:tcPr>
          <w:p w14:paraId="0B763AB6" w14:textId="6F577C48" w:rsidR="00C621A7" w:rsidRPr="00761B50" w:rsidRDefault="00C621A7" w:rsidP="00C621A7">
            <w:pPr>
              <w:spacing w:before="60"/>
            </w:pPr>
            <w:r w:rsidRPr="00761B50">
              <w:t>příloha č. 3</w:t>
            </w:r>
            <w:r w:rsidRPr="00761B50">
              <w:br/>
              <w:t>0601, 0602</w:t>
            </w:r>
          </w:p>
        </w:tc>
        <w:tc>
          <w:tcPr>
            <w:tcW w:w="4739" w:type="dxa"/>
          </w:tcPr>
          <w:p w14:paraId="51B70586" w14:textId="31C66E69" w:rsidR="00C621A7" w:rsidRPr="00761B50" w:rsidRDefault="00C621A7" w:rsidP="00C621A7">
            <w:pPr>
              <w:spacing w:before="60"/>
              <w:jc w:val="both"/>
              <w:rPr>
                <w:b/>
              </w:rPr>
            </w:pPr>
            <w:r w:rsidRPr="00761B50">
              <w:rPr>
                <w:b/>
              </w:rPr>
              <w:t>- Živé dřeviny a jiné rostliny; cibule, kořeny a podobné</w:t>
            </w:r>
            <w:r w:rsidR="00761B50" w:rsidRPr="00761B50">
              <w:rPr>
                <w:b/>
              </w:rPr>
              <w:t>.</w:t>
            </w:r>
          </w:p>
        </w:tc>
        <w:tc>
          <w:tcPr>
            <w:tcW w:w="1319" w:type="dxa"/>
          </w:tcPr>
          <w:p w14:paraId="755BD95B" w14:textId="00C24CAD" w:rsidR="00C621A7" w:rsidRPr="00761B50" w:rsidRDefault="00C621A7" w:rsidP="00C621A7">
            <w:pPr>
              <w:spacing w:before="60"/>
              <w:jc w:val="both"/>
            </w:pPr>
            <w:r w:rsidRPr="00761B50">
              <w:t>32022L0542</w:t>
            </w:r>
          </w:p>
        </w:tc>
        <w:tc>
          <w:tcPr>
            <w:tcW w:w="1451" w:type="dxa"/>
          </w:tcPr>
          <w:p w14:paraId="6071B499" w14:textId="77777777" w:rsidR="00C621A7" w:rsidRPr="00761B50" w:rsidRDefault="00C621A7" w:rsidP="00C621A7">
            <w:pPr>
              <w:spacing w:before="60"/>
            </w:pPr>
            <w:r w:rsidRPr="00761B50">
              <w:t>Příloha bod 11</w:t>
            </w:r>
          </w:p>
          <w:p w14:paraId="5FAE7A5B" w14:textId="48B825B3" w:rsidR="00C621A7" w:rsidRPr="00761B50" w:rsidRDefault="00C621A7" w:rsidP="00C621A7">
            <w:pPr>
              <w:spacing w:before="60"/>
            </w:pPr>
            <w:r w:rsidRPr="00761B50">
              <w:t>(příloha III,</w:t>
            </w:r>
            <w:r w:rsidRPr="00761B50">
              <w:br/>
              <w:t>bod 23)</w:t>
            </w:r>
          </w:p>
        </w:tc>
        <w:tc>
          <w:tcPr>
            <w:tcW w:w="5449" w:type="dxa"/>
          </w:tcPr>
          <w:p w14:paraId="4398F077" w14:textId="3113F65D" w:rsidR="00C621A7" w:rsidRPr="00761B50" w:rsidRDefault="00C621A7" w:rsidP="00C621A7">
            <w:pPr>
              <w:overflowPunct/>
              <w:spacing w:before="60"/>
              <w:jc w:val="both"/>
              <w:textAlignment w:val="auto"/>
            </w:pPr>
            <w:r w:rsidRPr="00761B50">
              <w:t>23) živé rostliny a jiné květinářské produkty, včetně cibulí, bavlny, kořenů a obdobných produktů, řezaných květin a ozdobného listoví;</w:t>
            </w:r>
          </w:p>
        </w:tc>
      </w:tr>
      <w:tr w:rsidR="00761B50" w:rsidRPr="00761B50" w14:paraId="5D223599" w14:textId="77777777" w:rsidTr="00C3594F">
        <w:trPr>
          <w:trHeight w:val="981"/>
        </w:trPr>
        <w:tc>
          <w:tcPr>
            <w:tcW w:w="1217" w:type="dxa"/>
            <w:shd w:val="clear" w:color="auto" w:fill="auto"/>
          </w:tcPr>
          <w:p w14:paraId="751F7959" w14:textId="0FC39A9B" w:rsidR="00C621A7" w:rsidRPr="00761B50" w:rsidRDefault="00DF6516" w:rsidP="00C621A7">
            <w:pPr>
              <w:spacing w:before="60"/>
            </w:pPr>
            <w:r w:rsidRPr="00761B50">
              <w:t>příloha č. 3</w:t>
            </w:r>
            <w:r w:rsidRPr="00761B50">
              <w:br/>
              <w:t>28-30</w:t>
            </w:r>
          </w:p>
        </w:tc>
        <w:tc>
          <w:tcPr>
            <w:tcW w:w="4739" w:type="dxa"/>
            <w:shd w:val="clear" w:color="auto" w:fill="auto"/>
          </w:tcPr>
          <w:p w14:paraId="537F3248" w14:textId="7328D34A" w:rsidR="00C621A7" w:rsidRPr="00761B50" w:rsidRDefault="00761B50" w:rsidP="00761B50">
            <w:pPr>
              <w:spacing w:before="60"/>
              <w:jc w:val="both"/>
              <w:rPr>
                <w:b/>
              </w:rPr>
            </w:pPr>
            <w:r w:rsidRPr="00761B50">
              <w:rPr>
                <w:b/>
              </w:rPr>
              <w:t>- S</w:t>
            </w:r>
            <w:r w:rsidR="00DF6516" w:rsidRPr="00761B50">
              <w:rPr>
                <w:b/>
              </w:rPr>
              <w:t xml:space="preserve">orbit pro diabetiky, aspartam, sacharin a jeho soli, antibiotika, farmaceutické výrobky - jen určené pro zdravotní služby, prevenci nemocí a léčbu pro humánní lékařské účely; </w:t>
            </w:r>
            <w:r w:rsidRPr="00761B50">
              <w:rPr>
                <w:b/>
              </w:rPr>
              <w:t>radiofarmaka</w:t>
            </w:r>
            <w:r w:rsidR="00DF6516" w:rsidRPr="00761B50">
              <w:rPr>
                <w:b/>
              </w:rPr>
              <w:t>, očkovací látky, léky, kontrastní prostředky pro rentgenová vyšetření, diagnostické reagencie určené k podávání pacientům, chemické antikoncepční přípravky na hormonálním základě - určené pro zdravotní a veterinární služby, prevenci nemocí a léčbu pro humánní a veterinární lékařské účely.</w:t>
            </w:r>
          </w:p>
        </w:tc>
        <w:tc>
          <w:tcPr>
            <w:tcW w:w="1319" w:type="dxa"/>
            <w:shd w:val="clear" w:color="auto" w:fill="auto"/>
          </w:tcPr>
          <w:p w14:paraId="51B8E42C" w14:textId="212C6D8B" w:rsidR="00C621A7" w:rsidRPr="00761B50" w:rsidRDefault="00DF6516" w:rsidP="00C621A7">
            <w:pPr>
              <w:spacing w:before="60"/>
              <w:jc w:val="both"/>
            </w:pPr>
            <w:r w:rsidRPr="00761B50">
              <w:t>32022L0542</w:t>
            </w:r>
          </w:p>
        </w:tc>
        <w:tc>
          <w:tcPr>
            <w:tcW w:w="1451" w:type="dxa"/>
            <w:shd w:val="clear" w:color="auto" w:fill="auto"/>
          </w:tcPr>
          <w:p w14:paraId="3AC6B999" w14:textId="77777777" w:rsidR="00DF6516" w:rsidRPr="00761B50" w:rsidRDefault="00DF6516" w:rsidP="00DF6516">
            <w:pPr>
              <w:spacing w:before="60"/>
            </w:pPr>
            <w:r w:rsidRPr="00761B50">
              <w:t>Příloha bod 1</w:t>
            </w:r>
          </w:p>
          <w:p w14:paraId="3D165B07" w14:textId="3BE700DB" w:rsidR="00C621A7" w:rsidRPr="00761B50" w:rsidRDefault="00DF6516" w:rsidP="00DF6516">
            <w:pPr>
              <w:spacing w:before="60"/>
            </w:pPr>
            <w:r w:rsidRPr="00761B50">
              <w:t>(příloha III,</w:t>
            </w:r>
            <w:r w:rsidRPr="00761B50">
              <w:br/>
              <w:t>bod 3)</w:t>
            </w:r>
          </w:p>
        </w:tc>
        <w:tc>
          <w:tcPr>
            <w:tcW w:w="5449" w:type="dxa"/>
            <w:shd w:val="clear" w:color="auto" w:fill="auto"/>
          </w:tcPr>
          <w:p w14:paraId="1DAEFCBA" w14:textId="346DA1B8" w:rsidR="00C621A7" w:rsidRPr="00761B50" w:rsidRDefault="00DF6516" w:rsidP="00C621A7">
            <w:pPr>
              <w:overflowPunct/>
              <w:spacing w:before="60" w:after="60"/>
              <w:jc w:val="both"/>
              <w:textAlignment w:val="auto"/>
            </w:pPr>
            <w:r w:rsidRPr="00761B50">
              <w:t>3) farmaceutické výrobky používané pro účely lékařské a veterinární péče, včetně výrobků používaných k antikoncepci a ženské hygienické ochraně, a savé hygienické výrobky;</w:t>
            </w:r>
          </w:p>
        </w:tc>
      </w:tr>
      <w:tr w:rsidR="00761B50" w:rsidRPr="00761B50" w14:paraId="44778DF4" w14:textId="77777777" w:rsidTr="00F13B1D">
        <w:trPr>
          <w:trHeight w:val="981"/>
        </w:trPr>
        <w:tc>
          <w:tcPr>
            <w:tcW w:w="1217" w:type="dxa"/>
            <w:shd w:val="clear" w:color="auto" w:fill="auto"/>
          </w:tcPr>
          <w:p w14:paraId="659E0A5D" w14:textId="245F4188" w:rsidR="00DF6516" w:rsidRPr="00761B50" w:rsidRDefault="00DF6516" w:rsidP="00DF6516">
            <w:pPr>
              <w:spacing w:before="60"/>
              <w:rPr>
                <w:szCs w:val="24"/>
              </w:rPr>
            </w:pPr>
            <w:r w:rsidRPr="00761B50">
              <w:lastRenderedPageBreak/>
              <w:t>příloha č. 3</w:t>
            </w:r>
            <w:r w:rsidRPr="00761B50">
              <w:br/>
              <w:t>4902 90, 4904 a 4905, 4911, 8523</w:t>
            </w:r>
          </w:p>
        </w:tc>
        <w:tc>
          <w:tcPr>
            <w:tcW w:w="4739" w:type="dxa"/>
            <w:shd w:val="clear" w:color="auto" w:fill="auto"/>
          </w:tcPr>
          <w:p w14:paraId="60D787E8" w14:textId="44A7CEDC" w:rsidR="00DF6516" w:rsidRPr="00761B50" w:rsidRDefault="00DF6516" w:rsidP="00DF6516">
            <w:pPr>
              <w:spacing w:before="60"/>
              <w:jc w:val="both"/>
              <w:rPr>
                <w:b/>
              </w:rPr>
            </w:pPr>
            <w:r w:rsidRPr="00761B50">
              <w:rPr>
                <w:b/>
              </w:rPr>
              <w:t>Noviny, časopisy, periodika, hudebniny a kartografické výrobky, včetně zvukového záznamu přednesu jejich obsahu, pokud</w:t>
            </w:r>
          </w:p>
          <w:p w14:paraId="4785B82E" w14:textId="5C450CC8" w:rsidR="00DF6516" w:rsidRPr="00761B50" w:rsidRDefault="00DF6516" w:rsidP="00DF6516">
            <w:pPr>
              <w:pStyle w:val="Odstavecseseznamem"/>
              <w:numPr>
                <w:ilvl w:val="0"/>
                <w:numId w:val="7"/>
              </w:numPr>
              <w:spacing w:before="60"/>
              <w:jc w:val="both"/>
              <w:rPr>
                <w:b/>
              </w:rPr>
            </w:pPr>
            <w:r w:rsidRPr="00761B50">
              <w:rPr>
                <w:b/>
              </w:rPr>
              <w:t>jsou obsaženy na hmotném nosiči a</w:t>
            </w:r>
          </w:p>
          <w:p w14:paraId="7B0087F2" w14:textId="26E7C557" w:rsidR="00DF6516" w:rsidRPr="00761B50" w:rsidRDefault="00DF6516" w:rsidP="00DF6516">
            <w:pPr>
              <w:pStyle w:val="Odstavecseseznamem"/>
              <w:numPr>
                <w:ilvl w:val="0"/>
                <w:numId w:val="7"/>
              </w:numPr>
              <w:spacing w:before="60"/>
              <w:jc w:val="both"/>
              <w:rPr>
                <w:b/>
              </w:rPr>
            </w:pPr>
            <w:r w:rsidRPr="00761B50">
              <w:rPr>
                <w:b/>
              </w:rPr>
              <w:t>nejde o zboží, u kterého reklama podle zákona upravujícího regulaci reklamy představuje více než 50 % obsahu nebo které se výlučně nebo převážně sestává z hudebního zvukového obsahu nebo audiovizuálního obsahu.</w:t>
            </w:r>
          </w:p>
        </w:tc>
        <w:tc>
          <w:tcPr>
            <w:tcW w:w="1319" w:type="dxa"/>
            <w:shd w:val="clear" w:color="auto" w:fill="auto"/>
          </w:tcPr>
          <w:p w14:paraId="5E6C39E9" w14:textId="493ED1D3" w:rsidR="00DF6516" w:rsidRPr="00761B50" w:rsidRDefault="00DF6516" w:rsidP="00DF6516">
            <w:pPr>
              <w:spacing w:before="60"/>
              <w:jc w:val="both"/>
            </w:pPr>
            <w:r w:rsidRPr="00761B50">
              <w:t>32022L0542</w:t>
            </w:r>
          </w:p>
        </w:tc>
        <w:tc>
          <w:tcPr>
            <w:tcW w:w="1451" w:type="dxa"/>
            <w:shd w:val="clear" w:color="auto" w:fill="auto"/>
          </w:tcPr>
          <w:p w14:paraId="3067051B" w14:textId="77777777" w:rsidR="00DF6516" w:rsidRPr="00761B50" w:rsidRDefault="00DF6516" w:rsidP="00DF6516">
            <w:pPr>
              <w:spacing w:before="60"/>
              <w:rPr>
                <w:rFonts w:eastAsiaTheme="minorHAnsi"/>
              </w:rPr>
            </w:pPr>
            <w:r w:rsidRPr="00761B50">
              <w:rPr>
                <w:rFonts w:eastAsiaTheme="minorHAnsi"/>
              </w:rPr>
              <w:t>Příloha bod 1</w:t>
            </w:r>
          </w:p>
          <w:p w14:paraId="78F6882B" w14:textId="3F722784" w:rsidR="00DF6516" w:rsidRPr="00761B50" w:rsidRDefault="00DF6516" w:rsidP="00DF6516">
            <w:pPr>
              <w:spacing w:before="60"/>
            </w:pPr>
            <w:r w:rsidRPr="00761B50">
              <w:rPr>
                <w:rFonts w:eastAsiaTheme="minorHAnsi"/>
              </w:rPr>
              <w:t>(příloha III,</w:t>
            </w:r>
            <w:r w:rsidRPr="00761B50">
              <w:rPr>
                <w:rFonts w:eastAsiaTheme="minorHAnsi"/>
              </w:rPr>
              <w:br/>
              <w:t>bod 6)</w:t>
            </w:r>
          </w:p>
        </w:tc>
        <w:tc>
          <w:tcPr>
            <w:tcW w:w="5449" w:type="dxa"/>
            <w:shd w:val="clear" w:color="auto" w:fill="auto"/>
          </w:tcPr>
          <w:p w14:paraId="24D2C25F" w14:textId="7514C36F" w:rsidR="00DF6516" w:rsidRPr="00761B50" w:rsidRDefault="00DF6516" w:rsidP="00DF6516">
            <w:pPr>
              <w:spacing w:before="60" w:after="60"/>
              <w:jc w:val="both"/>
              <w:rPr>
                <w:szCs w:val="24"/>
              </w:rPr>
            </w:pPr>
            <w:r w:rsidRPr="00761B50">
              <w:rPr>
                <w:szCs w:val="24"/>
              </w:rPr>
              <w:t>6) dodání knih, novin a časopisů (včetně brožur, letáků a obdobných tiskovin, dětských obrázkových knížek, náčrtníků či omalovánek, hudebních partitur tištěných či psaných, zeměpisných, vodopisných nebo obdobných map) buď na fyzickém nosiči, nebo elektronicky, nebo oběma způsoby, a to včetně dodání na výpůjčku knihovnami, nejedná-li se o publikace výlučně nebo převážně určené k propagaci ani o publikace výlučně nebo převážně sestávající ze zvukového hudebního nebo video obsahu; výroba publikací neziskových organizací a služby související s touto výrobou;</w:t>
            </w:r>
          </w:p>
        </w:tc>
      </w:tr>
      <w:tr w:rsidR="0040466B" w:rsidRPr="00761B50" w14:paraId="5A864B7B" w14:textId="77777777" w:rsidTr="00F13B1D">
        <w:trPr>
          <w:trHeight w:val="981"/>
        </w:trPr>
        <w:tc>
          <w:tcPr>
            <w:tcW w:w="1217" w:type="dxa"/>
            <w:shd w:val="clear" w:color="auto" w:fill="auto"/>
          </w:tcPr>
          <w:p w14:paraId="4846F81A" w14:textId="5AEFD19D" w:rsidR="0040466B" w:rsidRPr="00761B50" w:rsidRDefault="0040466B" w:rsidP="0040466B">
            <w:pPr>
              <w:spacing w:before="60"/>
            </w:pPr>
            <w:r w:rsidRPr="00761B50">
              <w:t>příloha č. 3</w:t>
            </w:r>
            <w:r w:rsidRPr="00761B50">
              <w:br/>
              <w:t>4902 90, 4904 a 4905, 4911, 8523</w:t>
            </w:r>
          </w:p>
        </w:tc>
        <w:tc>
          <w:tcPr>
            <w:tcW w:w="4739" w:type="dxa"/>
            <w:shd w:val="clear" w:color="auto" w:fill="auto"/>
          </w:tcPr>
          <w:p w14:paraId="65A8D137" w14:textId="3008DE57" w:rsidR="0040466B" w:rsidRPr="00761B50" w:rsidRDefault="0040466B" w:rsidP="0040466B">
            <w:pPr>
              <w:spacing w:before="60"/>
              <w:jc w:val="both"/>
              <w:rPr>
                <w:b/>
              </w:rPr>
            </w:pPr>
            <w:r w:rsidRPr="00761B50">
              <w:rPr>
                <w:b/>
              </w:rPr>
              <w:t>V příloze č. 3 se položka „4401 - Palivové dřevo v polenech, špalcích, větvích, otepích nebo podobných tvarech; dřevěné štěpky nebo třísky, piliny a dřevěný odpad a zbytky, též aglomerované do polen, briket, pelet nebo podobných tvarů, určené jako palivo.“ zrušuje.</w:t>
            </w:r>
          </w:p>
        </w:tc>
        <w:tc>
          <w:tcPr>
            <w:tcW w:w="1319" w:type="dxa"/>
            <w:shd w:val="clear" w:color="auto" w:fill="auto"/>
          </w:tcPr>
          <w:p w14:paraId="186F07AB" w14:textId="46C25380" w:rsidR="0040466B" w:rsidRPr="00761B50" w:rsidRDefault="0040466B" w:rsidP="0040466B">
            <w:pPr>
              <w:spacing w:before="60"/>
              <w:jc w:val="both"/>
            </w:pPr>
            <w:r w:rsidRPr="00761B50">
              <w:t>32022L0542</w:t>
            </w:r>
          </w:p>
        </w:tc>
        <w:tc>
          <w:tcPr>
            <w:tcW w:w="1451" w:type="dxa"/>
            <w:shd w:val="clear" w:color="auto" w:fill="auto"/>
          </w:tcPr>
          <w:p w14:paraId="5B155C41" w14:textId="77777777" w:rsidR="0040466B" w:rsidRPr="00761B50" w:rsidRDefault="0040466B" w:rsidP="0040466B">
            <w:pPr>
              <w:rPr>
                <w:sz w:val="18"/>
                <w:szCs w:val="18"/>
              </w:rPr>
            </w:pPr>
            <w:r w:rsidRPr="00761B50">
              <w:rPr>
                <w:sz w:val="18"/>
                <w:szCs w:val="18"/>
              </w:rPr>
              <w:t>Příloha bod 11</w:t>
            </w:r>
          </w:p>
          <w:p w14:paraId="7685F90B" w14:textId="5D810E2A" w:rsidR="0040466B" w:rsidRPr="00761B50" w:rsidRDefault="0040466B" w:rsidP="0040466B">
            <w:pPr>
              <w:spacing w:before="60"/>
              <w:rPr>
                <w:rFonts w:eastAsiaTheme="minorHAnsi"/>
              </w:rPr>
            </w:pPr>
            <w:r w:rsidRPr="00761B50">
              <w:rPr>
                <w:sz w:val="18"/>
                <w:szCs w:val="18"/>
              </w:rPr>
              <w:t>(příloha III, bod 22)</w:t>
            </w:r>
          </w:p>
        </w:tc>
        <w:tc>
          <w:tcPr>
            <w:tcW w:w="5449" w:type="dxa"/>
            <w:shd w:val="clear" w:color="auto" w:fill="auto"/>
          </w:tcPr>
          <w:p w14:paraId="0CB0179B" w14:textId="3B095852" w:rsidR="0040466B" w:rsidRPr="00761B50" w:rsidRDefault="0040466B" w:rsidP="0040466B">
            <w:pPr>
              <w:spacing w:before="60" w:after="60"/>
              <w:jc w:val="both"/>
              <w:rPr>
                <w:szCs w:val="24"/>
              </w:rPr>
            </w:pPr>
            <w:r w:rsidRPr="00761B50">
              <w:rPr>
                <w:szCs w:val="18"/>
              </w:rPr>
              <w:t>22) dodání elektřiny, dálkového vytápění a dálkového chlazení a bioplynu vyrobeného ze surovin uvedených v příloze IX části A směrnice Evropského parlamentu a Rady 2018/2001; dodání a instalace vysoce účinných systémů vytápění s nízkými emisemi, které splňují referenční hodnoty emisí (částic) stanovené v příloze V nařízení Komise (EU) 2015/1189 a v příloze V nařízení Komise (EU) 2015/1185 a které obdržely energetický štítek EU prokazující splnění kritéria uvedeného v čl. 7 odst. 2 nařízení Evropského parlamentu a Rady (EU) 2017/1369, a do 1. ledna 2030 dodání zemního plynu a palivového dřeva;</w:t>
            </w:r>
          </w:p>
        </w:tc>
      </w:tr>
    </w:tbl>
    <w:p w14:paraId="69EB04C0" w14:textId="77777777" w:rsidR="00F9780E" w:rsidRPr="00761B50" w:rsidRDefault="00F9780E">
      <w:pPr>
        <w:jc w:val="both"/>
      </w:pPr>
    </w:p>
    <w:p w14:paraId="782223C5" w14:textId="522284E8" w:rsidR="00A93F5C" w:rsidRPr="00761B50" w:rsidRDefault="00A93F5C">
      <w:pPr>
        <w:overflowPunct/>
        <w:autoSpaceDE/>
        <w:autoSpaceDN/>
        <w:adjustRightInd/>
        <w:textAlignment w:val="auto"/>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
        <w:gridCol w:w="1982"/>
        <w:gridCol w:w="11580"/>
      </w:tblGrid>
      <w:tr w:rsidR="00761B50" w:rsidRPr="00761B50" w14:paraId="50040116" w14:textId="77777777" w:rsidTr="008A271A">
        <w:trPr>
          <w:cantSplit/>
        </w:trPr>
        <w:tc>
          <w:tcPr>
            <w:tcW w:w="683" w:type="dxa"/>
          </w:tcPr>
          <w:p w14:paraId="3321EBAB" w14:textId="16F40881" w:rsidR="00D41B34" w:rsidRPr="00761B50" w:rsidRDefault="00D65647" w:rsidP="00D65647">
            <w:pPr>
              <w:spacing w:before="120"/>
              <w:ind w:right="43"/>
              <w:jc w:val="center"/>
              <w:rPr>
                <w:b/>
                <w:bCs/>
              </w:rPr>
            </w:pPr>
            <w:proofErr w:type="spellStart"/>
            <w:proofErr w:type="gramStart"/>
            <w:r w:rsidRPr="00761B50">
              <w:rPr>
                <w:b/>
                <w:bCs/>
              </w:rPr>
              <w:t>Poř.č</w:t>
            </w:r>
            <w:proofErr w:type="spellEnd"/>
            <w:r w:rsidRPr="00761B50">
              <w:rPr>
                <w:b/>
                <w:bCs/>
              </w:rPr>
              <w:t>.</w:t>
            </w:r>
            <w:proofErr w:type="gramEnd"/>
          </w:p>
        </w:tc>
        <w:tc>
          <w:tcPr>
            <w:tcW w:w="1982" w:type="dxa"/>
          </w:tcPr>
          <w:p w14:paraId="50C33D98" w14:textId="0A7B3160" w:rsidR="00D41B34" w:rsidRPr="00761B50" w:rsidRDefault="00D41B34" w:rsidP="00D65647">
            <w:pPr>
              <w:spacing w:before="120"/>
              <w:jc w:val="center"/>
              <w:rPr>
                <w:b/>
                <w:bCs/>
              </w:rPr>
            </w:pPr>
            <w:r w:rsidRPr="00761B50">
              <w:rPr>
                <w:b/>
                <w:bCs/>
              </w:rPr>
              <w:t>Číslo předpisu EU (kód CELEX)</w:t>
            </w:r>
          </w:p>
        </w:tc>
        <w:tc>
          <w:tcPr>
            <w:tcW w:w="11580" w:type="dxa"/>
          </w:tcPr>
          <w:p w14:paraId="6D1EC1F7" w14:textId="77777777" w:rsidR="00D41B34" w:rsidRPr="00761B50" w:rsidRDefault="00D41B34" w:rsidP="00D65647">
            <w:pPr>
              <w:spacing w:before="120"/>
              <w:jc w:val="center"/>
              <w:rPr>
                <w:b/>
                <w:bCs/>
              </w:rPr>
            </w:pPr>
            <w:r w:rsidRPr="00761B50">
              <w:rPr>
                <w:b/>
                <w:bCs/>
              </w:rPr>
              <w:t>Název předpisu EU</w:t>
            </w:r>
          </w:p>
        </w:tc>
      </w:tr>
      <w:tr w:rsidR="00761B50" w:rsidRPr="00761B50" w14:paraId="5BD545DF" w14:textId="77777777" w:rsidTr="008A271A">
        <w:trPr>
          <w:cantSplit/>
        </w:trPr>
        <w:tc>
          <w:tcPr>
            <w:tcW w:w="683" w:type="dxa"/>
          </w:tcPr>
          <w:p w14:paraId="32F76A67" w14:textId="77777777" w:rsidR="00D41B34" w:rsidRPr="00761B50" w:rsidRDefault="00D41B34" w:rsidP="00D65647">
            <w:pPr>
              <w:pStyle w:val="Odstavecseseznamem"/>
              <w:numPr>
                <w:ilvl w:val="0"/>
                <w:numId w:val="6"/>
              </w:numPr>
              <w:spacing w:before="120"/>
              <w:ind w:left="0" w:right="43" w:firstLine="0"/>
              <w:contextualSpacing w:val="0"/>
              <w:jc w:val="center"/>
            </w:pPr>
          </w:p>
        </w:tc>
        <w:tc>
          <w:tcPr>
            <w:tcW w:w="1982" w:type="dxa"/>
          </w:tcPr>
          <w:p w14:paraId="44AA999C" w14:textId="2D0330CF" w:rsidR="00D41B34" w:rsidRPr="00761B50" w:rsidRDefault="009907B6" w:rsidP="00D65647">
            <w:pPr>
              <w:spacing w:before="120"/>
              <w:jc w:val="both"/>
            </w:pPr>
            <w:r w:rsidRPr="00761B50">
              <w:t>32006L0112</w:t>
            </w:r>
          </w:p>
        </w:tc>
        <w:tc>
          <w:tcPr>
            <w:tcW w:w="11580" w:type="dxa"/>
          </w:tcPr>
          <w:p w14:paraId="5FD3CFBC" w14:textId="3E2BA043" w:rsidR="00D41B34" w:rsidRPr="00761B50" w:rsidRDefault="009907B6" w:rsidP="007C4FB2">
            <w:pPr>
              <w:spacing w:before="120" w:after="120"/>
              <w:jc w:val="both"/>
            </w:pPr>
            <w:r w:rsidRPr="00761B50">
              <w:t>Směrnice Rady 2006/112/ES ze dne 28. listopadu 2006 o společném systému daně z přidané hodnoty</w:t>
            </w:r>
          </w:p>
        </w:tc>
      </w:tr>
      <w:tr w:rsidR="00761B50" w:rsidRPr="00761B50" w14:paraId="11F26D01" w14:textId="77777777" w:rsidTr="008A271A">
        <w:trPr>
          <w:cantSplit/>
        </w:trPr>
        <w:tc>
          <w:tcPr>
            <w:tcW w:w="683" w:type="dxa"/>
          </w:tcPr>
          <w:p w14:paraId="13BFA132" w14:textId="77777777" w:rsidR="00375634" w:rsidRPr="00761B50" w:rsidRDefault="00375634" w:rsidP="00D65647">
            <w:pPr>
              <w:pStyle w:val="Odstavecseseznamem"/>
              <w:numPr>
                <w:ilvl w:val="0"/>
                <w:numId w:val="6"/>
              </w:numPr>
              <w:spacing w:before="120"/>
              <w:ind w:left="0" w:right="43" w:firstLine="0"/>
              <w:contextualSpacing w:val="0"/>
              <w:jc w:val="center"/>
            </w:pPr>
          </w:p>
        </w:tc>
        <w:tc>
          <w:tcPr>
            <w:tcW w:w="1982" w:type="dxa"/>
          </w:tcPr>
          <w:p w14:paraId="3997B48F" w14:textId="6511CA76" w:rsidR="00375634" w:rsidRPr="00761B50" w:rsidRDefault="00375634" w:rsidP="00D65647">
            <w:pPr>
              <w:spacing w:before="120"/>
              <w:jc w:val="both"/>
            </w:pPr>
            <w:r w:rsidRPr="00761B50">
              <w:t>32009L0047</w:t>
            </w:r>
          </w:p>
        </w:tc>
        <w:tc>
          <w:tcPr>
            <w:tcW w:w="11580" w:type="dxa"/>
          </w:tcPr>
          <w:p w14:paraId="0BF6B109" w14:textId="07A737ED" w:rsidR="00375634" w:rsidRPr="00761B50" w:rsidRDefault="00375634" w:rsidP="007C4FB2">
            <w:pPr>
              <w:spacing w:before="120" w:after="120"/>
              <w:jc w:val="both"/>
            </w:pPr>
            <w:r w:rsidRPr="00761B50">
              <w:t>Směrnice Rady 2009/47/ES ze dne 5. května 2009, kterou se mění směrnice 2006/112/ES, pokud jde o snížené sazby daně z přidané hodnoty</w:t>
            </w:r>
          </w:p>
        </w:tc>
      </w:tr>
      <w:tr w:rsidR="00761B50" w:rsidRPr="00761B50" w14:paraId="5F1DE712" w14:textId="77777777" w:rsidTr="008A271A">
        <w:trPr>
          <w:cantSplit/>
        </w:trPr>
        <w:tc>
          <w:tcPr>
            <w:tcW w:w="683" w:type="dxa"/>
          </w:tcPr>
          <w:p w14:paraId="4B4D348C" w14:textId="77777777" w:rsidR="00D60B68" w:rsidRPr="00761B50" w:rsidRDefault="00D60B68" w:rsidP="00D65647">
            <w:pPr>
              <w:pStyle w:val="Odstavecseseznamem"/>
              <w:numPr>
                <w:ilvl w:val="0"/>
                <w:numId w:val="6"/>
              </w:numPr>
              <w:spacing w:before="120"/>
              <w:ind w:left="0" w:right="43" w:firstLine="0"/>
              <w:contextualSpacing w:val="0"/>
              <w:jc w:val="center"/>
            </w:pPr>
          </w:p>
        </w:tc>
        <w:tc>
          <w:tcPr>
            <w:tcW w:w="1982" w:type="dxa"/>
          </w:tcPr>
          <w:p w14:paraId="6BE5C4AF" w14:textId="6DF3B92A" w:rsidR="00D60B68" w:rsidRPr="00761B50" w:rsidRDefault="00D60B68" w:rsidP="00D65647">
            <w:pPr>
              <w:spacing w:before="120"/>
              <w:jc w:val="both"/>
            </w:pPr>
            <w:r w:rsidRPr="00761B50">
              <w:t>32018L1713</w:t>
            </w:r>
          </w:p>
        </w:tc>
        <w:tc>
          <w:tcPr>
            <w:tcW w:w="11580" w:type="dxa"/>
          </w:tcPr>
          <w:p w14:paraId="68B76801" w14:textId="1F25226A" w:rsidR="00D60B68" w:rsidRPr="00761B50" w:rsidRDefault="00D60B68" w:rsidP="007C4FB2">
            <w:pPr>
              <w:spacing w:before="120" w:after="120"/>
              <w:jc w:val="both"/>
            </w:pPr>
            <w:r w:rsidRPr="00761B50">
              <w:t>Směrnice Rady (EU) 2018/1713 ze dne 6. listopadu 2018, kterou se mění směrnice 2006/112/ES, pokud jde o sazby daně z přidané hodnoty uplatňované na knihy, noviny a časopisy</w:t>
            </w:r>
          </w:p>
        </w:tc>
      </w:tr>
      <w:tr w:rsidR="00C3594F" w:rsidRPr="00761B50" w14:paraId="33D7E770" w14:textId="77777777" w:rsidTr="008A271A">
        <w:trPr>
          <w:cantSplit/>
        </w:trPr>
        <w:tc>
          <w:tcPr>
            <w:tcW w:w="683" w:type="dxa"/>
          </w:tcPr>
          <w:p w14:paraId="189B233F" w14:textId="77777777" w:rsidR="00C3594F" w:rsidRPr="00761B50" w:rsidRDefault="00C3594F" w:rsidP="00D65647">
            <w:pPr>
              <w:pStyle w:val="Odstavecseseznamem"/>
              <w:numPr>
                <w:ilvl w:val="0"/>
                <w:numId w:val="6"/>
              </w:numPr>
              <w:spacing w:before="120"/>
              <w:ind w:left="0" w:right="43" w:firstLine="0"/>
              <w:contextualSpacing w:val="0"/>
              <w:jc w:val="center"/>
            </w:pPr>
          </w:p>
        </w:tc>
        <w:tc>
          <w:tcPr>
            <w:tcW w:w="1982" w:type="dxa"/>
          </w:tcPr>
          <w:p w14:paraId="12A3D632" w14:textId="2448189F" w:rsidR="00C3594F" w:rsidRPr="00761B50" w:rsidRDefault="009907B6" w:rsidP="00D65647">
            <w:pPr>
              <w:spacing w:before="120"/>
              <w:jc w:val="both"/>
            </w:pPr>
            <w:r w:rsidRPr="00761B50">
              <w:t>32022L0542</w:t>
            </w:r>
          </w:p>
        </w:tc>
        <w:tc>
          <w:tcPr>
            <w:tcW w:w="11580" w:type="dxa"/>
          </w:tcPr>
          <w:p w14:paraId="325CF962" w14:textId="7F9C9C01" w:rsidR="00C3594F" w:rsidRPr="00761B50" w:rsidRDefault="009907B6" w:rsidP="00375634">
            <w:pPr>
              <w:spacing w:before="120" w:after="120"/>
              <w:jc w:val="both"/>
            </w:pPr>
            <w:r w:rsidRPr="00761B50">
              <w:t>S</w:t>
            </w:r>
            <w:r w:rsidR="00375634" w:rsidRPr="00761B50">
              <w:t xml:space="preserve">měrnice Rady </w:t>
            </w:r>
            <w:r w:rsidRPr="00761B50">
              <w:t>(EU) 2022/542 ze dne 5. dubna 2022, kterou se mění směrnice 2006/112/ES a (EU) 2020/285, pokud jde o sazby daně z přidané hodnoty</w:t>
            </w:r>
          </w:p>
        </w:tc>
      </w:tr>
    </w:tbl>
    <w:p w14:paraId="0C111764" w14:textId="20AC8CF2" w:rsidR="00946938" w:rsidRPr="00761B50" w:rsidRDefault="00946938" w:rsidP="002362F0">
      <w:pPr>
        <w:jc w:val="both"/>
      </w:pPr>
    </w:p>
    <w:sectPr w:rsidR="00946938" w:rsidRPr="00761B50" w:rsidSect="008C5209">
      <w:headerReference w:type="default" r:id="rId7"/>
      <w:footerReference w:type="even" r:id="rId8"/>
      <w:footerReference w:type="default" r:id="rId9"/>
      <w:headerReference w:type="first" r:id="rId10"/>
      <w:pgSz w:w="16838" w:h="11906" w:orient="landscape" w:code="9"/>
      <w:pgMar w:top="1304" w:right="1418" w:bottom="1304" w:left="1418" w:header="709" w:footer="709" w:gutter="0"/>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68DE" w14:textId="77777777" w:rsidR="006819A0" w:rsidRDefault="006819A0">
      <w:r>
        <w:separator/>
      </w:r>
    </w:p>
  </w:endnote>
  <w:endnote w:type="continuationSeparator" w:id="0">
    <w:p w14:paraId="43970B73" w14:textId="77777777" w:rsidR="006819A0" w:rsidRDefault="0068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_New_Roman+20">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263E" w14:textId="77777777" w:rsidR="008B3160" w:rsidRDefault="008B31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880192C" w14:textId="77777777" w:rsidR="008B3160" w:rsidRDefault="008B31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A421" w14:textId="4B46BF16" w:rsidR="008B3160" w:rsidRDefault="008B3160" w:rsidP="00A970B4">
    <w:pPr>
      <w:pStyle w:val="Zpat"/>
      <w:framePr w:wrap="around" w:vAnchor="text" w:hAnchor="margin" w:xAlign="center" w:y="1"/>
      <w:jc w:val="right"/>
    </w:pPr>
  </w:p>
  <w:p w14:paraId="0F5D5258" w14:textId="77777777" w:rsidR="008B3160" w:rsidRDefault="008B3160" w:rsidP="001B4C5C">
    <w:pPr>
      <w:pStyle w:val="Zpat"/>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EB4A" w14:textId="77777777" w:rsidR="006819A0" w:rsidRDefault="006819A0">
      <w:r>
        <w:separator/>
      </w:r>
    </w:p>
  </w:footnote>
  <w:footnote w:type="continuationSeparator" w:id="0">
    <w:p w14:paraId="56C71EE8" w14:textId="77777777" w:rsidR="006819A0" w:rsidRDefault="0068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043308"/>
      <w:docPartObj>
        <w:docPartGallery w:val="Page Numbers (Top of Page)"/>
        <w:docPartUnique/>
      </w:docPartObj>
    </w:sdtPr>
    <w:sdtContent>
      <w:p w14:paraId="4F721F2E" w14:textId="77164276" w:rsidR="008C5209" w:rsidRDefault="008C5209">
        <w:pPr>
          <w:pStyle w:val="Zhlav"/>
          <w:jc w:val="center"/>
        </w:pPr>
        <w:r>
          <w:fldChar w:fldCharType="begin"/>
        </w:r>
        <w:r>
          <w:instrText>PAGE   \* MERGEFORMAT</w:instrText>
        </w:r>
        <w:r>
          <w:fldChar w:fldCharType="separate"/>
        </w:r>
        <w:r>
          <w:rPr>
            <w:noProof/>
          </w:rPr>
          <w:t>- 2 -</w:t>
        </w:r>
        <w:r>
          <w:fldChar w:fldCharType="end"/>
        </w:r>
      </w:p>
    </w:sdtContent>
  </w:sdt>
  <w:p w14:paraId="58AB59E0" w14:textId="6C38BFFE" w:rsidR="008B3160" w:rsidRPr="00FF02B7" w:rsidRDefault="008B3160" w:rsidP="00FF02B7">
    <w:pPr>
      <w:pStyle w:val="Zhlav"/>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6372" w14:textId="0EBFD38C" w:rsidR="003F3ABB" w:rsidRPr="003F3ABB" w:rsidRDefault="008C5209" w:rsidP="003F3ABB">
    <w:pPr>
      <w:pStyle w:val="Zhlav"/>
      <w:jc w:val="right"/>
      <w:rPr>
        <w:b/>
        <w:sz w:val="24"/>
      </w:rPr>
    </w:pPr>
    <w:proofErr w:type="spellStart"/>
    <w:r>
      <w:rPr>
        <w:b/>
        <w:sz w:val="24"/>
      </w:rPr>
      <w:t>VIc</w:t>
    </w:r>
    <w:proofErr w:type="spellEnd"/>
    <w:r>
      <w:rPr>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6B48"/>
    <w:multiLevelType w:val="hybridMultilevel"/>
    <w:tmpl w:val="7D326FD0"/>
    <w:lvl w:ilvl="0" w:tplc="D47C3B9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FB3929"/>
    <w:multiLevelType w:val="hybridMultilevel"/>
    <w:tmpl w:val="14E60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3E3D96"/>
    <w:multiLevelType w:val="hybridMultilevel"/>
    <w:tmpl w:val="EE84E3DC"/>
    <w:lvl w:ilvl="0" w:tplc="8A041B66">
      <w:start w:val="3"/>
      <w:numFmt w:val="bullet"/>
      <w:lvlText w:val="—"/>
      <w:lvlJc w:val="left"/>
      <w:pPr>
        <w:ind w:left="1080" w:hanging="360"/>
      </w:pPr>
      <w:rPr>
        <w:rFonts w:ascii="Times_New_Roman+20" w:eastAsia="Calibri" w:hAnsi="Times_New_Roman+20" w:cs="Times_New_Roman+20" w:hint="default"/>
        <w:sz w:val="17"/>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68AD13A8"/>
    <w:multiLevelType w:val="hybridMultilevel"/>
    <w:tmpl w:val="6B2E5FD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780C358F"/>
    <w:multiLevelType w:val="hybridMultilevel"/>
    <w:tmpl w:val="AAE0DC90"/>
    <w:lvl w:ilvl="0" w:tplc="8A041B66">
      <w:start w:val="3"/>
      <w:numFmt w:val="bullet"/>
      <w:lvlText w:val="—"/>
      <w:lvlJc w:val="left"/>
      <w:pPr>
        <w:ind w:left="786" w:hanging="360"/>
      </w:pPr>
      <w:rPr>
        <w:rFonts w:ascii="Times_New_Roman+20" w:eastAsia="Calibri" w:hAnsi="Times_New_Roman+20" w:cs="Times_New_Roman+20" w:hint="default"/>
        <w:sz w:val="17"/>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782449C8"/>
    <w:multiLevelType w:val="hybridMultilevel"/>
    <w:tmpl w:val="7D64FD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D55022B"/>
    <w:multiLevelType w:val="hybridMultilevel"/>
    <w:tmpl w:val="AA7262B8"/>
    <w:lvl w:ilvl="0" w:tplc="2AE4F162">
      <w:start w:val="1"/>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F9"/>
    <w:rsid w:val="00003C12"/>
    <w:rsid w:val="00006A5B"/>
    <w:rsid w:val="00010471"/>
    <w:rsid w:val="000117BD"/>
    <w:rsid w:val="00014068"/>
    <w:rsid w:val="00014751"/>
    <w:rsid w:val="00017A0B"/>
    <w:rsid w:val="00022F89"/>
    <w:rsid w:val="000233E7"/>
    <w:rsid w:val="00024F30"/>
    <w:rsid w:val="00030366"/>
    <w:rsid w:val="0003259D"/>
    <w:rsid w:val="00032A30"/>
    <w:rsid w:val="00033141"/>
    <w:rsid w:val="00042419"/>
    <w:rsid w:val="0005010F"/>
    <w:rsid w:val="00055420"/>
    <w:rsid w:val="0006044A"/>
    <w:rsid w:val="00064A40"/>
    <w:rsid w:val="00065EA1"/>
    <w:rsid w:val="000733F6"/>
    <w:rsid w:val="0007622F"/>
    <w:rsid w:val="000842C5"/>
    <w:rsid w:val="000909F6"/>
    <w:rsid w:val="00090E25"/>
    <w:rsid w:val="00091F14"/>
    <w:rsid w:val="00092BC6"/>
    <w:rsid w:val="00094382"/>
    <w:rsid w:val="000A0BF8"/>
    <w:rsid w:val="000A3011"/>
    <w:rsid w:val="000A3B5F"/>
    <w:rsid w:val="000A7014"/>
    <w:rsid w:val="000B0EC6"/>
    <w:rsid w:val="000B3629"/>
    <w:rsid w:val="000C0B09"/>
    <w:rsid w:val="000C47DF"/>
    <w:rsid w:val="000C7746"/>
    <w:rsid w:val="000D0DD1"/>
    <w:rsid w:val="000D1EFD"/>
    <w:rsid w:val="000D3DED"/>
    <w:rsid w:val="000D509F"/>
    <w:rsid w:val="000D66F7"/>
    <w:rsid w:val="000D7C95"/>
    <w:rsid w:val="000E17B4"/>
    <w:rsid w:val="000F7921"/>
    <w:rsid w:val="00101E5D"/>
    <w:rsid w:val="0010474B"/>
    <w:rsid w:val="0010516F"/>
    <w:rsid w:val="001053A2"/>
    <w:rsid w:val="0010597F"/>
    <w:rsid w:val="001070CB"/>
    <w:rsid w:val="00107B9C"/>
    <w:rsid w:val="00107F49"/>
    <w:rsid w:val="001100BD"/>
    <w:rsid w:val="001101D6"/>
    <w:rsid w:val="001104C1"/>
    <w:rsid w:val="00116C25"/>
    <w:rsid w:val="00123085"/>
    <w:rsid w:val="00123C41"/>
    <w:rsid w:val="0012411E"/>
    <w:rsid w:val="00137B1E"/>
    <w:rsid w:val="00146ED8"/>
    <w:rsid w:val="0015418F"/>
    <w:rsid w:val="001700C8"/>
    <w:rsid w:val="001708BA"/>
    <w:rsid w:val="00172DA9"/>
    <w:rsid w:val="00173F3C"/>
    <w:rsid w:val="001809E1"/>
    <w:rsid w:val="00186815"/>
    <w:rsid w:val="00193D09"/>
    <w:rsid w:val="001A1A58"/>
    <w:rsid w:val="001A3E4B"/>
    <w:rsid w:val="001A5268"/>
    <w:rsid w:val="001B2B5A"/>
    <w:rsid w:val="001B4C5C"/>
    <w:rsid w:val="001B613D"/>
    <w:rsid w:val="001C208B"/>
    <w:rsid w:val="001C2092"/>
    <w:rsid w:val="001C5235"/>
    <w:rsid w:val="001C5C00"/>
    <w:rsid w:val="001D2F19"/>
    <w:rsid w:val="001D6352"/>
    <w:rsid w:val="001D7568"/>
    <w:rsid w:val="001E217E"/>
    <w:rsid w:val="001E26DA"/>
    <w:rsid w:val="001E2DEA"/>
    <w:rsid w:val="001F314B"/>
    <w:rsid w:val="001F72DC"/>
    <w:rsid w:val="002008E6"/>
    <w:rsid w:val="0020434C"/>
    <w:rsid w:val="002068E1"/>
    <w:rsid w:val="00210F0C"/>
    <w:rsid w:val="002137E7"/>
    <w:rsid w:val="002219EF"/>
    <w:rsid w:val="002248DA"/>
    <w:rsid w:val="00232ECC"/>
    <w:rsid w:val="002349AB"/>
    <w:rsid w:val="00234E3D"/>
    <w:rsid w:val="002362F0"/>
    <w:rsid w:val="00236D43"/>
    <w:rsid w:val="00246CC1"/>
    <w:rsid w:val="00252342"/>
    <w:rsid w:val="00253351"/>
    <w:rsid w:val="002563C2"/>
    <w:rsid w:val="002614F0"/>
    <w:rsid w:val="00261771"/>
    <w:rsid w:val="002643C1"/>
    <w:rsid w:val="00272CD6"/>
    <w:rsid w:val="00273B92"/>
    <w:rsid w:val="00273EF1"/>
    <w:rsid w:val="00276C56"/>
    <w:rsid w:val="002779C2"/>
    <w:rsid w:val="002821B1"/>
    <w:rsid w:val="00282C92"/>
    <w:rsid w:val="00284288"/>
    <w:rsid w:val="00286E9A"/>
    <w:rsid w:val="00287EB4"/>
    <w:rsid w:val="002A1940"/>
    <w:rsid w:val="002B712D"/>
    <w:rsid w:val="002C2725"/>
    <w:rsid w:val="002C4BB7"/>
    <w:rsid w:val="002C6B33"/>
    <w:rsid w:val="002C79D8"/>
    <w:rsid w:val="002E0371"/>
    <w:rsid w:val="002E0ACD"/>
    <w:rsid w:val="002E2F86"/>
    <w:rsid w:val="002E5600"/>
    <w:rsid w:val="002F3F1B"/>
    <w:rsid w:val="002F6A3C"/>
    <w:rsid w:val="002F6FE0"/>
    <w:rsid w:val="00301945"/>
    <w:rsid w:val="00303809"/>
    <w:rsid w:val="00304265"/>
    <w:rsid w:val="00304549"/>
    <w:rsid w:val="00307151"/>
    <w:rsid w:val="00307511"/>
    <w:rsid w:val="003117C7"/>
    <w:rsid w:val="003119E6"/>
    <w:rsid w:val="003169D9"/>
    <w:rsid w:val="003344CD"/>
    <w:rsid w:val="00341F2D"/>
    <w:rsid w:val="0034371E"/>
    <w:rsid w:val="00344E2F"/>
    <w:rsid w:val="003516F4"/>
    <w:rsid w:val="003571EB"/>
    <w:rsid w:val="003578CB"/>
    <w:rsid w:val="003621A9"/>
    <w:rsid w:val="00365587"/>
    <w:rsid w:val="00366307"/>
    <w:rsid w:val="0036710D"/>
    <w:rsid w:val="00375634"/>
    <w:rsid w:val="00376C6A"/>
    <w:rsid w:val="003826C1"/>
    <w:rsid w:val="00384FB9"/>
    <w:rsid w:val="00386BB2"/>
    <w:rsid w:val="003914AD"/>
    <w:rsid w:val="003A30EB"/>
    <w:rsid w:val="003A4886"/>
    <w:rsid w:val="003B0256"/>
    <w:rsid w:val="003B2520"/>
    <w:rsid w:val="003B7E85"/>
    <w:rsid w:val="003C0480"/>
    <w:rsid w:val="003C6DF2"/>
    <w:rsid w:val="003D2F34"/>
    <w:rsid w:val="003D6A35"/>
    <w:rsid w:val="003F066D"/>
    <w:rsid w:val="003F3ABB"/>
    <w:rsid w:val="003F4AE5"/>
    <w:rsid w:val="003F6371"/>
    <w:rsid w:val="003F6FDA"/>
    <w:rsid w:val="00403B79"/>
    <w:rsid w:val="0040466B"/>
    <w:rsid w:val="00405E4B"/>
    <w:rsid w:val="00415FB3"/>
    <w:rsid w:val="004165DC"/>
    <w:rsid w:val="00416AF6"/>
    <w:rsid w:val="00416D9B"/>
    <w:rsid w:val="00417C6B"/>
    <w:rsid w:val="0042178D"/>
    <w:rsid w:val="004277DD"/>
    <w:rsid w:val="00430720"/>
    <w:rsid w:val="00435A51"/>
    <w:rsid w:val="00435FDE"/>
    <w:rsid w:val="00436192"/>
    <w:rsid w:val="004379CA"/>
    <w:rsid w:val="00442442"/>
    <w:rsid w:val="00443993"/>
    <w:rsid w:val="0044592B"/>
    <w:rsid w:val="0044642D"/>
    <w:rsid w:val="00446F24"/>
    <w:rsid w:val="00454672"/>
    <w:rsid w:val="00457484"/>
    <w:rsid w:val="00461FB8"/>
    <w:rsid w:val="004725B3"/>
    <w:rsid w:val="004734A0"/>
    <w:rsid w:val="00477A56"/>
    <w:rsid w:val="0048241A"/>
    <w:rsid w:val="0049157D"/>
    <w:rsid w:val="004928B6"/>
    <w:rsid w:val="004941AB"/>
    <w:rsid w:val="0049762D"/>
    <w:rsid w:val="004A0F86"/>
    <w:rsid w:val="004A29B8"/>
    <w:rsid w:val="004A39F9"/>
    <w:rsid w:val="004A40AB"/>
    <w:rsid w:val="004C25AB"/>
    <w:rsid w:val="004C2C06"/>
    <w:rsid w:val="004C6E86"/>
    <w:rsid w:val="004C7030"/>
    <w:rsid w:val="004D169A"/>
    <w:rsid w:val="004D5B4B"/>
    <w:rsid w:val="004D68E3"/>
    <w:rsid w:val="004D75A5"/>
    <w:rsid w:val="004E042F"/>
    <w:rsid w:val="004E20D4"/>
    <w:rsid w:val="004E347C"/>
    <w:rsid w:val="004E4AA9"/>
    <w:rsid w:val="004E769E"/>
    <w:rsid w:val="004F19C1"/>
    <w:rsid w:val="004F4927"/>
    <w:rsid w:val="004F5C68"/>
    <w:rsid w:val="005026A5"/>
    <w:rsid w:val="00502E0F"/>
    <w:rsid w:val="00505E57"/>
    <w:rsid w:val="00506795"/>
    <w:rsid w:val="00512C76"/>
    <w:rsid w:val="00515B1D"/>
    <w:rsid w:val="0051674D"/>
    <w:rsid w:val="00516C70"/>
    <w:rsid w:val="005231D8"/>
    <w:rsid w:val="00532BA9"/>
    <w:rsid w:val="00537834"/>
    <w:rsid w:val="00542546"/>
    <w:rsid w:val="005459EE"/>
    <w:rsid w:val="00554D72"/>
    <w:rsid w:val="00563A2B"/>
    <w:rsid w:val="00565369"/>
    <w:rsid w:val="0057307B"/>
    <w:rsid w:val="00577CAB"/>
    <w:rsid w:val="00581553"/>
    <w:rsid w:val="00587190"/>
    <w:rsid w:val="00590FA0"/>
    <w:rsid w:val="00594612"/>
    <w:rsid w:val="00596445"/>
    <w:rsid w:val="005A716F"/>
    <w:rsid w:val="005C21BD"/>
    <w:rsid w:val="005C2324"/>
    <w:rsid w:val="005C5F90"/>
    <w:rsid w:val="005D1776"/>
    <w:rsid w:val="005D35D0"/>
    <w:rsid w:val="005D4C57"/>
    <w:rsid w:val="005E5F5D"/>
    <w:rsid w:val="005F3F57"/>
    <w:rsid w:val="005F76AF"/>
    <w:rsid w:val="00603A3A"/>
    <w:rsid w:val="006049E3"/>
    <w:rsid w:val="00604C63"/>
    <w:rsid w:val="00605818"/>
    <w:rsid w:val="006144C1"/>
    <w:rsid w:val="00614B40"/>
    <w:rsid w:val="006157D3"/>
    <w:rsid w:val="00621325"/>
    <w:rsid w:val="00623D4F"/>
    <w:rsid w:val="006251DC"/>
    <w:rsid w:val="006273A5"/>
    <w:rsid w:val="00627E2A"/>
    <w:rsid w:val="00640301"/>
    <w:rsid w:val="00644E90"/>
    <w:rsid w:val="006479C1"/>
    <w:rsid w:val="00655322"/>
    <w:rsid w:val="00661F50"/>
    <w:rsid w:val="006669A4"/>
    <w:rsid w:val="00673C56"/>
    <w:rsid w:val="006758DF"/>
    <w:rsid w:val="006819A0"/>
    <w:rsid w:val="0069524F"/>
    <w:rsid w:val="00696156"/>
    <w:rsid w:val="006A0CD0"/>
    <w:rsid w:val="006A34CD"/>
    <w:rsid w:val="006B5066"/>
    <w:rsid w:val="006B6437"/>
    <w:rsid w:val="006C2B2B"/>
    <w:rsid w:val="006C2C86"/>
    <w:rsid w:val="006D19A6"/>
    <w:rsid w:val="006D392C"/>
    <w:rsid w:val="006D4E44"/>
    <w:rsid w:val="006D554A"/>
    <w:rsid w:val="006D5558"/>
    <w:rsid w:val="006D65EC"/>
    <w:rsid w:val="006E191D"/>
    <w:rsid w:val="006E1F58"/>
    <w:rsid w:val="006F093C"/>
    <w:rsid w:val="006F1E3F"/>
    <w:rsid w:val="006F74E9"/>
    <w:rsid w:val="00711AC7"/>
    <w:rsid w:val="007158E5"/>
    <w:rsid w:val="00717B11"/>
    <w:rsid w:val="00722E60"/>
    <w:rsid w:val="00722F8E"/>
    <w:rsid w:val="00725643"/>
    <w:rsid w:val="007404CB"/>
    <w:rsid w:val="00740A00"/>
    <w:rsid w:val="00743D14"/>
    <w:rsid w:val="00757658"/>
    <w:rsid w:val="00761B50"/>
    <w:rsid w:val="00764DB9"/>
    <w:rsid w:val="00765C3F"/>
    <w:rsid w:val="0077302A"/>
    <w:rsid w:val="007771D4"/>
    <w:rsid w:val="007772A9"/>
    <w:rsid w:val="00777C83"/>
    <w:rsid w:val="007814D5"/>
    <w:rsid w:val="00784308"/>
    <w:rsid w:val="00784DCD"/>
    <w:rsid w:val="00784EA2"/>
    <w:rsid w:val="00787018"/>
    <w:rsid w:val="00793BD0"/>
    <w:rsid w:val="007A0A6D"/>
    <w:rsid w:val="007A0A7A"/>
    <w:rsid w:val="007B3ADC"/>
    <w:rsid w:val="007C34E5"/>
    <w:rsid w:val="007C439F"/>
    <w:rsid w:val="007C4FB2"/>
    <w:rsid w:val="007D1BC4"/>
    <w:rsid w:val="007D1CB3"/>
    <w:rsid w:val="007D3347"/>
    <w:rsid w:val="007D64AF"/>
    <w:rsid w:val="007E13EF"/>
    <w:rsid w:val="007E24E0"/>
    <w:rsid w:val="007E3D6D"/>
    <w:rsid w:val="007E4B6B"/>
    <w:rsid w:val="007E6316"/>
    <w:rsid w:val="007F0E6F"/>
    <w:rsid w:val="007F6E25"/>
    <w:rsid w:val="0080178D"/>
    <w:rsid w:val="00805C2D"/>
    <w:rsid w:val="00807D6D"/>
    <w:rsid w:val="00810AB9"/>
    <w:rsid w:val="0081506C"/>
    <w:rsid w:val="00815458"/>
    <w:rsid w:val="00832624"/>
    <w:rsid w:val="008337D6"/>
    <w:rsid w:val="00835336"/>
    <w:rsid w:val="008371D7"/>
    <w:rsid w:val="00841248"/>
    <w:rsid w:val="008427B4"/>
    <w:rsid w:val="00862695"/>
    <w:rsid w:val="00872BC9"/>
    <w:rsid w:val="008759B5"/>
    <w:rsid w:val="00875CF7"/>
    <w:rsid w:val="00876D30"/>
    <w:rsid w:val="0088488C"/>
    <w:rsid w:val="00892889"/>
    <w:rsid w:val="008A12A6"/>
    <w:rsid w:val="008A166F"/>
    <w:rsid w:val="008A271A"/>
    <w:rsid w:val="008A68DF"/>
    <w:rsid w:val="008B1119"/>
    <w:rsid w:val="008B3160"/>
    <w:rsid w:val="008B54A2"/>
    <w:rsid w:val="008C0273"/>
    <w:rsid w:val="008C22CD"/>
    <w:rsid w:val="008C49F3"/>
    <w:rsid w:val="008C5209"/>
    <w:rsid w:val="008D00A4"/>
    <w:rsid w:val="008D044B"/>
    <w:rsid w:val="008D195D"/>
    <w:rsid w:val="008D6DB9"/>
    <w:rsid w:val="008D7C41"/>
    <w:rsid w:val="008E0D53"/>
    <w:rsid w:val="008E442F"/>
    <w:rsid w:val="008E4E5A"/>
    <w:rsid w:val="008F236A"/>
    <w:rsid w:val="008F6522"/>
    <w:rsid w:val="008F6E50"/>
    <w:rsid w:val="009006F5"/>
    <w:rsid w:val="00904D54"/>
    <w:rsid w:val="00904F7F"/>
    <w:rsid w:val="0091050E"/>
    <w:rsid w:val="0091561D"/>
    <w:rsid w:val="009166E5"/>
    <w:rsid w:val="00916F13"/>
    <w:rsid w:val="0092059B"/>
    <w:rsid w:val="00922C77"/>
    <w:rsid w:val="009263A8"/>
    <w:rsid w:val="00927218"/>
    <w:rsid w:val="00930CA7"/>
    <w:rsid w:val="009314E0"/>
    <w:rsid w:val="00932E87"/>
    <w:rsid w:val="00933A2D"/>
    <w:rsid w:val="00934C4A"/>
    <w:rsid w:val="00934E1E"/>
    <w:rsid w:val="00936193"/>
    <w:rsid w:val="00936622"/>
    <w:rsid w:val="00936992"/>
    <w:rsid w:val="009371E3"/>
    <w:rsid w:val="00937AE4"/>
    <w:rsid w:val="00943B97"/>
    <w:rsid w:val="00945C21"/>
    <w:rsid w:val="00946938"/>
    <w:rsid w:val="00954AA4"/>
    <w:rsid w:val="00956362"/>
    <w:rsid w:val="0096194A"/>
    <w:rsid w:val="009651B6"/>
    <w:rsid w:val="0096550B"/>
    <w:rsid w:val="009655E0"/>
    <w:rsid w:val="0096582D"/>
    <w:rsid w:val="00975A8A"/>
    <w:rsid w:val="00977CDF"/>
    <w:rsid w:val="00986F7F"/>
    <w:rsid w:val="00990101"/>
    <w:rsid w:val="009907B6"/>
    <w:rsid w:val="009925DA"/>
    <w:rsid w:val="00997E9C"/>
    <w:rsid w:val="009A2E2B"/>
    <w:rsid w:val="009A5ED0"/>
    <w:rsid w:val="009B03B4"/>
    <w:rsid w:val="009B41D4"/>
    <w:rsid w:val="009B4EC1"/>
    <w:rsid w:val="009C1764"/>
    <w:rsid w:val="009C3BC6"/>
    <w:rsid w:val="009D114C"/>
    <w:rsid w:val="009D7F51"/>
    <w:rsid w:val="009E172B"/>
    <w:rsid w:val="009E34C8"/>
    <w:rsid w:val="009E3FB6"/>
    <w:rsid w:val="009E5384"/>
    <w:rsid w:val="009E6BD6"/>
    <w:rsid w:val="009E707C"/>
    <w:rsid w:val="009F2F75"/>
    <w:rsid w:val="009F32F7"/>
    <w:rsid w:val="00A008E2"/>
    <w:rsid w:val="00A05197"/>
    <w:rsid w:val="00A1445E"/>
    <w:rsid w:val="00A14694"/>
    <w:rsid w:val="00A2075A"/>
    <w:rsid w:val="00A25A99"/>
    <w:rsid w:val="00A33A4F"/>
    <w:rsid w:val="00A348E8"/>
    <w:rsid w:val="00A3540C"/>
    <w:rsid w:val="00A3694F"/>
    <w:rsid w:val="00A4037C"/>
    <w:rsid w:val="00A40F71"/>
    <w:rsid w:val="00A4133A"/>
    <w:rsid w:val="00A44356"/>
    <w:rsid w:val="00A51357"/>
    <w:rsid w:val="00A539AF"/>
    <w:rsid w:val="00A562B7"/>
    <w:rsid w:val="00A6154C"/>
    <w:rsid w:val="00A642B0"/>
    <w:rsid w:val="00A66618"/>
    <w:rsid w:val="00A67C2F"/>
    <w:rsid w:val="00A742E6"/>
    <w:rsid w:val="00A752F3"/>
    <w:rsid w:val="00A76896"/>
    <w:rsid w:val="00A774F1"/>
    <w:rsid w:val="00A85B66"/>
    <w:rsid w:val="00A910FF"/>
    <w:rsid w:val="00A93F5C"/>
    <w:rsid w:val="00A970B4"/>
    <w:rsid w:val="00A976A3"/>
    <w:rsid w:val="00A97F2C"/>
    <w:rsid w:val="00AA1396"/>
    <w:rsid w:val="00AA150D"/>
    <w:rsid w:val="00AA657E"/>
    <w:rsid w:val="00AA6B54"/>
    <w:rsid w:val="00AA77A6"/>
    <w:rsid w:val="00AA77D8"/>
    <w:rsid w:val="00AB1E4B"/>
    <w:rsid w:val="00AB3800"/>
    <w:rsid w:val="00AB748B"/>
    <w:rsid w:val="00AC2F70"/>
    <w:rsid w:val="00AC474B"/>
    <w:rsid w:val="00AC55A0"/>
    <w:rsid w:val="00AC561A"/>
    <w:rsid w:val="00AD0368"/>
    <w:rsid w:val="00AD1B15"/>
    <w:rsid w:val="00AD4AC7"/>
    <w:rsid w:val="00AD6338"/>
    <w:rsid w:val="00AD6D78"/>
    <w:rsid w:val="00AE2948"/>
    <w:rsid w:val="00AE4935"/>
    <w:rsid w:val="00AE7A71"/>
    <w:rsid w:val="00AF1FDC"/>
    <w:rsid w:val="00B06016"/>
    <w:rsid w:val="00B11F82"/>
    <w:rsid w:val="00B15E97"/>
    <w:rsid w:val="00B32EE6"/>
    <w:rsid w:val="00B34BC2"/>
    <w:rsid w:val="00B373A9"/>
    <w:rsid w:val="00B43354"/>
    <w:rsid w:val="00B46120"/>
    <w:rsid w:val="00B4716A"/>
    <w:rsid w:val="00B47377"/>
    <w:rsid w:val="00B518FF"/>
    <w:rsid w:val="00B51919"/>
    <w:rsid w:val="00B52E12"/>
    <w:rsid w:val="00B569AD"/>
    <w:rsid w:val="00B66007"/>
    <w:rsid w:val="00B709CE"/>
    <w:rsid w:val="00B77284"/>
    <w:rsid w:val="00B9160C"/>
    <w:rsid w:val="00BA1011"/>
    <w:rsid w:val="00BA3239"/>
    <w:rsid w:val="00BA5DDA"/>
    <w:rsid w:val="00BB15EA"/>
    <w:rsid w:val="00BB578E"/>
    <w:rsid w:val="00BC6F1A"/>
    <w:rsid w:val="00BC6F8F"/>
    <w:rsid w:val="00BD26D5"/>
    <w:rsid w:val="00BD28B6"/>
    <w:rsid w:val="00BD3B7C"/>
    <w:rsid w:val="00BD3BB7"/>
    <w:rsid w:val="00BE140B"/>
    <w:rsid w:val="00BE1D01"/>
    <w:rsid w:val="00BE2B5E"/>
    <w:rsid w:val="00BE2D76"/>
    <w:rsid w:val="00BE3133"/>
    <w:rsid w:val="00BE362B"/>
    <w:rsid w:val="00BE3B30"/>
    <w:rsid w:val="00BE41AC"/>
    <w:rsid w:val="00BE66B4"/>
    <w:rsid w:val="00BF0E19"/>
    <w:rsid w:val="00BF2C01"/>
    <w:rsid w:val="00BF3134"/>
    <w:rsid w:val="00BF6C68"/>
    <w:rsid w:val="00BF6D10"/>
    <w:rsid w:val="00C01F76"/>
    <w:rsid w:val="00C02412"/>
    <w:rsid w:val="00C05EA8"/>
    <w:rsid w:val="00C07889"/>
    <w:rsid w:val="00C167B7"/>
    <w:rsid w:val="00C174D3"/>
    <w:rsid w:val="00C21344"/>
    <w:rsid w:val="00C275F8"/>
    <w:rsid w:val="00C31029"/>
    <w:rsid w:val="00C32474"/>
    <w:rsid w:val="00C32DAE"/>
    <w:rsid w:val="00C3594F"/>
    <w:rsid w:val="00C35F1C"/>
    <w:rsid w:val="00C40075"/>
    <w:rsid w:val="00C40B15"/>
    <w:rsid w:val="00C41F24"/>
    <w:rsid w:val="00C42E26"/>
    <w:rsid w:val="00C4344E"/>
    <w:rsid w:val="00C43B30"/>
    <w:rsid w:val="00C44291"/>
    <w:rsid w:val="00C50455"/>
    <w:rsid w:val="00C54578"/>
    <w:rsid w:val="00C549BB"/>
    <w:rsid w:val="00C5568C"/>
    <w:rsid w:val="00C57F0C"/>
    <w:rsid w:val="00C621A7"/>
    <w:rsid w:val="00C631B0"/>
    <w:rsid w:val="00C66159"/>
    <w:rsid w:val="00C66684"/>
    <w:rsid w:val="00C67CCC"/>
    <w:rsid w:val="00C73832"/>
    <w:rsid w:val="00C74797"/>
    <w:rsid w:val="00C75CCF"/>
    <w:rsid w:val="00C82234"/>
    <w:rsid w:val="00C904C7"/>
    <w:rsid w:val="00C90D4C"/>
    <w:rsid w:val="00C90DA8"/>
    <w:rsid w:val="00C90E48"/>
    <w:rsid w:val="00C9236F"/>
    <w:rsid w:val="00C95F7B"/>
    <w:rsid w:val="00CA256E"/>
    <w:rsid w:val="00CA3A73"/>
    <w:rsid w:val="00CA662B"/>
    <w:rsid w:val="00CB4013"/>
    <w:rsid w:val="00CC0643"/>
    <w:rsid w:val="00CD1D47"/>
    <w:rsid w:val="00CD5A0C"/>
    <w:rsid w:val="00CE3C62"/>
    <w:rsid w:val="00CF425F"/>
    <w:rsid w:val="00CF5A5F"/>
    <w:rsid w:val="00D02BD8"/>
    <w:rsid w:val="00D03DAF"/>
    <w:rsid w:val="00D04CD4"/>
    <w:rsid w:val="00D1247D"/>
    <w:rsid w:val="00D141C3"/>
    <w:rsid w:val="00D22087"/>
    <w:rsid w:val="00D247E5"/>
    <w:rsid w:val="00D269BB"/>
    <w:rsid w:val="00D27DCE"/>
    <w:rsid w:val="00D27EEB"/>
    <w:rsid w:val="00D346C9"/>
    <w:rsid w:val="00D36CEC"/>
    <w:rsid w:val="00D41B34"/>
    <w:rsid w:val="00D453F9"/>
    <w:rsid w:val="00D47224"/>
    <w:rsid w:val="00D51F88"/>
    <w:rsid w:val="00D53EA6"/>
    <w:rsid w:val="00D55322"/>
    <w:rsid w:val="00D60B68"/>
    <w:rsid w:val="00D60F4B"/>
    <w:rsid w:val="00D61E7B"/>
    <w:rsid w:val="00D62389"/>
    <w:rsid w:val="00D62BE6"/>
    <w:rsid w:val="00D64CBB"/>
    <w:rsid w:val="00D65647"/>
    <w:rsid w:val="00D67216"/>
    <w:rsid w:val="00D739DC"/>
    <w:rsid w:val="00D74530"/>
    <w:rsid w:val="00D75CFB"/>
    <w:rsid w:val="00D763F0"/>
    <w:rsid w:val="00D779EB"/>
    <w:rsid w:val="00D80D4A"/>
    <w:rsid w:val="00D84A8B"/>
    <w:rsid w:val="00D869B4"/>
    <w:rsid w:val="00D871BB"/>
    <w:rsid w:val="00DA3635"/>
    <w:rsid w:val="00DA3C83"/>
    <w:rsid w:val="00DB2612"/>
    <w:rsid w:val="00DC44A5"/>
    <w:rsid w:val="00DC4F54"/>
    <w:rsid w:val="00DC5FBE"/>
    <w:rsid w:val="00DC6D21"/>
    <w:rsid w:val="00DC7130"/>
    <w:rsid w:val="00DD0A45"/>
    <w:rsid w:val="00DD18AF"/>
    <w:rsid w:val="00DD55AF"/>
    <w:rsid w:val="00DD6EB7"/>
    <w:rsid w:val="00DD701B"/>
    <w:rsid w:val="00DD7026"/>
    <w:rsid w:val="00DE2C93"/>
    <w:rsid w:val="00DE3FA2"/>
    <w:rsid w:val="00DF2F9B"/>
    <w:rsid w:val="00DF3547"/>
    <w:rsid w:val="00DF6516"/>
    <w:rsid w:val="00E024A6"/>
    <w:rsid w:val="00E0260A"/>
    <w:rsid w:val="00E0476D"/>
    <w:rsid w:val="00E05F34"/>
    <w:rsid w:val="00E074A5"/>
    <w:rsid w:val="00E10036"/>
    <w:rsid w:val="00E176A8"/>
    <w:rsid w:val="00E20CBC"/>
    <w:rsid w:val="00E23C42"/>
    <w:rsid w:val="00E243F6"/>
    <w:rsid w:val="00E259BF"/>
    <w:rsid w:val="00E3020F"/>
    <w:rsid w:val="00E32E6B"/>
    <w:rsid w:val="00E37977"/>
    <w:rsid w:val="00E42565"/>
    <w:rsid w:val="00E43EE7"/>
    <w:rsid w:val="00E44461"/>
    <w:rsid w:val="00E54A9F"/>
    <w:rsid w:val="00E55203"/>
    <w:rsid w:val="00E774BB"/>
    <w:rsid w:val="00E77B11"/>
    <w:rsid w:val="00E848CC"/>
    <w:rsid w:val="00E84A1B"/>
    <w:rsid w:val="00E850E3"/>
    <w:rsid w:val="00E90BE4"/>
    <w:rsid w:val="00E93457"/>
    <w:rsid w:val="00E93536"/>
    <w:rsid w:val="00E94E73"/>
    <w:rsid w:val="00EA3F47"/>
    <w:rsid w:val="00EA4DDF"/>
    <w:rsid w:val="00EB2BD4"/>
    <w:rsid w:val="00EB3204"/>
    <w:rsid w:val="00EB747F"/>
    <w:rsid w:val="00EC18C1"/>
    <w:rsid w:val="00EC2F14"/>
    <w:rsid w:val="00EC6024"/>
    <w:rsid w:val="00ED0008"/>
    <w:rsid w:val="00ED1CA8"/>
    <w:rsid w:val="00ED1E5C"/>
    <w:rsid w:val="00ED2C58"/>
    <w:rsid w:val="00ED4AFC"/>
    <w:rsid w:val="00ED4CA8"/>
    <w:rsid w:val="00EE1F06"/>
    <w:rsid w:val="00EE45EC"/>
    <w:rsid w:val="00EF0B6D"/>
    <w:rsid w:val="00EF5E55"/>
    <w:rsid w:val="00F039D5"/>
    <w:rsid w:val="00F04270"/>
    <w:rsid w:val="00F05C8D"/>
    <w:rsid w:val="00F10C96"/>
    <w:rsid w:val="00F13B1D"/>
    <w:rsid w:val="00F151E9"/>
    <w:rsid w:val="00F16438"/>
    <w:rsid w:val="00F235AD"/>
    <w:rsid w:val="00F261CF"/>
    <w:rsid w:val="00F30DFF"/>
    <w:rsid w:val="00F37FF9"/>
    <w:rsid w:val="00F41F97"/>
    <w:rsid w:val="00F42969"/>
    <w:rsid w:val="00F46223"/>
    <w:rsid w:val="00F4626C"/>
    <w:rsid w:val="00F5317E"/>
    <w:rsid w:val="00F53A67"/>
    <w:rsid w:val="00F612F5"/>
    <w:rsid w:val="00F62B85"/>
    <w:rsid w:val="00F6389D"/>
    <w:rsid w:val="00F66E26"/>
    <w:rsid w:val="00F71EA2"/>
    <w:rsid w:val="00F76634"/>
    <w:rsid w:val="00F85886"/>
    <w:rsid w:val="00F87D87"/>
    <w:rsid w:val="00F94471"/>
    <w:rsid w:val="00F9780E"/>
    <w:rsid w:val="00FA28DA"/>
    <w:rsid w:val="00FB491C"/>
    <w:rsid w:val="00FB5A19"/>
    <w:rsid w:val="00FB6468"/>
    <w:rsid w:val="00FC0CE5"/>
    <w:rsid w:val="00FC1B82"/>
    <w:rsid w:val="00FC27DE"/>
    <w:rsid w:val="00FC6DBC"/>
    <w:rsid w:val="00FD55A7"/>
    <w:rsid w:val="00FD5A39"/>
    <w:rsid w:val="00FD673C"/>
    <w:rsid w:val="00FE2049"/>
    <w:rsid w:val="00FE43CA"/>
    <w:rsid w:val="00FE464A"/>
    <w:rsid w:val="00FE75EA"/>
    <w:rsid w:val="00FF02B7"/>
    <w:rsid w:val="00FF7D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27A1F"/>
  <w15:docId w15:val="{3F5AE368-30B6-4C6D-BB19-1C9D05B7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rFonts w:ascii="Arial" w:hAnsi="Arial" w:cs="Arial"/>
      <w:sz w:val="24"/>
      <w:szCs w:val="24"/>
    </w:rPr>
  </w:style>
  <w:style w:type="paragraph" w:styleId="Nadpis2">
    <w:name w:val="heading 2"/>
    <w:basedOn w:val="Normln"/>
    <w:next w:val="Normln"/>
    <w:link w:val="Nadpis2Char"/>
    <w:uiPriority w:val="9"/>
    <w:semiHidden/>
    <w:unhideWhenUsed/>
    <w:qFormat/>
    <w:rsid w:val="00D04C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sz w:val="28"/>
      <w:szCs w:val="24"/>
      <w:u w:val="single"/>
    </w:rPr>
  </w:style>
  <w:style w:type="paragraph" w:styleId="Zkladntextodsazen3">
    <w:name w:val="Body Text Indent 3"/>
    <w:basedOn w:val="Normln"/>
    <w:semiHidden/>
    <w:pPr>
      <w:widowControl w:val="0"/>
      <w:overflowPunct/>
      <w:ind w:left="567"/>
      <w:jc w:val="both"/>
      <w:textAlignment w:val="auto"/>
    </w:pPr>
  </w:style>
  <w:style w:type="paragraph" w:styleId="Zkladntext">
    <w:name w:val="Body Text"/>
    <w:basedOn w:val="Normln"/>
    <w:semiHidden/>
    <w:pPr>
      <w:widowControl w:val="0"/>
      <w:overflowPunct/>
      <w:jc w:val="both"/>
      <w:textAlignment w:val="auto"/>
    </w:pPr>
    <w:rPr>
      <w:sz w:val="24"/>
      <w:szCs w:val="16"/>
    </w:rPr>
  </w:style>
  <w:style w:type="paragraph" w:styleId="Zkladntextodsazen">
    <w:name w:val="Body Text Indent"/>
    <w:basedOn w:val="Normln"/>
    <w:semiHidden/>
    <w:pPr>
      <w:widowControl w:val="0"/>
      <w:overflowPunct/>
      <w:ind w:firstLine="720"/>
      <w:jc w:val="both"/>
      <w:textAlignment w:val="auto"/>
    </w:pPr>
    <w:rPr>
      <w:b/>
      <w:bCs/>
      <w:color w:val="FF0000"/>
      <w:sz w:val="24"/>
      <w:szCs w:val="16"/>
      <w:u w:val="single"/>
    </w:rPr>
  </w:style>
  <w:style w:type="paragraph" w:customStyle="1" w:styleId="CELEX">
    <w:name w:val="CELEX"/>
    <w:basedOn w:val="Normln"/>
    <w:next w:val="Normln"/>
    <w:pPr>
      <w:overflowPunct/>
      <w:autoSpaceDE/>
      <w:autoSpaceDN/>
      <w:adjustRightInd/>
      <w:spacing w:before="60"/>
      <w:jc w:val="both"/>
      <w:textAlignment w:val="auto"/>
    </w:pPr>
    <w:rPr>
      <w:i/>
    </w:rPr>
  </w:style>
  <w:style w:type="paragraph" w:styleId="Normlnweb">
    <w:name w:val="Normal (Web)"/>
    <w:basedOn w:val="Normln"/>
    <w:semiHidden/>
    <w:pPr>
      <w:overflowPunct/>
      <w:autoSpaceDE/>
      <w:autoSpaceDN/>
      <w:adjustRightInd/>
      <w:spacing w:before="150" w:after="150"/>
      <w:ind w:left="675" w:right="525"/>
      <w:textAlignment w:val="auto"/>
    </w:pPr>
    <w:rPr>
      <w:rFonts w:ascii="Arial Unicode MS" w:eastAsia="Arial Unicode MS" w:hAnsi="Arial Unicode MS" w:cs="Arial Unicode MS"/>
      <w:sz w:val="19"/>
      <w:szCs w:val="19"/>
    </w:rPr>
  </w:style>
  <w:style w:type="paragraph" w:styleId="Zkladntext2">
    <w:name w:val="Body Text 2"/>
    <w:basedOn w:val="Normln"/>
    <w:semiHidden/>
    <w:pPr>
      <w:jc w:val="both"/>
    </w:pPr>
    <w:rPr>
      <w:szCs w:val="18"/>
    </w:rPr>
  </w:style>
  <w:style w:type="paragraph" w:styleId="Prosttext">
    <w:name w:val="Plain Text"/>
    <w:basedOn w:val="Normln"/>
    <w:semiHidden/>
    <w:pPr>
      <w:overflowPunct/>
      <w:autoSpaceDE/>
      <w:autoSpaceDN/>
      <w:adjustRightInd/>
      <w:textAlignment w:val="auto"/>
    </w:pPr>
    <w:rPr>
      <w:rFonts w:ascii="Courier New" w:hAnsi="Courier New" w:cs="Courier New"/>
    </w:rPr>
  </w:style>
  <w:style w:type="paragraph" w:styleId="Textbubliny">
    <w:name w:val="Balloon Text"/>
    <w:basedOn w:val="Normln"/>
    <w:link w:val="TextbublinyChar"/>
    <w:semiHidden/>
    <w:unhideWhenUsed/>
    <w:rsid w:val="003B25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2520"/>
    <w:rPr>
      <w:rFonts w:ascii="Segoe UI" w:hAnsi="Segoe UI" w:cs="Segoe UI"/>
      <w:sz w:val="18"/>
      <w:szCs w:val="18"/>
    </w:rPr>
  </w:style>
  <w:style w:type="paragraph" w:styleId="Textkomente">
    <w:name w:val="annotation text"/>
    <w:basedOn w:val="Normln"/>
    <w:link w:val="TextkomenteChar"/>
    <w:uiPriority w:val="99"/>
    <w:unhideWhenUsed/>
    <w:rsid w:val="00273EF1"/>
  </w:style>
  <w:style w:type="character" w:customStyle="1" w:styleId="TextkomenteChar">
    <w:name w:val="Text komentáře Char"/>
    <w:basedOn w:val="Standardnpsmoodstavce"/>
    <w:link w:val="Textkomente"/>
    <w:uiPriority w:val="99"/>
    <w:rsid w:val="00273EF1"/>
  </w:style>
  <w:style w:type="paragraph" w:styleId="Pedmtkomente">
    <w:name w:val="annotation subject"/>
    <w:basedOn w:val="Textkomente"/>
    <w:next w:val="Textkomente"/>
    <w:link w:val="PedmtkomenteChar"/>
    <w:semiHidden/>
    <w:rsid w:val="00273EF1"/>
    <w:pPr>
      <w:overflowPunct/>
      <w:autoSpaceDE/>
      <w:autoSpaceDN/>
      <w:adjustRightInd/>
      <w:textAlignment w:val="auto"/>
    </w:pPr>
    <w:rPr>
      <w:b/>
      <w:bCs/>
    </w:rPr>
  </w:style>
  <w:style w:type="character" w:customStyle="1" w:styleId="PedmtkomenteChar">
    <w:name w:val="Předmět komentáře Char"/>
    <w:basedOn w:val="TextkomenteChar"/>
    <w:link w:val="Pedmtkomente"/>
    <w:semiHidden/>
    <w:rsid w:val="00273EF1"/>
    <w:rPr>
      <w:b/>
      <w:bCs/>
    </w:rPr>
  </w:style>
  <w:style w:type="character" w:customStyle="1" w:styleId="ZpatChar">
    <w:name w:val="Zápatí Char"/>
    <w:basedOn w:val="Standardnpsmoodstavce"/>
    <w:link w:val="Zpat"/>
    <w:uiPriority w:val="99"/>
    <w:rsid w:val="00A970B4"/>
  </w:style>
  <w:style w:type="character" w:styleId="Odkaznakoment">
    <w:name w:val="annotation reference"/>
    <w:uiPriority w:val="99"/>
    <w:semiHidden/>
    <w:unhideWhenUsed/>
    <w:rsid w:val="005D1776"/>
    <w:rPr>
      <w:rFonts w:cs="Times New Roman"/>
      <w:sz w:val="16"/>
      <w:szCs w:val="16"/>
    </w:rPr>
  </w:style>
  <w:style w:type="paragraph" w:styleId="Odstavecseseznamem">
    <w:name w:val="List Paragraph"/>
    <w:basedOn w:val="Normln"/>
    <w:uiPriority w:val="34"/>
    <w:qFormat/>
    <w:rsid w:val="00D41B34"/>
    <w:pPr>
      <w:ind w:left="720"/>
      <w:contextualSpacing/>
    </w:pPr>
  </w:style>
  <w:style w:type="table" w:styleId="Mkatabulky">
    <w:name w:val="Table Grid"/>
    <w:basedOn w:val="Normlntabulka"/>
    <w:uiPriority w:val="59"/>
    <w:rsid w:val="00D03D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D04CD4"/>
    <w:rPr>
      <w:rFonts w:asciiTheme="majorHAnsi" w:eastAsiaTheme="majorEastAsia" w:hAnsiTheme="majorHAnsi" w:cstheme="majorBidi"/>
      <w:b/>
      <w:bCs/>
      <w:color w:val="4F81BD" w:themeColor="accent1"/>
      <w:sz w:val="26"/>
      <w:szCs w:val="26"/>
    </w:rPr>
  </w:style>
  <w:style w:type="paragraph" w:customStyle="1" w:styleId="Nadpislnku">
    <w:name w:val="Nadpis článku"/>
    <w:basedOn w:val="Normln"/>
    <w:next w:val="Normln"/>
    <w:rsid w:val="004725B3"/>
    <w:pPr>
      <w:keepNext/>
      <w:keepLines/>
      <w:overflowPunct/>
      <w:autoSpaceDE/>
      <w:autoSpaceDN/>
      <w:adjustRightInd/>
      <w:spacing w:before="240"/>
      <w:jc w:val="center"/>
      <w:textAlignment w:val="auto"/>
      <w:outlineLvl w:val="5"/>
    </w:pPr>
    <w:rPr>
      <w:b/>
      <w:sz w:val="24"/>
    </w:rPr>
  </w:style>
  <w:style w:type="character" w:customStyle="1" w:styleId="ZhlavChar">
    <w:name w:val="Záhlaví Char"/>
    <w:basedOn w:val="Standardnpsmoodstavce"/>
    <w:link w:val="Zhlav"/>
    <w:uiPriority w:val="99"/>
    <w:rsid w:val="00AA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761">
      <w:bodyDiv w:val="1"/>
      <w:marLeft w:val="0"/>
      <w:marRight w:val="0"/>
      <w:marTop w:val="0"/>
      <w:marBottom w:val="0"/>
      <w:divBdr>
        <w:top w:val="none" w:sz="0" w:space="0" w:color="auto"/>
        <w:left w:val="none" w:sz="0" w:space="0" w:color="auto"/>
        <w:bottom w:val="none" w:sz="0" w:space="0" w:color="auto"/>
        <w:right w:val="none" w:sz="0" w:space="0" w:color="auto"/>
      </w:divBdr>
    </w:div>
    <w:div w:id="24868525">
      <w:bodyDiv w:val="1"/>
      <w:marLeft w:val="0"/>
      <w:marRight w:val="0"/>
      <w:marTop w:val="0"/>
      <w:marBottom w:val="0"/>
      <w:divBdr>
        <w:top w:val="none" w:sz="0" w:space="0" w:color="auto"/>
        <w:left w:val="none" w:sz="0" w:space="0" w:color="auto"/>
        <w:bottom w:val="none" w:sz="0" w:space="0" w:color="auto"/>
        <w:right w:val="none" w:sz="0" w:space="0" w:color="auto"/>
      </w:divBdr>
    </w:div>
    <w:div w:id="43914435">
      <w:bodyDiv w:val="1"/>
      <w:marLeft w:val="0"/>
      <w:marRight w:val="0"/>
      <w:marTop w:val="0"/>
      <w:marBottom w:val="0"/>
      <w:divBdr>
        <w:top w:val="none" w:sz="0" w:space="0" w:color="auto"/>
        <w:left w:val="none" w:sz="0" w:space="0" w:color="auto"/>
        <w:bottom w:val="none" w:sz="0" w:space="0" w:color="auto"/>
        <w:right w:val="none" w:sz="0" w:space="0" w:color="auto"/>
      </w:divBdr>
    </w:div>
    <w:div w:id="58751638">
      <w:bodyDiv w:val="1"/>
      <w:marLeft w:val="0"/>
      <w:marRight w:val="0"/>
      <w:marTop w:val="0"/>
      <w:marBottom w:val="0"/>
      <w:divBdr>
        <w:top w:val="none" w:sz="0" w:space="0" w:color="auto"/>
        <w:left w:val="none" w:sz="0" w:space="0" w:color="auto"/>
        <w:bottom w:val="none" w:sz="0" w:space="0" w:color="auto"/>
        <w:right w:val="none" w:sz="0" w:space="0" w:color="auto"/>
      </w:divBdr>
    </w:div>
    <w:div w:id="235088385">
      <w:bodyDiv w:val="1"/>
      <w:marLeft w:val="0"/>
      <w:marRight w:val="0"/>
      <w:marTop w:val="0"/>
      <w:marBottom w:val="0"/>
      <w:divBdr>
        <w:top w:val="none" w:sz="0" w:space="0" w:color="auto"/>
        <w:left w:val="none" w:sz="0" w:space="0" w:color="auto"/>
        <w:bottom w:val="none" w:sz="0" w:space="0" w:color="auto"/>
        <w:right w:val="none" w:sz="0" w:space="0" w:color="auto"/>
      </w:divBdr>
    </w:div>
    <w:div w:id="245265413">
      <w:bodyDiv w:val="1"/>
      <w:marLeft w:val="0"/>
      <w:marRight w:val="0"/>
      <w:marTop w:val="0"/>
      <w:marBottom w:val="0"/>
      <w:divBdr>
        <w:top w:val="none" w:sz="0" w:space="0" w:color="auto"/>
        <w:left w:val="none" w:sz="0" w:space="0" w:color="auto"/>
        <w:bottom w:val="none" w:sz="0" w:space="0" w:color="auto"/>
        <w:right w:val="none" w:sz="0" w:space="0" w:color="auto"/>
      </w:divBdr>
    </w:div>
    <w:div w:id="262302459">
      <w:bodyDiv w:val="1"/>
      <w:marLeft w:val="0"/>
      <w:marRight w:val="0"/>
      <w:marTop w:val="0"/>
      <w:marBottom w:val="0"/>
      <w:divBdr>
        <w:top w:val="none" w:sz="0" w:space="0" w:color="auto"/>
        <w:left w:val="none" w:sz="0" w:space="0" w:color="auto"/>
        <w:bottom w:val="none" w:sz="0" w:space="0" w:color="auto"/>
        <w:right w:val="none" w:sz="0" w:space="0" w:color="auto"/>
      </w:divBdr>
    </w:div>
    <w:div w:id="370228916">
      <w:bodyDiv w:val="1"/>
      <w:marLeft w:val="0"/>
      <w:marRight w:val="0"/>
      <w:marTop w:val="0"/>
      <w:marBottom w:val="0"/>
      <w:divBdr>
        <w:top w:val="none" w:sz="0" w:space="0" w:color="auto"/>
        <w:left w:val="none" w:sz="0" w:space="0" w:color="auto"/>
        <w:bottom w:val="none" w:sz="0" w:space="0" w:color="auto"/>
        <w:right w:val="none" w:sz="0" w:space="0" w:color="auto"/>
      </w:divBdr>
    </w:div>
    <w:div w:id="709383543">
      <w:bodyDiv w:val="1"/>
      <w:marLeft w:val="0"/>
      <w:marRight w:val="0"/>
      <w:marTop w:val="0"/>
      <w:marBottom w:val="0"/>
      <w:divBdr>
        <w:top w:val="none" w:sz="0" w:space="0" w:color="auto"/>
        <w:left w:val="none" w:sz="0" w:space="0" w:color="auto"/>
        <w:bottom w:val="none" w:sz="0" w:space="0" w:color="auto"/>
        <w:right w:val="none" w:sz="0" w:space="0" w:color="auto"/>
      </w:divBdr>
    </w:div>
    <w:div w:id="787166035">
      <w:bodyDiv w:val="1"/>
      <w:marLeft w:val="0"/>
      <w:marRight w:val="0"/>
      <w:marTop w:val="0"/>
      <w:marBottom w:val="0"/>
      <w:divBdr>
        <w:top w:val="none" w:sz="0" w:space="0" w:color="auto"/>
        <w:left w:val="none" w:sz="0" w:space="0" w:color="auto"/>
        <w:bottom w:val="none" w:sz="0" w:space="0" w:color="auto"/>
        <w:right w:val="none" w:sz="0" w:space="0" w:color="auto"/>
      </w:divBdr>
    </w:div>
    <w:div w:id="910585091">
      <w:bodyDiv w:val="1"/>
      <w:marLeft w:val="0"/>
      <w:marRight w:val="0"/>
      <w:marTop w:val="0"/>
      <w:marBottom w:val="0"/>
      <w:divBdr>
        <w:top w:val="none" w:sz="0" w:space="0" w:color="auto"/>
        <w:left w:val="none" w:sz="0" w:space="0" w:color="auto"/>
        <w:bottom w:val="none" w:sz="0" w:space="0" w:color="auto"/>
        <w:right w:val="none" w:sz="0" w:space="0" w:color="auto"/>
      </w:divBdr>
    </w:div>
    <w:div w:id="1044403029">
      <w:bodyDiv w:val="1"/>
      <w:marLeft w:val="400"/>
      <w:marRight w:val="400"/>
      <w:marTop w:val="400"/>
      <w:marBottom w:val="0"/>
      <w:divBdr>
        <w:top w:val="none" w:sz="0" w:space="0" w:color="auto"/>
        <w:left w:val="none" w:sz="0" w:space="0" w:color="auto"/>
        <w:bottom w:val="none" w:sz="0" w:space="0" w:color="auto"/>
        <w:right w:val="none" w:sz="0" w:space="0" w:color="auto"/>
      </w:divBdr>
    </w:div>
    <w:div w:id="1136030371">
      <w:bodyDiv w:val="1"/>
      <w:marLeft w:val="0"/>
      <w:marRight w:val="0"/>
      <w:marTop w:val="0"/>
      <w:marBottom w:val="0"/>
      <w:divBdr>
        <w:top w:val="none" w:sz="0" w:space="0" w:color="auto"/>
        <w:left w:val="none" w:sz="0" w:space="0" w:color="auto"/>
        <w:bottom w:val="none" w:sz="0" w:space="0" w:color="auto"/>
        <w:right w:val="none" w:sz="0" w:space="0" w:color="auto"/>
      </w:divBdr>
    </w:div>
    <w:div w:id="1148329105">
      <w:bodyDiv w:val="1"/>
      <w:marLeft w:val="0"/>
      <w:marRight w:val="0"/>
      <w:marTop w:val="0"/>
      <w:marBottom w:val="0"/>
      <w:divBdr>
        <w:top w:val="none" w:sz="0" w:space="0" w:color="auto"/>
        <w:left w:val="none" w:sz="0" w:space="0" w:color="auto"/>
        <w:bottom w:val="none" w:sz="0" w:space="0" w:color="auto"/>
        <w:right w:val="none" w:sz="0" w:space="0" w:color="auto"/>
      </w:divBdr>
      <w:divsChild>
        <w:div w:id="1373454815">
          <w:marLeft w:val="0"/>
          <w:marRight w:val="0"/>
          <w:marTop w:val="0"/>
          <w:marBottom w:val="0"/>
          <w:divBdr>
            <w:top w:val="none" w:sz="0" w:space="0" w:color="auto"/>
            <w:left w:val="none" w:sz="0" w:space="0" w:color="auto"/>
            <w:bottom w:val="none" w:sz="0" w:space="0" w:color="auto"/>
            <w:right w:val="none" w:sz="0" w:space="0" w:color="auto"/>
          </w:divBdr>
        </w:div>
        <w:div w:id="1148135171">
          <w:marLeft w:val="0"/>
          <w:marRight w:val="0"/>
          <w:marTop w:val="0"/>
          <w:marBottom w:val="0"/>
          <w:divBdr>
            <w:top w:val="none" w:sz="0" w:space="0" w:color="auto"/>
            <w:left w:val="none" w:sz="0" w:space="0" w:color="auto"/>
            <w:bottom w:val="none" w:sz="0" w:space="0" w:color="auto"/>
            <w:right w:val="none" w:sz="0" w:space="0" w:color="auto"/>
          </w:divBdr>
        </w:div>
      </w:divsChild>
    </w:div>
    <w:div w:id="1270240753">
      <w:bodyDiv w:val="1"/>
      <w:marLeft w:val="0"/>
      <w:marRight w:val="0"/>
      <w:marTop w:val="0"/>
      <w:marBottom w:val="0"/>
      <w:divBdr>
        <w:top w:val="none" w:sz="0" w:space="0" w:color="auto"/>
        <w:left w:val="none" w:sz="0" w:space="0" w:color="auto"/>
        <w:bottom w:val="none" w:sz="0" w:space="0" w:color="auto"/>
        <w:right w:val="none" w:sz="0" w:space="0" w:color="auto"/>
      </w:divBdr>
      <w:divsChild>
        <w:div w:id="256522839">
          <w:marLeft w:val="0"/>
          <w:marRight w:val="0"/>
          <w:marTop w:val="0"/>
          <w:marBottom w:val="0"/>
          <w:divBdr>
            <w:top w:val="none" w:sz="0" w:space="0" w:color="auto"/>
            <w:left w:val="none" w:sz="0" w:space="0" w:color="auto"/>
            <w:bottom w:val="none" w:sz="0" w:space="0" w:color="auto"/>
            <w:right w:val="none" w:sz="0" w:space="0" w:color="auto"/>
          </w:divBdr>
        </w:div>
        <w:div w:id="432745110">
          <w:marLeft w:val="0"/>
          <w:marRight w:val="0"/>
          <w:marTop w:val="0"/>
          <w:marBottom w:val="0"/>
          <w:divBdr>
            <w:top w:val="none" w:sz="0" w:space="0" w:color="auto"/>
            <w:left w:val="none" w:sz="0" w:space="0" w:color="auto"/>
            <w:bottom w:val="none" w:sz="0" w:space="0" w:color="auto"/>
            <w:right w:val="none" w:sz="0" w:space="0" w:color="auto"/>
          </w:divBdr>
        </w:div>
      </w:divsChild>
    </w:div>
    <w:div w:id="1507936212">
      <w:bodyDiv w:val="1"/>
      <w:marLeft w:val="0"/>
      <w:marRight w:val="0"/>
      <w:marTop w:val="0"/>
      <w:marBottom w:val="0"/>
      <w:divBdr>
        <w:top w:val="none" w:sz="0" w:space="0" w:color="auto"/>
        <w:left w:val="none" w:sz="0" w:space="0" w:color="auto"/>
        <w:bottom w:val="none" w:sz="0" w:space="0" w:color="auto"/>
        <w:right w:val="none" w:sz="0" w:space="0" w:color="auto"/>
      </w:divBdr>
    </w:div>
    <w:div w:id="1512261964">
      <w:bodyDiv w:val="1"/>
      <w:marLeft w:val="0"/>
      <w:marRight w:val="0"/>
      <w:marTop w:val="0"/>
      <w:marBottom w:val="0"/>
      <w:divBdr>
        <w:top w:val="none" w:sz="0" w:space="0" w:color="auto"/>
        <w:left w:val="none" w:sz="0" w:space="0" w:color="auto"/>
        <w:bottom w:val="none" w:sz="0" w:space="0" w:color="auto"/>
        <w:right w:val="none" w:sz="0" w:space="0" w:color="auto"/>
      </w:divBdr>
    </w:div>
    <w:div w:id="1617954508">
      <w:bodyDiv w:val="1"/>
      <w:marLeft w:val="0"/>
      <w:marRight w:val="0"/>
      <w:marTop w:val="0"/>
      <w:marBottom w:val="0"/>
      <w:divBdr>
        <w:top w:val="none" w:sz="0" w:space="0" w:color="auto"/>
        <w:left w:val="none" w:sz="0" w:space="0" w:color="auto"/>
        <w:bottom w:val="none" w:sz="0" w:space="0" w:color="auto"/>
        <w:right w:val="none" w:sz="0" w:space="0" w:color="auto"/>
      </w:divBdr>
    </w:div>
    <w:div w:id="1691955638">
      <w:bodyDiv w:val="1"/>
      <w:marLeft w:val="0"/>
      <w:marRight w:val="0"/>
      <w:marTop w:val="0"/>
      <w:marBottom w:val="0"/>
      <w:divBdr>
        <w:top w:val="none" w:sz="0" w:space="0" w:color="auto"/>
        <w:left w:val="none" w:sz="0" w:space="0" w:color="auto"/>
        <w:bottom w:val="none" w:sz="0" w:space="0" w:color="auto"/>
        <w:right w:val="none" w:sz="0" w:space="0" w:color="auto"/>
      </w:divBdr>
      <w:divsChild>
        <w:div w:id="2127842462">
          <w:marLeft w:val="0"/>
          <w:marRight w:val="0"/>
          <w:marTop w:val="0"/>
          <w:marBottom w:val="0"/>
          <w:divBdr>
            <w:top w:val="none" w:sz="0" w:space="0" w:color="auto"/>
            <w:left w:val="none" w:sz="0" w:space="0" w:color="auto"/>
            <w:bottom w:val="none" w:sz="0" w:space="0" w:color="auto"/>
            <w:right w:val="none" w:sz="0" w:space="0" w:color="auto"/>
          </w:divBdr>
        </w:div>
        <w:div w:id="1502237485">
          <w:marLeft w:val="0"/>
          <w:marRight w:val="0"/>
          <w:marTop w:val="0"/>
          <w:marBottom w:val="0"/>
          <w:divBdr>
            <w:top w:val="none" w:sz="0" w:space="0" w:color="auto"/>
            <w:left w:val="none" w:sz="0" w:space="0" w:color="auto"/>
            <w:bottom w:val="none" w:sz="0" w:space="0" w:color="auto"/>
            <w:right w:val="none" w:sz="0" w:space="0" w:color="auto"/>
          </w:divBdr>
        </w:div>
        <w:div w:id="2111390317">
          <w:marLeft w:val="0"/>
          <w:marRight w:val="0"/>
          <w:marTop w:val="0"/>
          <w:marBottom w:val="0"/>
          <w:divBdr>
            <w:top w:val="none" w:sz="0" w:space="0" w:color="auto"/>
            <w:left w:val="none" w:sz="0" w:space="0" w:color="auto"/>
            <w:bottom w:val="none" w:sz="0" w:space="0" w:color="auto"/>
            <w:right w:val="none" w:sz="0" w:space="0" w:color="auto"/>
          </w:divBdr>
        </w:div>
      </w:divsChild>
    </w:div>
    <w:div w:id="1740859198">
      <w:bodyDiv w:val="1"/>
      <w:marLeft w:val="0"/>
      <w:marRight w:val="0"/>
      <w:marTop w:val="0"/>
      <w:marBottom w:val="0"/>
      <w:divBdr>
        <w:top w:val="none" w:sz="0" w:space="0" w:color="auto"/>
        <w:left w:val="none" w:sz="0" w:space="0" w:color="auto"/>
        <w:bottom w:val="none" w:sz="0" w:space="0" w:color="auto"/>
        <w:right w:val="none" w:sz="0" w:space="0" w:color="auto"/>
      </w:divBdr>
    </w:div>
    <w:div w:id="1912813803">
      <w:bodyDiv w:val="1"/>
      <w:marLeft w:val="0"/>
      <w:marRight w:val="0"/>
      <w:marTop w:val="0"/>
      <w:marBottom w:val="0"/>
      <w:divBdr>
        <w:top w:val="none" w:sz="0" w:space="0" w:color="auto"/>
        <w:left w:val="none" w:sz="0" w:space="0" w:color="auto"/>
        <w:bottom w:val="none" w:sz="0" w:space="0" w:color="auto"/>
        <w:right w:val="none" w:sz="0" w:space="0" w:color="auto"/>
      </w:divBdr>
    </w:div>
    <w:div w:id="1968853776">
      <w:bodyDiv w:val="1"/>
      <w:marLeft w:val="400"/>
      <w:marRight w:val="400"/>
      <w:marTop w:val="40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3248</Words>
  <Characters>17955</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Rozdílová tabulka návrhu předpisu ČR s legislativou ES</vt:lpstr>
    </vt:vector>
  </TitlesOfParts>
  <Company>MPO</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Rozdílová tabulka návrhu předpisu ČR s legislativou ES</dc:title>
  <dc:creator>Hrůšová Růžena Ing.</dc:creator>
  <cp:lastModifiedBy>Kroupa Jiří JUDr.</cp:lastModifiedBy>
  <cp:revision>4</cp:revision>
  <cp:lastPrinted>2019-10-30T14:32:00Z</cp:lastPrinted>
  <dcterms:created xsi:type="dcterms:W3CDTF">2023-05-19T07:46:00Z</dcterms:created>
  <dcterms:modified xsi:type="dcterms:W3CDTF">2023-05-22T10:49:00Z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