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FC0BA" w14:textId="77777777" w:rsidR="009778BD" w:rsidRDefault="009778BD" w:rsidP="009778BD">
      <w:pPr>
        <w:pStyle w:val="Nzev"/>
        <w:spacing w:after="567"/>
      </w:pPr>
      <w:bookmarkStart w:id="0" w:name="_GoBack"/>
      <w:bookmarkEnd w:id="0"/>
      <w:r w:rsidRPr="00164710">
        <w:t>Závěrečná zpráva z hodnocení dopadů regulace (RIA)</w:t>
      </w:r>
    </w:p>
    <w:p w14:paraId="6333AE92" w14:textId="10D7B855" w:rsidR="009778BD" w:rsidRPr="005D05D2" w:rsidRDefault="009778BD" w:rsidP="009778BD">
      <w:pPr>
        <w:rPr>
          <w:lang w:val="cs-CZ"/>
        </w:rPr>
      </w:pPr>
      <w:r w:rsidRPr="005D05D2">
        <w:rPr>
          <w:lang w:val="cs-CZ"/>
        </w:rPr>
        <w:t xml:space="preserve">Závěrečná zpráva </w:t>
      </w:r>
      <w:r w:rsidR="00DA2199" w:rsidRPr="005D05D2">
        <w:rPr>
          <w:lang w:val="cs-CZ"/>
        </w:rPr>
        <w:t>z </w:t>
      </w:r>
      <w:r w:rsidRPr="005D05D2">
        <w:rPr>
          <w:lang w:val="cs-CZ"/>
        </w:rPr>
        <w:t xml:space="preserve">hodnocení dopadů regulace </w:t>
      </w:r>
      <w:r w:rsidR="00DA2199" w:rsidRPr="005D05D2">
        <w:rPr>
          <w:lang w:val="cs-CZ"/>
        </w:rPr>
        <w:t>k </w:t>
      </w:r>
      <w:r w:rsidRPr="005D05D2">
        <w:rPr>
          <w:lang w:val="cs-CZ"/>
        </w:rPr>
        <w:t xml:space="preserve">návrhu zákona </w:t>
      </w:r>
      <w:r w:rsidR="00DA2199" w:rsidRPr="005D05D2">
        <w:rPr>
          <w:lang w:val="cs-CZ"/>
        </w:rPr>
        <w:t>o </w:t>
      </w:r>
      <w:r w:rsidRPr="005D05D2">
        <w:rPr>
          <w:lang w:val="cs-CZ"/>
        </w:rPr>
        <w:t>konsolidaci veřejných rozpočtů</w:t>
      </w:r>
    </w:p>
    <w:p w14:paraId="145A2F48" w14:textId="77777777" w:rsidR="009778BD" w:rsidRPr="005D05D2" w:rsidRDefault="009778BD" w:rsidP="009778BD">
      <w:pPr>
        <w:rPr>
          <w:lang w:val="cs-CZ"/>
        </w:rPr>
        <w:sectPr w:rsidR="009778BD" w:rsidRPr="005D05D2" w:rsidSect="009778BD">
          <w:headerReference w:type="default" r:id="rId8"/>
          <w:headerReference w:type="first" r:id="rId9"/>
          <w:type w:val="continuous"/>
          <w:pgSz w:w="11906" w:h="16838"/>
          <w:pgMar w:top="1418" w:right="1418" w:bottom="1418" w:left="1418" w:header="709" w:footer="709" w:gutter="0"/>
          <w:pgNumType w:fmt="numberInDash"/>
          <w:cols w:space="708"/>
          <w:vAlign w:val="center"/>
          <w:titlePg/>
          <w:docGrid w:linePitch="360"/>
        </w:sectPr>
      </w:pPr>
    </w:p>
    <w:p w14:paraId="4491F288" w14:textId="77777777" w:rsidR="00146EDB" w:rsidRPr="005D05D2" w:rsidRDefault="00146EDB" w:rsidP="009778BD">
      <w:pPr>
        <w:pageBreakBefore/>
        <w:tabs>
          <w:tab w:val="left" w:pos="6660"/>
        </w:tabs>
        <w:jc w:val="center"/>
        <w:rPr>
          <w:b/>
          <w:bCs/>
          <w:lang w:val="cs-CZ"/>
        </w:rPr>
      </w:pPr>
      <w:r w:rsidRPr="005D05D2">
        <w:rPr>
          <w:b/>
          <w:bCs/>
          <w:lang w:val="cs-CZ"/>
        </w:rPr>
        <w:lastRenderedPageBreak/>
        <w:t>SHRNUTÍ ZÁVĚREČNÉ ZPRÁVY RIA</w:t>
      </w:r>
    </w:p>
    <w:tbl>
      <w:tblPr>
        <w:tblW w:w="9648"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146EDB" w:rsidRPr="005D05D2" w14:paraId="090EF4DB" w14:textId="77777777" w:rsidTr="00230367">
        <w:trPr>
          <w:trHeight w:val="187"/>
          <w:jc w:val="center"/>
        </w:trPr>
        <w:tc>
          <w:tcPr>
            <w:tcW w:w="9648" w:type="dxa"/>
            <w:gridSpan w:val="2"/>
            <w:tcBorders>
              <w:top w:val="single" w:sz="12" w:space="0" w:color="000000"/>
              <w:left w:val="single" w:sz="12" w:space="0" w:color="000000"/>
              <w:bottom w:val="single" w:sz="4" w:space="0" w:color="auto"/>
              <w:right w:val="single" w:sz="12" w:space="0" w:color="000000"/>
            </w:tcBorders>
            <w:shd w:val="clear" w:color="auto" w:fill="C6D9F1"/>
            <w:vAlign w:val="bottom"/>
          </w:tcPr>
          <w:p w14:paraId="2E12247F" w14:textId="77777777" w:rsidR="00146EDB" w:rsidRPr="005D05D2" w:rsidRDefault="00146EDB" w:rsidP="00F25EB8">
            <w:pPr>
              <w:tabs>
                <w:tab w:val="left" w:pos="6660"/>
              </w:tabs>
              <w:spacing w:after="0"/>
              <w:rPr>
                <w:bCs/>
                <w:i/>
                <w:iCs/>
                <w:lang w:val="cs-CZ"/>
              </w:rPr>
            </w:pPr>
            <w:r w:rsidRPr="005D05D2">
              <w:rPr>
                <w:bCs/>
                <w:lang w:val="cs-CZ"/>
              </w:rPr>
              <w:t>1. Základní identifikační údaje</w:t>
            </w:r>
          </w:p>
        </w:tc>
      </w:tr>
      <w:tr w:rsidR="00146EDB" w:rsidRPr="005D05D2" w14:paraId="6F930BCD" w14:textId="77777777" w:rsidTr="00F25EB8">
        <w:trPr>
          <w:trHeight w:val="704"/>
          <w:jc w:val="center"/>
        </w:trPr>
        <w:tc>
          <w:tcPr>
            <w:tcW w:w="9648" w:type="dxa"/>
            <w:gridSpan w:val="2"/>
            <w:tcBorders>
              <w:top w:val="single" w:sz="4" w:space="0" w:color="auto"/>
              <w:left w:val="single" w:sz="12" w:space="0" w:color="000000"/>
              <w:bottom w:val="single" w:sz="4" w:space="0" w:color="auto"/>
              <w:right w:val="single" w:sz="12" w:space="0" w:color="000000"/>
            </w:tcBorders>
            <w:shd w:val="clear" w:color="auto" w:fill="auto"/>
            <w:vAlign w:val="center"/>
          </w:tcPr>
          <w:p w14:paraId="1DD42B6F" w14:textId="46747E45" w:rsidR="00146EDB" w:rsidRPr="005D05D2" w:rsidRDefault="00146EDB" w:rsidP="00F25EB8">
            <w:pPr>
              <w:tabs>
                <w:tab w:val="left" w:pos="6660"/>
              </w:tabs>
              <w:spacing w:after="0"/>
              <w:jc w:val="center"/>
              <w:rPr>
                <w:bCs/>
                <w:lang w:val="cs-CZ"/>
              </w:rPr>
            </w:pPr>
            <w:r w:rsidRPr="005D05D2">
              <w:rPr>
                <w:bCs/>
                <w:lang w:val="cs-CZ"/>
              </w:rPr>
              <w:t xml:space="preserve">Název návrhu: </w:t>
            </w:r>
            <w:r w:rsidR="00F25EB8" w:rsidRPr="005D05D2">
              <w:rPr>
                <w:bCs/>
                <w:lang w:val="cs-CZ"/>
              </w:rPr>
              <w:t xml:space="preserve">Návrh zákona </w:t>
            </w:r>
            <w:r w:rsidR="00DA2199" w:rsidRPr="005D05D2">
              <w:rPr>
                <w:lang w:val="cs-CZ"/>
              </w:rPr>
              <w:t>o </w:t>
            </w:r>
            <w:r w:rsidR="00F25EB8" w:rsidRPr="005D05D2">
              <w:rPr>
                <w:lang w:val="cs-CZ"/>
              </w:rPr>
              <w:t>konsolidaci veřejných rozpočtů</w:t>
            </w:r>
          </w:p>
        </w:tc>
      </w:tr>
      <w:tr w:rsidR="00146EDB" w:rsidRPr="005D05D2" w14:paraId="26641755" w14:textId="77777777" w:rsidTr="00230367">
        <w:trPr>
          <w:trHeight w:val="979"/>
          <w:jc w:val="center"/>
        </w:trPr>
        <w:tc>
          <w:tcPr>
            <w:tcW w:w="4644" w:type="dxa"/>
            <w:tcBorders>
              <w:top w:val="single" w:sz="4" w:space="0" w:color="auto"/>
              <w:left w:val="single" w:sz="12" w:space="0" w:color="000000"/>
              <w:bottom w:val="single" w:sz="4" w:space="0" w:color="auto"/>
              <w:right w:val="single" w:sz="4" w:space="0" w:color="auto"/>
            </w:tcBorders>
            <w:shd w:val="clear" w:color="auto" w:fill="auto"/>
            <w:vAlign w:val="center"/>
          </w:tcPr>
          <w:p w14:paraId="7738A670" w14:textId="77777777" w:rsidR="00146EDB" w:rsidRPr="005D05D2" w:rsidRDefault="00146EDB" w:rsidP="00F25EB8">
            <w:pPr>
              <w:tabs>
                <w:tab w:val="left" w:pos="6660"/>
              </w:tabs>
              <w:spacing w:after="0"/>
              <w:jc w:val="center"/>
              <w:rPr>
                <w:bCs/>
                <w:lang w:val="cs-CZ"/>
              </w:rPr>
            </w:pPr>
            <w:r w:rsidRPr="005D05D2">
              <w:rPr>
                <w:bCs/>
                <w:lang w:val="cs-CZ"/>
              </w:rPr>
              <w:t xml:space="preserve">Zpracovatel / zástupce předkladatele: </w:t>
            </w:r>
          </w:p>
          <w:p w14:paraId="53561757" w14:textId="77777777" w:rsidR="00146EDB" w:rsidRPr="005D05D2" w:rsidRDefault="00146EDB" w:rsidP="00F25EB8">
            <w:pPr>
              <w:tabs>
                <w:tab w:val="left" w:pos="6660"/>
              </w:tabs>
              <w:spacing w:after="0"/>
              <w:jc w:val="center"/>
              <w:rPr>
                <w:bCs/>
                <w:u w:val="single"/>
                <w:lang w:val="cs-CZ"/>
              </w:rPr>
            </w:pPr>
            <w:r w:rsidRPr="005D05D2">
              <w:rPr>
                <w:bCs/>
                <w:lang w:val="cs-CZ"/>
              </w:rPr>
              <w:fldChar w:fldCharType="begin">
                <w:ffData>
                  <w:name w:val=""/>
                  <w:enabled/>
                  <w:calcOnExit w:val="0"/>
                  <w:textInput/>
                </w:ffData>
              </w:fldChar>
            </w:r>
            <w:r w:rsidRPr="005D05D2">
              <w:rPr>
                <w:bCs/>
                <w:lang w:val="cs-CZ"/>
              </w:rPr>
              <w:instrText xml:space="preserve"> FORMTEXT </w:instrText>
            </w:r>
            <w:r w:rsidRPr="005D05D2">
              <w:rPr>
                <w:bCs/>
                <w:lang w:val="cs-CZ"/>
              </w:rPr>
            </w:r>
            <w:r w:rsidRPr="005D05D2">
              <w:rPr>
                <w:bCs/>
                <w:lang w:val="cs-CZ"/>
              </w:rPr>
              <w:fldChar w:fldCharType="separate"/>
            </w:r>
            <w:r w:rsidRPr="005D05D2">
              <w:rPr>
                <w:rFonts w:eastAsia="MS Gothic"/>
                <w:bCs/>
                <w:lang w:val="cs-CZ"/>
              </w:rPr>
              <w:t>Ministerstvo financí</w:t>
            </w:r>
            <w:r w:rsidRPr="005D05D2">
              <w:rPr>
                <w:bCs/>
                <w:lang w:val="cs-CZ"/>
              </w:rPr>
              <w:fldChar w:fldCharType="end"/>
            </w:r>
            <w:r w:rsidRPr="005D05D2">
              <w:rPr>
                <w:bCs/>
                <w:u w:val="single"/>
                <w:lang w:val="cs-CZ"/>
              </w:rPr>
              <w:t xml:space="preserve"> </w:t>
            </w:r>
          </w:p>
        </w:tc>
        <w:tc>
          <w:tcPr>
            <w:tcW w:w="5004" w:type="dxa"/>
            <w:tcBorders>
              <w:top w:val="single" w:sz="4" w:space="0" w:color="auto"/>
              <w:left w:val="single" w:sz="4" w:space="0" w:color="auto"/>
              <w:bottom w:val="single" w:sz="4" w:space="0" w:color="auto"/>
              <w:right w:val="single" w:sz="12" w:space="0" w:color="000000"/>
            </w:tcBorders>
            <w:shd w:val="clear" w:color="auto" w:fill="auto"/>
            <w:vAlign w:val="center"/>
          </w:tcPr>
          <w:p w14:paraId="28CA39CD" w14:textId="77777777" w:rsidR="00146EDB" w:rsidRPr="005D05D2" w:rsidRDefault="00146EDB" w:rsidP="00F25EB8">
            <w:pPr>
              <w:tabs>
                <w:tab w:val="left" w:pos="6660"/>
              </w:tabs>
              <w:spacing w:after="0"/>
              <w:jc w:val="center"/>
              <w:rPr>
                <w:bCs/>
                <w:lang w:val="cs-CZ"/>
              </w:rPr>
            </w:pPr>
            <w:r w:rsidRPr="005D05D2">
              <w:rPr>
                <w:bCs/>
                <w:lang w:val="cs-CZ"/>
              </w:rPr>
              <w:t>Předpokládaný termín nabytí účinnosti, v případě dělené účinnosti rozveďte</w:t>
            </w:r>
          </w:p>
          <w:p w14:paraId="7118351A" w14:textId="60513CBE" w:rsidR="00146EDB" w:rsidRPr="005D05D2" w:rsidRDefault="00146EDB" w:rsidP="00F25EB8">
            <w:pPr>
              <w:tabs>
                <w:tab w:val="left" w:pos="6660"/>
              </w:tabs>
              <w:spacing w:after="0"/>
              <w:jc w:val="center"/>
              <w:rPr>
                <w:i/>
                <w:iCs/>
                <w:lang w:val="cs-CZ"/>
              </w:rPr>
            </w:pPr>
            <w:r w:rsidRPr="005D05D2">
              <w:rPr>
                <w:bCs/>
                <w:i/>
                <w:iCs/>
                <w:lang w:val="cs-CZ"/>
              </w:rPr>
              <w:fldChar w:fldCharType="begin">
                <w:ffData>
                  <w:name w:val="Text37"/>
                  <w:enabled/>
                  <w:calcOnExit w:val="0"/>
                  <w:textInput>
                    <w:default w:val="vyplňte měsíc"/>
                  </w:textInput>
                </w:ffData>
              </w:fldChar>
            </w:r>
            <w:r w:rsidRPr="005D05D2">
              <w:rPr>
                <w:bCs/>
                <w:i/>
                <w:iCs/>
                <w:lang w:val="cs-CZ"/>
              </w:rPr>
              <w:instrText xml:space="preserve"> FORMTEXT </w:instrText>
            </w:r>
            <w:r w:rsidRPr="005D05D2">
              <w:rPr>
                <w:bCs/>
                <w:i/>
                <w:iCs/>
                <w:lang w:val="cs-CZ"/>
              </w:rPr>
            </w:r>
            <w:r w:rsidRPr="005D05D2">
              <w:rPr>
                <w:bCs/>
                <w:i/>
                <w:iCs/>
                <w:lang w:val="cs-CZ"/>
              </w:rPr>
              <w:fldChar w:fldCharType="separate"/>
            </w:r>
            <w:r w:rsidRPr="005D05D2">
              <w:rPr>
                <w:bCs/>
                <w:i/>
                <w:iCs/>
                <w:lang w:val="cs-CZ"/>
              </w:rPr>
              <w:t>1. ledna</w:t>
            </w:r>
            <w:r w:rsidRPr="005D05D2">
              <w:rPr>
                <w:bCs/>
                <w:i/>
                <w:iCs/>
                <w:lang w:val="cs-CZ"/>
              </w:rPr>
              <w:fldChar w:fldCharType="end"/>
            </w:r>
            <w:r w:rsidR="005D05D2">
              <w:rPr>
                <w:i/>
                <w:iCs/>
                <w:lang w:val="cs-CZ"/>
              </w:rPr>
              <w:t xml:space="preserve"> </w:t>
            </w:r>
            <w:r w:rsidRPr="005D05D2">
              <w:rPr>
                <w:i/>
                <w:iCs/>
                <w:lang w:val="cs-CZ"/>
              </w:rPr>
              <w:fldChar w:fldCharType="begin">
                <w:ffData>
                  <w:name w:val="Text36"/>
                  <w:enabled/>
                  <w:calcOnExit w:val="0"/>
                  <w:textInput>
                    <w:default w:val="vyplňte rok"/>
                  </w:textInput>
                </w:ffData>
              </w:fldChar>
            </w:r>
            <w:r w:rsidRPr="005D05D2">
              <w:rPr>
                <w:i/>
                <w:iCs/>
                <w:lang w:val="cs-CZ"/>
              </w:rPr>
              <w:instrText xml:space="preserve"> FORMTEXT </w:instrText>
            </w:r>
            <w:r w:rsidRPr="005D05D2">
              <w:rPr>
                <w:i/>
                <w:iCs/>
                <w:lang w:val="cs-CZ"/>
              </w:rPr>
            </w:r>
            <w:r w:rsidRPr="005D05D2">
              <w:rPr>
                <w:i/>
                <w:iCs/>
                <w:lang w:val="cs-CZ"/>
              </w:rPr>
              <w:fldChar w:fldCharType="separate"/>
            </w:r>
            <w:r w:rsidRPr="005D05D2">
              <w:rPr>
                <w:i/>
                <w:iCs/>
                <w:lang w:val="cs-CZ"/>
              </w:rPr>
              <w:t>2024</w:t>
            </w:r>
            <w:r w:rsidRPr="005D05D2">
              <w:rPr>
                <w:i/>
                <w:iCs/>
                <w:lang w:val="cs-CZ"/>
              </w:rPr>
              <w:fldChar w:fldCharType="end"/>
            </w:r>
            <w:r w:rsidR="00F25EB8" w:rsidRPr="005D05D2">
              <w:rPr>
                <w:i/>
                <w:iCs/>
                <w:lang w:val="cs-CZ"/>
              </w:rPr>
              <w:t>,</w:t>
            </w:r>
          </w:p>
          <w:p w14:paraId="48BA1929" w14:textId="36C4C51E" w:rsidR="00146EDB" w:rsidRPr="005D05D2" w:rsidRDefault="00F25EB8" w:rsidP="00F25EB8">
            <w:pPr>
              <w:tabs>
                <w:tab w:val="left" w:pos="6660"/>
              </w:tabs>
              <w:spacing w:after="0"/>
              <w:jc w:val="center"/>
              <w:rPr>
                <w:bCs/>
                <w:lang w:val="cs-CZ"/>
              </w:rPr>
            </w:pPr>
            <w:r w:rsidRPr="005D05D2">
              <w:rPr>
                <w:bCs/>
                <w:lang w:val="cs-CZ"/>
              </w:rPr>
              <w:t xml:space="preserve">vybrané části </w:t>
            </w:r>
            <w:r w:rsidRPr="005D05D2">
              <w:rPr>
                <w:bCs/>
                <w:i/>
                <w:lang w:val="cs-CZ"/>
              </w:rPr>
              <w:t>1. ledna 2025</w:t>
            </w:r>
          </w:p>
        </w:tc>
      </w:tr>
      <w:tr w:rsidR="00146EDB" w:rsidRPr="005D05D2" w14:paraId="6FA170E4" w14:textId="77777777" w:rsidTr="00F25EB8">
        <w:tblPrEx>
          <w:tblBorders>
            <w:top w:val="single" w:sz="4" w:space="0" w:color="auto"/>
            <w:left w:val="single" w:sz="4" w:space="0" w:color="auto"/>
            <w:bottom w:val="single" w:sz="4" w:space="0" w:color="auto"/>
            <w:right w:val="single" w:sz="4" w:space="0" w:color="auto"/>
          </w:tblBorders>
        </w:tblPrEx>
        <w:trPr>
          <w:trHeight w:val="400"/>
          <w:jc w:val="center"/>
        </w:trPr>
        <w:tc>
          <w:tcPr>
            <w:tcW w:w="9648" w:type="dxa"/>
            <w:gridSpan w:val="2"/>
            <w:tcBorders>
              <w:top w:val="single" w:sz="12" w:space="0" w:color="000000"/>
              <w:left w:val="single" w:sz="12" w:space="0" w:color="000000"/>
              <w:right w:val="single" w:sz="12" w:space="0" w:color="000000"/>
            </w:tcBorders>
            <w:shd w:val="clear" w:color="auto" w:fill="auto"/>
            <w:vAlign w:val="center"/>
          </w:tcPr>
          <w:p w14:paraId="77CF8800" w14:textId="0703BC86" w:rsidR="00146EDB" w:rsidRPr="005D05D2" w:rsidRDefault="00146EDB" w:rsidP="00F25EB8">
            <w:pPr>
              <w:tabs>
                <w:tab w:val="left" w:pos="6660"/>
              </w:tabs>
              <w:spacing w:before="100" w:beforeAutospacing="1" w:after="0"/>
              <w:rPr>
                <w:i/>
                <w:iCs/>
                <w:u w:val="single"/>
                <w:lang w:val="cs-CZ"/>
              </w:rPr>
            </w:pPr>
            <w:r w:rsidRPr="005D05D2">
              <w:rPr>
                <w:bCs/>
                <w:lang w:val="cs-CZ"/>
              </w:rPr>
              <w:t xml:space="preserve">Implementace práva EU: </w:t>
            </w:r>
            <w:r w:rsidRPr="005D05D2">
              <w:rPr>
                <w:bCs/>
                <w:lang w:val="cs-CZ"/>
              </w:rPr>
              <w:fldChar w:fldCharType="begin">
                <w:ffData>
                  <w:name w:val=""/>
                  <w:enabled/>
                  <w:calcOnExit w:val="0"/>
                  <w:ddList>
                    <w:result w:val="2"/>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r w:rsidR="00146EDB" w:rsidRPr="005D05D2" w14:paraId="60349CF6"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1F74D5A3" w14:textId="77777777" w:rsidR="00146EDB" w:rsidRPr="005D05D2" w:rsidRDefault="00146EDB" w:rsidP="00F25EB8">
            <w:pPr>
              <w:tabs>
                <w:tab w:val="left" w:pos="6660"/>
              </w:tabs>
              <w:spacing w:after="0"/>
              <w:rPr>
                <w:bCs/>
                <w:lang w:val="cs-CZ"/>
              </w:rPr>
            </w:pPr>
            <w:r w:rsidRPr="005D05D2">
              <w:rPr>
                <w:bCs/>
                <w:lang w:val="cs-CZ"/>
              </w:rPr>
              <w:t xml:space="preserve">2. Cíl návrhu zákona </w:t>
            </w:r>
          </w:p>
        </w:tc>
      </w:tr>
      <w:tr w:rsidR="00146EDB" w:rsidRPr="005D05D2" w14:paraId="26FB9E0D"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5D7685E6" w14:textId="45616B5D" w:rsidR="00146EDB" w:rsidRPr="005D05D2" w:rsidRDefault="00146EDB" w:rsidP="00F25EB8">
            <w:pPr>
              <w:tabs>
                <w:tab w:val="left" w:pos="1037"/>
              </w:tabs>
              <w:spacing w:after="0"/>
              <w:rPr>
                <w:bCs/>
                <w:lang w:val="cs-CZ"/>
              </w:rPr>
            </w:pPr>
            <w:r w:rsidRPr="005D05D2">
              <w:rPr>
                <w:bCs/>
                <w:lang w:val="cs-CZ"/>
              </w:rPr>
              <w:t xml:space="preserve"> </w:t>
            </w:r>
            <w:r w:rsidRPr="005D05D2">
              <w:rPr>
                <w:bCs/>
                <w:lang w:val="cs-CZ"/>
              </w:rPr>
              <w:fldChar w:fldCharType="begin">
                <w:ffData>
                  <w:name w:val=""/>
                  <w:enabled/>
                  <w:calcOnExit w:val="0"/>
                  <w:textInput/>
                </w:ffData>
              </w:fldChar>
            </w:r>
            <w:r w:rsidRPr="005D05D2">
              <w:rPr>
                <w:bCs/>
                <w:lang w:val="cs-CZ"/>
              </w:rPr>
              <w:instrText xml:space="preserve"> FORMTEXT </w:instrText>
            </w:r>
            <w:r w:rsidRPr="005D05D2">
              <w:rPr>
                <w:bCs/>
                <w:lang w:val="cs-CZ"/>
              </w:rPr>
            </w:r>
            <w:r w:rsidRPr="005D05D2">
              <w:rPr>
                <w:bCs/>
                <w:lang w:val="cs-CZ"/>
              </w:rPr>
              <w:fldChar w:fldCharType="separate"/>
            </w:r>
            <w:r w:rsidRPr="005D05D2">
              <w:rPr>
                <w:bCs/>
                <w:lang w:val="cs-CZ"/>
              </w:rPr>
              <w:t xml:space="preserve">Ozdravení veřejných financí, pokles deficitů </w:t>
            </w:r>
            <w:r w:rsidR="00DA2199" w:rsidRPr="005D05D2">
              <w:rPr>
                <w:bCs/>
                <w:lang w:val="cs-CZ"/>
              </w:rPr>
              <w:t>a </w:t>
            </w:r>
            <w:r w:rsidRPr="005D05D2">
              <w:rPr>
                <w:bCs/>
                <w:lang w:val="cs-CZ"/>
              </w:rPr>
              <w:t>zadlužení sektoru vládních institucí</w:t>
            </w:r>
            <w:r w:rsidRPr="005D05D2">
              <w:rPr>
                <w:bCs/>
                <w:lang w:val="cs-CZ"/>
              </w:rPr>
              <w:fldChar w:fldCharType="end"/>
            </w:r>
          </w:p>
        </w:tc>
      </w:tr>
      <w:tr w:rsidR="00146EDB" w:rsidRPr="005D05D2" w14:paraId="5EB2A184"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1DEB15DE" w14:textId="77777777" w:rsidR="00146EDB" w:rsidRPr="005D05D2" w:rsidRDefault="00146EDB" w:rsidP="00F25EB8">
            <w:pPr>
              <w:tabs>
                <w:tab w:val="left" w:pos="1037"/>
              </w:tabs>
              <w:spacing w:after="0"/>
              <w:rPr>
                <w:bCs/>
                <w:lang w:val="cs-CZ"/>
              </w:rPr>
            </w:pPr>
            <w:r w:rsidRPr="005D05D2">
              <w:rPr>
                <w:bCs/>
                <w:lang w:val="cs-CZ"/>
              </w:rPr>
              <w:t xml:space="preserve">3. </w:t>
            </w:r>
            <w:r w:rsidRPr="005D05D2">
              <w:rPr>
                <w:lang w:val="cs-CZ"/>
              </w:rPr>
              <w:t>Agregované</w:t>
            </w:r>
            <w:r w:rsidRPr="005D05D2">
              <w:rPr>
                <w:bCs/>
                <w:lang w:val="cs-CZ"/>
              </w:rPr>
              <w:t xml:space="preserve"> dopady návrhu zákona</w:t>
            </w:r>
          </w:p>
        </w:tc>
      </w:tr>
      <w:tr w:rsidR="00146EDB" w:rsidRPr="005D05D2" w14:paraId="28C9BAC1"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14:paraId="05EB23D1" w14:textId="6FD549BF" w:rsidR="00146EDB" w:rsidRPr="005D05D2" w:rsidRDefault="00146EDB" w:rsidP="00F25EB8">
            <w:pPr>
              <w:tabs>
                <w:tab w:val="left" w:pos="1037"/>
              </w:tabs>
              <w:spacing w:after="0"/>
              <w:rPr>
                <w:bCs/>
                <w:lang w:val="cs-CZ"/>
              </w:rPr>
            </w:pPr>
            <w:r w:rsidRPr="005D05D2">
              <w:rPr>
                <w:bCs/>
                <w:lang w:val="cs-CZ"/>
              </w:rPr>
              <w:t>3.</w:t>
            </w:r>
            <w:r w:rsidR="00DA2199" w:rsidRPr="005D05D2">
              <w:rPr>
                <w:bCs/>
                <w:lang w:val="cs-CZ"/>
              </w:rPr>
              <w:t>1 </w:t>
            </w:r>
            <w:r w:rsidRPr="005D05D2">
              <w:rPr>
                <w:bCs/>
                <w:lang w:val="cs-CZ"/>
              </w:rPr>
              <w:t xml:space="preserve">Dopady na státní rozpočet </w:t>
            </w:r>
            <w:r w:rsidR="00DA2199" w:rsidRPr="005D05D2">
              <w:rPr>
                <w:bCs/>
                <w:lang w:val="cs-CZ"/>
              </w:rPr>
              <w:t>a </w:t>
            </w:r>
            <w:r w:rsidRPr="005D05D2">
              <w:rPr>
                <w:bCs/>
                <w:lang w:val="cs-CZ"/>
              </w:rPr>
              <w:t xml:space="preserve">ostatní veřejné rozpočty: </w:t>
            </w:r>
            <w:r w:rsidRPr="005D05D2">
              <w:rPr>
                <w:bCs/>
                <w:lang w:val="cs-CZ"/>
              </w:rPr>
              <w:fldChar w:fldCharType="begin">
                <w:ffData>
                  <w:name w:val=""/>
                  <w:enabled/>
                  <w:calcOnExit w:val="0"/>
                  <w:ddList>
                    <w:result w:val="1"/>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r w:rsidRPr="005D05D2">
              <w:rPr>
                <w:bCs/>
                <w:lang w:val="cs-CZ"/>
              </w:rPr>
              <w:t xml:space="preserve"> </w:t>
            </w:r>
          </w:p>
        </w:tc>
      </w:tr>
      <w:tr w:rsidR="00146EDB" w:rsidRPr="005D05D2" w14:paraId="661D6B26"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5E0E4FEF" w14:textId="27943352" w:rsidR="00146EDB" w:rsidRPr="005D05D2" w:rsidRDefault="00146EDB" w:rsidP="00122A5A">
            <w:pPr>
              <w:tabs>
                <w:tab w:val="left" w:pos="1037"/>
              </w:tabs>
              <w:spacing w:after="0"/>
              <w:rPr>
                <w:bCs/>
                <w:lang w:val="cs-CZ"/>
              </w:rPr>
            </w:pPr>
            <w:r w:rsidRPr="005D05D2">
              <w:rPr>
                <w:bCs/>
                <w:i/>
                <w:lang w:val="cs-CZ"/>
              </w:rPr>
              <w:fldChar w:fldCharType="begin">
                <w:ffData>
                  <w:name w:val="Text25"/>
                  <w:enabled/>
                  <w:calcOnExit w:val="0"/>
                  <w:textInput>
                    <w:default w:val="Pokud ano, specifikujte."/>
                  </w:textInput>
                </w:ffData>
              </w:fldChar>
            </w:r>
            <w:bookmarkStart w:id="1" w:name="Text25"/>
            <w:r w:rsidRPr="005D05D2">
              <w:rPr>
                <w:bCs/>
                <w:i/>
                <w:lang w:val="cs-CZ"/>
              </w:rPr>
              <w:instrText xml:space="preserve"> FORMTEXT </w:instrText>
            </w:r>
            <w:r w:rsidRPr="005D05D2">
              <w:rPr>
                <w:bCs/>
                <w:i/>
                <w:lang w:val="cs-CZ"/>
              </w:rPr>
            </w:r>
            <w:r w:rsidRPr="005D05D2">
              <w:rPr>
                <w:bCs/>
                <w:i/>
                <w:lang w:val="cs-CZ"/>
              </w:rPr>
              <w:fldChar w:fldCharType="separate"/>
            </w:r>
            <w:r w:rsidRPr="005D05D2">
              <w:rPr>
                <w:bCs/>
                <w:i/>
                <w:lang w:val="cs-CZ"/>
              </w:rPr>
              <w:t xml:space="preserve">Celý soubor opatření by měl zlepšit saldo státního rozpočtu </w:t>
            </w:r>
            <w:r w:rsidR="00DA2199" w:rsidRPr="005D05D2">
              <w:rPr>
                <w:bCs/>
                <w:i/>
                <w:lang w:val="cs-CZ"/>
              </w:rPr>
              <w:t>o </w:t>
            </w:r>
            <w:r w:rsidRPr="005D05D2">
              <w:rPr>
                <w:bCs/>
                <w:i/>
                <w:lang w:val="cs-CZ"/>
              </w:rPr>
              <w:t>97,</w:t>
            </w:r>
            <w:r w:rsidR="00122A5A">
              <w:rPr>
                <w:bCs/>
                <w:i/>
                <w:lang w:val="cs-CZ"/>
              </w:rPr>
              <w:t>8</w:t>
            </w:r>
            <w:r w:rsidR="00DA2199" w:rsidRPr="005D05D2">
              <w:rPr>
                <w:bCs/>
                <w:i/>
                <w:lang w:val="cs-CZ"/>
              </w:rPr>
              <w:t> </w:t>
            </w:r>
            <w:r w:rsidRPr="005D05D2">
              <w:rPr>
                <w:bCs/>
                <w:i/>
                <w:lang w:val="cs-CZ"/>
              </w:rPr>
              <w:t xml:space="preserve">mld. Kč v roce 2024 resp. 151 mld. Kč za roky 2024 </w:t>
            </w:r>
            <w:r w:rsidR="00DA2199" w:rsidRPr="005D05D2">
              <w:rPr>
                <w:bCs/>
                <w:i/>
                <w:lang w:val="cs-CZ"/>
              </w:rPr>
              <w:t>a </w:t>
            </w:r>
            <w:r w:rsidRPr="005D05D2">
              <w:rPr>
                <w:bCs/>
                <w:i/>
                <w:lang w:val="cs-CZ"/>
              </w:rPr>
              <w:t>2025. Celkový dopad na veřejné finance je 81 mld. Kč v roce 2024 resp. 134,</w:t>
            </w:r>
            <w:r w:rsidR="00DA2199" w:rsidRPr="005D05D2">
              <w:rPr>
                <w:bCs/>
                <w:i/>
                <w:lang w:val="cs-CZ"/>
              </w:rPr>
              <w:t>4 </w:t>
            </w:r>
            <w:r w:rsidRPr="005D05D2">
              <w:rPr>
                <w:bCs/>
                <w:i/>
                <w:lang w:val="cs-CZ"/>
              </w:rPr>
              <w:t xml:space="preserve">mld. Kč za roky 2024 </w:t>
            </w:r>
            <w:r w:rsidR="00DA2199" w:rsidRPr="005D05D2">
              <w:rPr>
                <w:bCs/>
                <w:i/>
                <w:lang w:val="cs-CZ"/>
              </w:rPr>
              <w:t>a </w:t>
            </w:r>
            <w:r w:rsidRPr="005D05D2">
              <w:rPr>
                <w:bCs/>
                <w:i/>
                <w:lang w:val="cs-CZ"/>
              </w:rPr>
              <w:t>2025</w:t>
            </w:r>
            <w:r w:rsidRPr="005D05D2">
              <w:rPr>
                <w:bCs/>
                <w:i/>
                <w:lang w:val="cs-CZ"/>
              </w:rPr>
              <w:fldChar w:fldCharType="end"/>
            </w:r>
            <w:bookmarkEnd w:id="1"/>
            <w:r w:rsidR="00122A5A">
              <w:rPr>
                <w:bCs/>
                <w:i/>
                <w:lang w:val="cs-CZ"/>
              </w:rPr>
              <w:t>.</w:t>
            </w:r>
            <w:r w:rsidRPr="005D05D2">
              <w:rPr>
                <w:bCs/>
                <w:i/>
                <w:lang w:val="cs-CZ"/>
              </w:rPr>
              <w:t xml:space="preserve"> </w:t>
            </w:r>
          </w:p>
        </w:tc>
      </w:tr>
      <w:tr w:rsidR="00146EDB" w:rsidRPr="005D05D2" w14:paraId="6E620DAB"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11A47D27" w14:textId="2E42FD4D" w:rsidR="00146EDB" w:rsidRPr="005D05D2" w:rsidRDefault="00146EDB" w:rsidP="00F25EB8">
            <w:pPr>
              <w:tabs>
                <w:tab w:val="left" w:pos="1037"/>
              </w:tabs>
              <w:spacing w:after="0"/>
              <w:rPr>
                <w:bCs/>
                <w:lang w:val="cs-CZ"/>
              </w:rPr>
            </w:pPr>
            <w:r w:rsidRPr="005D05D2">
              <w:rPr>
                <w:bCs/>
                <w:lang w:val="cs-CZ"/>
              </w:rPr>
              <w:t>3.</w:t>
            </w:r>
            <w:r w:rsidR="00DA2199" w:rsidRPr="005D05D2">
              <w:rPr>
                <w:bCs/>
                <w:lang w:val="cs-CZ"/>
              </w:rPr>
              <w:t>2 </w:t>
            </w:r>
            <w:r w:rsidRPr="005D05D2">
              <w:rPr>
                <w:bCs/>
                <w:lang w:val="cs-CZ"/>
              </w:rPr>
              <w:t xml:space="preserve">Dopady na mezinárodní konkurenceschopnost ČR: </w:t>
            </w:r>
            <w:r w:rsidRPr="005D05D2">
              <w:rPr>
                <w:bCs/>
                <w:lang w:val="cs-CZ"/>
              </w:rPr>
              <w:fldChar w:fldCharType="begin">
                <w:ffData>
                  <w:name w:val=""/>
                  <w:enabled/>
                  <w:calcOnExit w:val="0"/>
                  <w:ddList>
                    <w:result w:val="1"/>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r w:rsidR="00146EDB" w:rsidRPr="005D05D2" w14:paraId="72549AE7"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42B3446B" w14:textId="346C1146" w:rsidR="00146EDB" w:rsidRPr="005D05D2" w:rsidRDefault="00146EDB" w:rsidP="00F25EB8">
            <w:pPr>
              <w:tabs>
                <w:tab w:val="left" w:pos="1037"/>
              </w:tabs>
              <w:spacing w:after="0"/>
              <w:rPr>
                <w:bCs/>
                <w:lang w:val="cs-CZ"/>
              </w:rPr>
            </w:pPr>
            <w:r w:rsidRPr="005D05D2">
              <w:rPr>
                <w:bCs/>
                <w:i/>
                <w:lang w:val="cs-CZ"/>
              </w:rPr>
              <w:fldChar w:fldCharType="begin">
                <w:ffData>
                  <w:name w:val="Text25"/>
                  <w:enabled/>
                  <w:calcOnExit w:val="0"/>
                  <w:textInput>
                    <w:default w:val="Pokud ano, specifikujte."/>
                  </w:textInput>
                </w:ffData>
              </w:fldChar>
            </w:r>
            <w:r w:rsidRPr="005D05D2">
              <w:rPr>
                <w:bCs/>
                <w:i/>
                <w:lang w:val="cs-CZ"/>
              </w:rPr>
              <w:instrText xml:space="preserve"> FORMTEXT </w:instrText>
            </w:r>
            <w:r w:rsidRPr="005D05D2">
              <w:rPr>
                <w:bCs/>
                <w:i/>
                <w:lang w:val="cs-CZ"/>
              </w:rPr>
            </w:r>
            <w:r w:rsidRPr="005D05D2">
              <w:rPr>
                <w:bCs/>
                <w:i/>
                <w:lang w:val="cs-CZ"/>
              </w:rPr>
              <w:fldChar w:fldCharType="separate"/>
            </w:r>
            <w:r w:rsidRPr="005D05D2">
              <w:rPr>
                <w:bCs/>
                <w:i/>
                <w:lang w:val="cs-CZ"/>
              </w:rPr>
              <w:t xml:space="preserve">Neměly by být nijak zásadní, ale roli může hrát zvýšení sazby daně z příjmu právnických osob </w:t>
            </w:r>
            <w:r w:rsidR="00DA2199" w:rsidRPr="005D05D2">
              <w:rPr>
                <w:bCs/>
                <w:i/>
                <w:lang w:val="cs-CZ"/>
              </w:rPr>
              <w:t>o 2 </w:t>
            </w:r>
            <w:r w:rsidRPr="005D05D2">
              <w:rPr>
                <w:bCs/>
                <w:i/>
                <w:lang w:val="cs-CZ"/>
              </w:rPr>
              <w:t xml:space="preserve">procentní body. </w:t>
            </w:r>
            <w:r w:rsidRPr="005D05D2">
              <w:rPr>
                <w:bCs/>
                <w:i/>
                <w:lang w:val="cs-CZ"/>
              </w:rPr>
              <w:fldChar w:fldCharType="end"/>
            </w:r>
          </w:p>
        </w:tc>
      </w:tr>
      <w:tr w:rsidR="00146EDB" w:rsidRPr="005D05D2" w14:paraId="2CB469CD"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32C78E8C" w14:textId="62FC5E0E" w:rsidR="00146EDB" w:rsidRPr="005D05D2" w:rsidRDefault="00146EDB" w:rsidP="00F25EB8">
            <w:pPr>
              <w:tabs>
                <w:tab w:val="left" w:pos="1037"/>
              </w:tabs>
              <w:spacing w:after="0"/>
              <w:rPr>
                <w:bCs/>
                <w:lang w:val="cs-CZ"/>
              </w:rPr>
            </w:pPr>
            <w:r w:rsidRPr="005D05D2">
              <w:rPr>
                <w:bCs/>
                <w:lang w:val="cs-CZ"/>
              </w:rPr>
              <w:t>3.</w:t>
            </w:r>
            <w:r w:rsidR="00DA2199" w:rsidRPr="005D05D2">
              <w:rPr>
                <w:bCs/>
                <w:lang w:val="cs-CZ"/>
              </w:rPr>
              <w:t>3 </w:t>
            </w:r>
            <w:r w:rsidRPr="005D05D2">
              <w:rPr>
                <w:bCs/>
                <w:lang w:val="cs-CZ"/>
              </w:rPr>
              <w:t xml:space="preserve">Dopady na podnikatelské prostředí: </w:t>
            </w:r>
            <w:r w:rsidRPr="005D05D2">
              <w:rPr>
                <w:bCs/>
                <w:lang w:val="cs-CZ"/>
              </w:rPr>
              <w:fldChar w:fldCharType="begin">
                <w:ffData>
                  <w:name w:val=""/>
                  <w:enabled/>
                  <w:calcOnExit w:val="0"/>
                  <w:ddList>
                    <w:result w:val="1"/>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r w:rsidRPr="005D05D2">
              <w:rPr>
                <w:bCs/>
                <w:lang w:val="cs-CZ"/>
              </w:rPr>
              <w:t xml:space="preserve"> </w:t>
            </w:r>
          </w:p>
        </w:tc>
      </w:tr>
      <w:tr w:rsidR="00146EDB" w:rsidRPr="005D05D2" w14:paraId="118283BB" w14:textId="77777777" w:rsidTr="00230367">
        <w:tblPrEx>
          <w:tblBorders>
            <w:top w:val="single" w:sz="4" w:space="0" w:color="auto"/>
            <w:left w:val="single" w:sz="4" w:space="0" w:color="auto"/>
            <w:bottom w:val="single" w:sz="4" w:space="0" w:color="auto"/>
            <w:right w:val="single" w:sz="4" w:space="0" w:color="auto"/>
          </w:tblBorders>
        </w:tblPrEx>
        <w:trPr>
          <w:trHeight w:val="369"/>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204BA841" w14:textId="70F700D7" w:rsidR="00146EDB" w:rsidRPr="005D05D2" w:rsidRDefault="00146EDB" w:rsidP="00F25EB8">
            <w:pPr>
              <w:tabs>
                <w:tab w:val="left" w:pos="1037"/>
              </w:tabs>
              <w:spacing w:after="0"/>
              <w:rPr>
                <w:bCs/>
                <w:lang w:val="cs-CZ"/>
              </w:rPr>
            </w:pPr>
            <w:r w:rsidRPr="005D05D2">
              <w:rPr>
                <w:bCs/>
                <w:i/>
                <w:lang w:val="cs-CZ"/>
              </w:rPr>
              <w:fldChar w:fldCharType="begin">
                <w:ffData>
                  <w:name w:val=""/>
                  <w:enabled/>
                  <w:calcOnExit w:val="0"/>
                  <w:textInput>
                    <w:default w:val="Pokud ano, specifikujte."/>
                  </w:textInput>
                </w:ffData>
              </w:fldChar>
            </w:r>
            <w:r w:rsidRPr="005D05D2">
              <w:rPr>
                <w:bCs/>
                <w:i/>
                <w:lang w:val="cs-CZ"/>
              </w:rPr>
              <w:instrText xml:space="preserve"> FORMTEXT </w:instrText>
            </w:r>
            <w:r w:rsidRPr="005D05D2">
              <w:rPr>
                <w:bCs/>
                <w:i/>
                <w:lang w:val="cs-CZ"/>
              </w:rPr>
            </w:r>
            <w:r w:rsidRPr="005D05D2">
              <w:rPr>
                <w:bCs/>
                <w:i/>
                <w:lang w:val="cs-CZ"/>
              </w:rPr>
              <w:fldChar w:fldCharType="separate"/>
            </w:r>
            <w:r w:rsidRPr="005D05D2">
              <w:rPr>
                <w:bCs/>
                <w:i/>
                <w:lang w:val="cs-CZ"/>
              </w:rPr>
              <w:t>Soubor opatření obsahuje položky, které se přímo týkají podnikatelského prostředí, jako např. zvýšení sazby daně z příjmu právnických osob či zvýšení odvodové zátěže osob samostatně výdělečně činných.</w:t>
            </w:r>
            <w:r w:rsidRPr="005D05D2">
              <w:rPr>
                <w:bCs/>
                <w:i/>
                <w:lang w:val="cs-CZ"/>
              </w:rPr>
              <w:fldChar w:fldCharType="end"/>
            </w:r>
            <w:r w:rsidRPr="005D05D2">
              <w:rPr>
                <w:bCs/>
                <w:i/>
                <w:lang w:val="cs-CZ"/>
              </w:rPr>
              <w:t xml:space="preserve"> </w:t>
            </w:r>
          </w:p>
        </w:tc>
      </w:tr>
      <w:tr w:rsidR="00146EDB" w:rsidRPr="005D05D2" w14:paraId="5EE35768"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14:paraId="570466A9" w14:textId="1A55AFAA" w:rsidR="00146EDB" w:rsidRPr="005D05D2" w:rsidRDefault="00146EDB" w:rsidP="00F25EB8">
            <w:pPr>
              <w:tabs>
                <w:tab w:val="left" w:pos="1037"/>
              </w:tabs>
              <w:spacing w:after="0"/>
              <w:rPr>
                <w:bCs/>
                <w:lang w:val="cs-CZ"/>
              </w:rPr>
            </w:pPr>
            <w:r w:rsidRPr="005D05D2">
              <w:rPr>
                <w:bCs/>
                <w:lang w:val="cs-CZ"/>
              </w:rPr>
              <w:t>3.</w:t>
            </w:r>
            <w:r w:rsidR="00DA2199" w:rsidRPr="005D05D2">
              <w:rPr>
                <w:bCs/>
                <w:lang w:val="cs-CZ"/>
              </w:rPr>
              <w:t>4 </w:t>
            </w:r>
            <w:r w:rsidRPr="005D05D2">
              <w:rPr>
                <w:bCs/>
                <w:lang w:val="cs-CZ"/>
              </w:rPr>
              <w:t xml:space="preserve">Dopady na územní samosprávné celky (obce, kraje): </w:t>
            </w:r>
            <w:r w:rsidRPr="005D05D2">
              <w:rPr>
                <w:bCs/>
                <w:lang w:val="cs-CZ"/>
              </w:rPr>
              <w:fldChar w:fldCharType="begin">
                <w:ffData>
                  <w:name w:val=""/>
                  <w:enabled/>
                  <w:calcOnExit w:val="0"/>
                  <w:ddList>
                    <w:result w:val="1"/>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r w:rsidRPr="005D05D2">
              <w:rPr>
                <w:bCs/>
                <w:lang w:val="cs-CZ"/>
              </w:rPr>
              <w:t xml:space="preserve"> </w:t>
            </w:r>
          </w:p>
        </w:tc>
      </w:tr>
      <w:tr w:rsidR="00146EDB" w:rsidRPr="005D05D2" w:rsidDel="007D15F9" w14:paraId="6E28E1DF"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529D0DD7" w14:textId="5F9F1368" w:rsidR="00146EDB" w:rsidRPr="005D05D2" w:rsidDel="007D15F9" w:rsidRDefault="00146EDB" w:rsidP="00F25EB8">
            <w:pPr>
              <w:tabs>
                <w:tab w:val="left" w:pos="1037"/>
              </w:tabs>
              <w:spacing w:after="0"/>
              <w:rPr>
                <w:bCs/>
                <w:lang w:val="cs-CZ"/>
              </w:rPr>
            </w:pPr>
            <w:r w:rsidRPr="005D05D2">
              <w:rPr>
                <w:bCs/>
                <w:i/>
                <w:lang w:val="cs-CZ"/>
              </w:rPr>
              <w:fldChar w:fldCharType="begin">
                <w:ffData>
                  <w:name w:val=""/>
                  <w:enabled/>
                  <w:calcOnExit w:val="0"/>
                  <w:textInput>
                    <w:default w:val="Pokud ano, specifikujte."/>
                  </w:textInput>
                </w:ffData>
              </w:fldChar>
            </w:r>
            <w:r w:rsidRPr="005D05D2">
              <w:rPr>
                <w:bCs/>
                <w:i/>
                <w:lang w:val="cs-CZ"/>
              </w:rPr>
              <w:instrText xml:space="preserve"> FORMTEXT </w:instrText>
            </w:r>
            <w:r w:rsidRPr="005D05D2">
              <w:rPr>
                <w:bCs/>
                <w:i/>
                <w:lang w:val="cs-CZ"/>
              </w:rPr>
            </w:r>
            <w:r w:rsidRPr="005D05D2">
              <w:rPr>
                <w:bCs/>
                <w:i/>
                <w:lang w:val="cs-CZ"/>
              </w:rPr>
              <w:fldChar w:fldCharType="separate"/>
            </w:r>
            <w:r w:rsidRPr="005D05D2">
              <w:rPr>
                <w:bCs/>
                <w:i/>
                <w:lang w:val="cs-CZ"/>
              </w:rPr>
              <w:t xml:space="preserve">Územní samosprávné celky budou dotčeny na jedné straně úpravami daňových příjmů </w:t>
            </w:r>
            <w:r w:rsidR="00DA2199" w:rsidRPr="005D05D2">
              <w:rPr>
                <w:bCs/>
                <w:i/>
                <w:lang w:val="cs-CZ"/>
              </w:rPr>
              <w:t>a </w:t>
            </w:r>
            <w:r w:rsidRPr="005D05D2">
              <w:rPr>
                <w:bCs/>
                <w:i/>
                <w:lang w:val="cs-CZ"/>
              </w:rPr>
              <w:t>změnou rozpočtového určení daní, na straně výdajů by mělo dojít k omezení vybraných dotačních titulů, které jim plynou ze státního rozpočtu.</w:t>
            </w:r>
            <w:r w:rsidRPr="005D05D2">
              <w:rPr>
                <w:bCs/>
                <w:i/>
                <w:lang w:val="cs-CZ"/>
              </w:rPr>
              <w:fldChar w:fldCharType="end"/>
            </w:r>
            <w:r w:rsidRPr="005D05D2">
              <w:rPr>
                <w:bCs/>
                <w:i/>
                <w:lang w:val="cs-CZ"/>
              </w:rPr>
              <w:t xml:space="preserve"> </w:t>
            </w:r>
          </w:p>
        </w:tc>
      </w:tr>
      <w:tr w:rsidR="00146EDB" w:rsidRPr="005D05D2" w14:paraId="6669216C"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4" w:space="0" w:color="auto"/>
              <w:right w:val="single" w:sz="12" w:space="0" w:color="auto"/>
            </w:tcBorders>
            <w:shd w:val="clear" w:color="auto" w:fill="99CCFF"/>
          </w:tcPr>
          <w:p w14:paraId="316E1003" w14:textId="61CF1C9E" w:rsidR="00146EDB" w:rsidRPr="005D05D2" w:rsidRDefault="00146EDB" w:rsidP="00F25EB8">
            <w:pPr>
              <w:tabs>
                <w:tab w:val="left" w:pos="1037"/>
                <w:tab w:val="left" w:pos="3970"/>
              </w:tabs>
              <w:spacing w:after="0"/>
              <w:rPr>
                <w:bCs/>
                <w:lang w:val="cs-CZ"/>
              </w:rPr>
            </w:pPr>
            <w:r w:rsidRPr="005D05D2">
              <w:rPr>
                <w:bCs/>
                <w:lang w:val="cs-CZ"/>
              </w:rPr>
              <w:t>3.</w:t>
            </w:r>
            <w:r w:rsidR="00DA2199" w:rsidRPr="005D05D2">
              <w:rPr>
                <w:bCs/>
                <w:lang w:val="cs-CZ"/>
              </w:rPr>
              <w:t>5 </w:t>
            </w:r>
            <w:r w:rsidRPr="005D05D2">
              <w:rPr>
                <w:bCs/>
                <w:lang w:val="cs-CZ"/>
              </w:rPr>
              <w:t xml:space="preserve">Sociální dopady: </w:t>
            </w:r>
            <w:r w:rsidRPr="005D05D2">
              <w:rPr>
                <w:bCs/>
                <w:lang w:val="cs-CZ"/>
              </w:rPr>
              <w:fldChar w:fldCharType="begin">
                <w:ffData>
                  <w:name w:val=""/>
                  <w:enabled/>
                  <w:calcOnExit w:val="0"/>
                  <w:ddList>
                    <w:result w:val="1"/>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r w:rsidRPr="005D05D2">
              <w:rPr>
                <w:bCs/>
                <w:lang w:val="cs-CZ"/>
              </w:rPr>
              <w:t xml:space="preserve"> </w:t>
            </w:r>
          </w:p>
        </w:tc>
      </w:tr>
      <w:tr w:rsidR="00146EDB" w:rsidRPr="005D05D2" w14:paraId="6CCACB2E"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6A34205F" w14:textId="4745AB3E" w:rsidR="00146EDB" w:rsidRPr="005D05D2" w:rsidRDefault="00146EDB" w:rsidP="00F25EB8">
            <w:pPr>
              <w:tabs>
                <w:tab w:val="left" w:pos="1037"/>
              </w:tabs>
              <w:spacing w:after="0"/>
              <w:rPr>
                <w:bCs/>
                <w:lang w:val="cs-CZ"/>
              </w:rPr>
            </w:pPr>
            <w:r w:rsidRPr="005D05D2">
              <w:rPr>
                <w:bCs/>
                <w:i/>
                <w:lang w:val="cs-CZ"/>
              </w:rPr>
              <w:fldChar w:fldCharType="begin">
                <w:ffData>
                  <w:name w:val=""/>
                  <w:enabled/>
                  <w:calcOnExit w:val="0"/>
                  <w:textInput>
                    <w:default w:val="Pokud ano, specifikujte."/>
                  </w:textInput>
                </w:ffData>
              </w:fldChar>
            </w:r>
            <w:r w:rsidRPr="005D05D2">
              <w:rPr>
                <w:bCs/>
                <w:i/>
                <w:lang w:val="cs-CZ"/>
              </w:rPr>
              <w:instrText xml:space="preserve"> FORMTEXT </w:instrText>
            </w:r>
            <w:r w:rsidRPr="005D05D2">
              <w:rPr>
                <w:bCs/>
                <w:i/>
                <w:lang w:val="cs-CZ"/>
              </w:rPr>
            </w:r>
            <w:r w:rsidRPr="005D05D2">
              <w:rPr>
                <w:bCs/>
                <w:i/>
                <w:lang w:val="cs-CZ"/>
              </w:rPr>
              <w:fldChar w:fldCharType="separate"/>
            </w:r>
            <w:r w:rsidRPr="005D05D2">
              <w:rPr>
                <w:bCs/>
                <w:i/>
                <w:lang w:val="cs-CZ"/>
              </w:rPr>
              <w:t>Řada opatření ovlivní čisté disponibilní pří</w:t>
            </w:r>
            <w:r w:rsidR="005D05D2">
              <w:rPr>
                <w:bCs/>
                <w:i/>
                <w:lang w:val="cs-CZ"/>
              </w:rPr>
              <w:t>j</w:t>
            </w:r>
            <w:r w:rsidRPr="005D05D2">
              <w:rPr>
                <w:bCs/>
                <w:i/>
                <w:lang w:val="cs-CZ"/>
              </w:rPr>
              <w:t>my domácností, větší dopad však pocítí domácnosti s vyššími příjmy.</w:t>
            </w:r>
            <w:r w:rsidRPr="005D05D2">
              <w:rPr>
                <w:bCs/>
                <w:i/>
                <w:lang w:val="cs-CZ"/>
              </w:rPr>
              <w:fldChar w:fldCharType="end"/>
            </w:r>
            <w:r w:rsidRPr="005D05D2">
              <w:rPr>
                <w:bCs/>
                <w:i/>
                <w:lang w:val="cs-CZ"/>
              </w:rPr>
              <w:t xml:space="preserve"> </w:t>
            </w:r>
          </w:p>
        </w:tc>
      </w:tr>
      <w:tr w:rsidR="00146EDB" w:rsidRPr="005D05D2" w14:paraId="793B2924"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tcPr>
          <w:p w14:paraId="3AE1886A" w14:textId="464F84CC" w:rsidR="00146EDB" w:rsidRPr="005D05D2" w:rsidRDefault="00146EDB" w:rsidP="00F25EB8">
            <w:pPr>
              <w:tabs>
                <w:tab w:val="left" w:pos="1037"/>
              </w:tabs>
              <w:spacing w:after="0"/>
              <w:rPr>
                <w:bCs/>
                <w:lang w:val="cs-CZ"/>
              </w:rPr>
            </w:pPr>
            <w:r w:rsidRPr="005D05D2">
              <w:rPr>
                <w:bCs/>
                <w:lang w:val="cs-CZ"/>
              </w:rPr>
              <w:t>3.</w:t>
            </w:r>
            <w:r w:rsidR="00DA2199" w:rsidRPr="005D05D2">
              <w:rPr>
                <w:bCs/>
                <w:lang w:val="cs-CZ"/>
              </w:rPr>
              <w:t>6 </w:t>
            </w:r>
            <w:r w:rsidRPr="005D05D2">
              <w:rPr>
                <w:bCs/>
                <w:lang w:val="cs-CZ"/>
              </w:rPr>
              <w:t xml:space="preserve">Dopady na spotřebitele: </w:t>
            </w:r>
            <w:r w:rsidRPr="005D05D2">
              <w:rPr>
                <w:bCs/>
                <w:lang w:val="cs-CZ"/>
              </w:rPr>
              <w:fldChar w:fldCharType="begin">
                <w:ffData>
                  <w:name w:val=""/>
                  <w:enabled/>
                  <w:calcOnExit w:val="0"/>
                  <w:ddList>
                    <w:result w:val="1"/>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r w:rsidR="00146EDB" w:rsidRPr="005D05D2" w14:paraId="1C1B44E8"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6DA633B9" w14:textId="0B20E3DF" w:rsidR="00146EDB" w:rsidRPr="005D05D2" w:rsidRDefault="00146EDB" w:rsidP="00F25EB8">
            <w:pPr>
              <w:tabs>
                <w:tab w:val="left" w:pos="1037"/>
              </w:tabs>
              <w:spacing w:after="0"/>
              <w:rPr>
                <w:bCs/>
                <w:lang w:val="cs-CZ"/>
              </w:rPr>
            </w:pPr>
            <w:r w:rsidRPr="005D05D2">
              <w:rPr>
                <w:bCs/>
                <w:i/>
                <w:lang w:val="cs-CZ"/>
              </w:rPr>
              <w:fldChar w:fldCharType="begin">
                <w:ffData>
                  <w:name w:val="Text25"/>
                  <w:enabled/>
                  <w:calcOnExit w:val="0"/>
                  <w:textInput>
                    <w:default w:val="Pokud ano, specifikujte."/>
                  </w:textInput>
                </w:ffData>
              </w:fldChar>
            </w:r>
            <w:r w:rsidRPr="005D05D2">
              <w:rPr>
                <w:bCs/>
                <w:i/>
                <w:lang w:val="cs-CZ"/>
              </w:rPr>
              <w:instrText xml:space="preserve"> FORMTEXT </w:instrText>
            </w:r>
            <w:r w:rsidRPr="005D05D2">
              <w:rPr>
                <w:bCs/>
                <w:i/>
                <w:lang w:val="cs-CZ"/>
              </w:rPr>
            </w:r>
            <w:r w:rsidRPr="005D05D2">
              <w:rPr>
                <w:bCs/>
                <w:i/>
                <w:lang w:val="cs-CZ"/>
              </w:rPr>
              <w:fldChar w:fldCharType="separate"/>
            </w:r>
            <w:r w:rsidRPr="005D05D2">
              <w:rPr>
                <w:bCs/>
                <w:i/>
                <w:lang w:val="cs-CZ"/>
              </w:rPr>
              <w:t xml:space="preserve">Soubor opatření obsahuje změny v daních ze spotřeby (DPH, spotřební daně). Změny v DPH, které zasáhnou spotřebitele obecně, jsou pro ně pozitivní (tedy negativní dopad do veřejných financí), </w:t>
            </w:r>
            <w:r w:rsidR="00DA2199" w:rsidRPr="005D05D2">
              <w:rPr>
                <w:bCs/>
                <w:i/>
                <w:lang w:val="cs-CZ"/>
              </w:rPr>
              <w:t>u </w:t>
            </w:r>
            <w:r w:rsidRPr="005D05D2">
              <w:rPr>
                <w:bCs/>
                <w:i/>
                <w:lang w:val="cs-CZ"/>
              </w:rPr>
              <w:t xml:space="preserve">spotřebních daní na líh </w:t>
            </w:r>
            <w:r w:rsidR="00DA2199" w:rsidRPr="005D05D2">
              <w:rPr>
                <w:bCs/>
                <w:i/>
                <w:lang w:val="cs-CZ"/>
              </w:rPr>
              <w:t>a </w:t>
            </w:r>
            <w:r w:rsidRPr="005D05D2">
              <w:rPr>
                <w:bCs/>
                <w:i/>
                <w:lang w:val="cs-CZ"/>
              </w:rPr>
              <w:t>tabákové výrobky pak negativní.</w:t>
            </w:r>
            <w:r w:rsidRPr="005D05D2">
              <w:rPr>
                <w:bCs/>
                <w:i/>
                <w:lang w:val="cs-CZ"/>
              </w:rPr>
              <w:fldChar w:fldCharType="end"/>
            </w:r>
          </w:p>
        </w:tc>
      </w:tr>
      <w:tr w:rsidR="00146EDB" w:rsidRPr="005D05D2" w14:paraId="79A2559F" w14:textId="77777777" w:rsidTr="00230367">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vAlign w:val="center"/>
          </w:tcPr>
          <w:p w14:paraId="5D2F4621" w14:textId="69D9A5BC" w:rsidR="00146EDB" w:rsidRPr="005D05D2" w:rsidRDefault="00146EDB" w:rsidP="00230367">
            <w:pPr>
              <w:tabs>
                <w:tab w:val="left" w:pos="1037"/>
              </w:tabs>
              <w:spacing w:after="0"/>
              <w:jc w:val="left"/>
              <w:rPr>
                <w:bCs/>
                <w:lang w:val="cs-CZ"/>
              </w:rPr>
            </w:pPr>
            <w:r w:rsidRPr="005D05D2">
              <w:rPr>
                <w:bCs/>
                <w:lang w:val="cs-CZ"/>
              </w:rPr>
              <w:t>3.</w:t>
            </w:r>
            <w:r w:rsidR="00DA2199" w:rsidRPr="005D05D2">
              <w:rPr>
                <w:bCs/>
                <w:lang w:val="cs-CZ"/>
              </w:rPr>
              <w:t>7 </w:t>
            </w:r>
            <w:r w:rsidRPr="005D05D2">
              <w:rPr>
                <w:bCs/>
                <w:lang w:val="cs-CZ"/>
              </w:rPr>
              <w:t xml:space="preserve">Dopady na životní prostředí: </w:t>
            </w:r>
            <w:r w:rsidRPr="005D05D2">
              <w:rPr>
                <w:bCs/>
                <w:lang w:val="cs-CZ"/>
              </w:rPr>
              <w:fldChar w:fldCharType="begin">
                <w:ffData>
                  <w:name w:val=""/>
                  <w:enabled/>
                  <w:calcOnExit w:val="0"/>
                  <w:ddList>
                    <w:result w:val="2"/>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r w:rsidRPr="005D05D2">
              <w:rPr>
                <w:bCs/>
                <w:lang w:val="cs-CZ"/>
              </w:rPr>
              <w:t xml:space="preserve"> </w:t>
            </w:r>
          </w:p>
        </w:tc>
      </w:tr>
      <w:tr w:rsidR="00146EDB" w:rsidRPr="005D05D2" w14:paraId="40E85890" w14:textId="77777777" w:rsidTr="002303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vAlign w:val="center"/>
          </w:tcPr>
          <w:p w14:paraId="54DD17D6" w14:textId="16F299C9" w:rsidR="00146EDB" w:rsidRPr="005D05D2" w:rsidRDefault="00146EDB" w:rsidP="00230367">
            <w:pPr>
              <w:tabs>
                <w:tab w:val="left" w:pos="1037"/>
              </w:tabs>
              <w:spacing w:after="0"/>
              <w:jc w:val="left"/>
              <w:rPr>
                <w:bCs/>
                <w:lang w:val="cs-CZ"/>
              </w:rPr>
            </w:pPr>
            <w:r w:rsidRPr="005D05D2">
              <w:rPr>
                <w:lang w:val="cs-CZ"/>
              </w:rPr>
              <w:t>3.</w:t>
            </w:r>
            <w:r w:rsidR="00DA2199" w:rsidRPr="005D05D2">
              <w:rPr>
                <w:lang w:val="cs-CZ"/>
              </w:rPr>
              <w:t>8 </w:t>
            </w:r>
            <w:r w:rsidRPr="005D05D2">
              <w:rPr>
                <w:lang w:val="cs-CZ"/>
              </w:rPr>
              <w:t xml:space="preserve">Dopady ve vztahu k zákazu diskriminace </w:t>
            </w:r>
            <w:r w:rsidR="00DA2199" w:rsidRPr="005D05D2">
              <w:rPr>
                <w:lang w:val="cs-CZ"/>
              </w:rPr>
              <w:t>a </w:t>
            </w:r>
            <w:r w:rsidRPr="005D05D2">
              <w:rPr>
                <w:lang w:val="cs-CZ"/>
              </w:rPr>
              <w:t xml:space="preserve">ve vztahu k rovnosti žen </w:t>
            </w:r>
            <w:r w:rsidR="00DA2199" w:rsidRPr="005D05D2">
              <w:rPr>
                <w:lang w:val="cs-CZ"/>
              </w:rPr>
              <w:t>a </w:t>
            </w:r>
            <w:r w:rsidRPr="005D05D2">
              <w:rPr>
                <w:lang w:val="cs-CZ"/>
              </w:rPr>
              <w:t>mužů</w:t>
            </w:r>
            <w:r w:rsidRPr="005D05D2">
              <w:rPr>
                <w:bCs/>
                <w:lang w:val="cs-CZ"/>
              </w:rPr>
              <w:t xml:space="preserve">: </w:t>
            </w:r>
            <w:r w:rsidRPr="005D05D2">
              <w:rPr>
                <w:bCs/>
                <w:lang w:val="cs-CZ"/>
              </w:rPr>
              <w:fldChar w:fldCharType="begin">
                <w:ffData>
                  <w:name w:val=""/>
                  <w:enabled/>
                  <w:calcOnExit w:val="0"/>
                  <w:ddList>
                    <w:result w:val="2"/>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r w:rsidR="00146EDB" w:rsidRPr="005D05D2" w14:paraId="5E45C9E6" w14:textId="77777777" w:rsidTr="002303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vAlign w:val="center"/>
          </w:tcPr>
          <w:p w14:paraId="5235352C" w14:textId="5B7D80D5" w:rsidR="00146EDB" w:rsidRPr="005D05D2" w:rsidRDefault="00146EDB" w:rsidP="00230367">
            <w:pPr>
              <w:tabs>
                <w:tab w:val="left" w:pos="1037"/>
              </w:tabs>
              <w:spacing w:after="0"/>
              <w:jc w:val="left"/>
              <w:rPr>
                <w:bCs/>
                <w:lang w:val="cs-CZ"/>
              </w:rPr>
            </w:pPr>
            <w:r w:rsidRPr="005D05D2">
              <w:rPr>
                <w:bCs/>
                <w:lang w:val="cs-CZ"/>
              </w:rPr>
              <w:t>3.</w:t>
            </w:r>
            <w:r w:rsidR="00DA2199" w:rsidRPr="005D05D2">
              <w:rPr>
                <w:bCs/>
                <w:lang w:val="cs-CZ"/>
              </w:rPr>
              <w:t>9 </w:t>
            </w:r>
            <w:r w:rsidRPr="005D05D2">
              <w:rPr>
                <w:bCs/>
                <w:lang w:val="cs-CZ"/>
              </w:rPr>
              <w:t xml:space="preserve">Dopady na výkon státní statistické služby: </w:t>
            </w:r>
            <w:r w:rsidRPr="005D05D2">
              <w:rPr>
                <w:bCs/>
                <w:lang w:val="cs-CZ"/>
              </w:rPr>
              <w:fldChar w:fldCharType="begin">
                <w:ffData>
                  <w:name w:val=""/>
                  <w:enabled/>
                  <w:calcOnExit w:val="0"/>
                  <w:ddList>
                    <w:result w:val="2"/>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r w:rsidR="00146EDB" w:rsidRPr="005D05D2" w14:paraId="27914F9D" w14:textId="77777777" w:rsidTr="00230367">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4" w:space="0" w:color="auto"/>
              <w:right w:val="single" w:sz="12" w:space="0" w:color="auto"/>
            </w:tcBorders>
            <w:shd w:val="clear" w:color="auto" w:fill="99CCFF"/>
            <w:vAlign w:val="center"/>
          </w:tcPr>
          <w:p w14:paraId="60F8102C" w14:textId="77777777" w:rsidR="00146EDB" w:rsidRPr="005D05D2" w:rsidRDefault="00146EDB" w:rsidP="00230367">
            <w:pPr>
              <w:tabs>
                <w:tab w:val="left" w:pos="1037"/>
              </w:tabs>
              <w:spacing w:after="0"/>
              <w:jc w:val="left"/>
              <w:rPr>
                <w:bCs/>
                <w:lang w:val="cs-CZ"/>
              </w:rPr>
            </w:pPr>
            <w:r w:rsidRPr="005D05D2">
              <w:rPr>
                <w:bCs/>
                <w:lang w:val="cs-CZ"/>
              </w:rPr>
              <w:t xml:space="preserve">3.10 Korupční rizika: </w:t>
            </w:r>
            <w:r w:rsidRPr="005D05D2">
              <w:rPr>
                <w:bCs/>
                <w:lang w:val="cs-CZ"/>
              </w:rPr>
              <w:fldChar w:fldCharType="begin">
                <w:ffData>
                  <w:name w:val=""/>
                  <w:enabled/>
                  <w:calcOnExit w:val="0"/>
                  <w:ddList>
                    <w:result w:val="2"/>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r w:rsidR="00146EDB" w:rsidRPr="005D05D2" w14:paraId="0EE1BCDC" w14:textId="77777777" w:rsidTr="00F87BC8">
        <w:tblPrEx>
          <w:tblBorders>
            <w:top w:val="single" w:sz="4" w:space="0" w:color="auto"/>
            <w:left w:val="single" w:sz="4" w:space="0" w:color="auto"/>
            <w:bottom w:val="single" w:sz="4" w:space="0" w:color="auto"/>
            <w:right w:val="single" w:sz="4" w:space="0" w:color="auto"/>
          </w:tblBorders>
        </w:tblPrEx>
        <w:trPr>
          <w:trHeight w:val="411"/>
          <w:jc w:val="center"/>
        </w:trPr>
        <w:tc>
          <w:tcPr>
            <w:tcW w:w="9648" w:type="dxa"/>
            <w:gridSpan w:val="2"/>
            <w:tcBorders>
              <w:top w:val="single" w:sz="12" w:space="0" w:color="auto"/>
              <w:left w:val="single" w:sz="12" w:space="0" w:color="auto"/>
              <w:bottom w:val="single" w:sz="12" w:space="0" w:color="000000"/>
              <w:right w:val="single" w:sz="12" w:space="0" w:color="auto"/>
            </w:tcBorders>
            <w:shd w:val="clear" w:color="auto" w:fill="99CCFF"/>
            <w:vAlign w:val="center"/>
          </w:tcPr>
          <w:p w14:paraId="1B330208" w14:textId="77777777" w:rsidR="00146EDB" w:rsidRPr="005D05D2" w:rsidRDefault="00146EDB" w:rsidP="00230367">
            <w:pPr>
              <w:tabs>
                <w:tab w:val="left" w:pos="1037"/>
              </w:tabs>
              <w:spacing w:after="0"/>
              <w:jc w:val="left"/>
              <w:rPr>
                <w:bCs/>
                <w:lang w:val="cs-CZ"/>
              </w:rPr>
            </w:pPr>
            <w:r w:rsidRPr="005D05D2">
              <w:rPr>
                <w:bCs/>
                <w:lang w:val="cs-CZ"/>
              </w:rPr>
              <w:t xml:space="preserve">3.11 Dopady na bezpečnost nebo obranu státu: </w:t>
            </w:r>
            <w:r w:rsidRPr="005D05D2">
              <w:rPr>
                <w:bCs/>
                <w:lang w:val="cs-CZ"/>
              </w:rPr>
              <w:fldChar w:fldCharType="begin">
                <w:ffData>
                  <w:name w:val=""/>
                  <w:enabled/>
                  <w:calcOnExit w:val="0"/>
                  <w:ddList>
                    <w:result w:val="2"/>
                    <w:listEntry w:val="Vyberte Ano / Ne"/>
                    <w:listEntry w:val="Ano"/>
                    <w:listEntry w:val="Ne"/>
                  </w:ddList>
                </w:ffData>
              </w:fldChar>
            </w:r>
            <w:r w:rsidRPr="005D05D2">
              <w:rPr>
                <w:bCs/>
                <w:lang w:val="cs-CZ"/>
              </w:rPr>
              <w:instrText xml:space="preserve"> FORMDROPDOWN </w:instrText>
            </w:r>
            <w:r w:rsidR="00816ED5">
              <w:rPr>
                <w:bCs/>
                <w:lang w:val="cs-CZ"/>
              </w:rPr>
            </w:r>
            <w:r w:rsidR="00816ED5">
              <w:rPr>
                <w:bCs/>
                <w:lang w:val="cs-CZ"/>
              </w:rPr>
              <w:fldChar w:fldCharType="separate"/>
            </w:r>
            <w:r w:rsidRPr="005D05D2">
              <w:rPr>
                <w:bCs/>
                <w:lang w:val="cs-CZ"/>
              </w:rPr>
              <w:fldChar w:fldCharType="end"/>
            </w:r>
          </w:p>
        </w:tc>
      </w:tr>
    </w:tbl>
    <w:sdt>
      <w:sdtPr>
        <w:rPr>
          <w:rFonts w:eastAsia="Calibri" w:cs="Times New Roman"/>
          <w:b w:val="0"/>
          <w:color w:val="auto"/>
          <w:sz w:val="24"/>
          <w:szCs w:val="22"/>
          <w:lang w:val="en-US" w:eastAsia="en-US"/>
        </w:rPr>
        <w:id w:val="-2110648792"/>
        <w:docPartObj>
          <w:docPartGallery w:val="Table of Contents"/>
          <w:docPartUnique/>
        </w:docPartObj>
      </w:sdtPr>
      <w:sdtEndPr>
        <w:rPr>
          <w:bCs/>
        </w:rPr>
      </w:sdtEndPr>
      <w:sdtContent>
        <w:p w14:paraId="2873BF30" w14:textId="29807BC8" w:rsidR="00230367" w:rsidRDefault="00230367" w:rsidP="009A766E">
          <w:pPr>
            <w:pStyle w:val="Nadpisobsahu"/>
          </w:pPr>
          <w:r>
            <w:t>Obsah</w:t>
          </w:r>
        </w:p>
        <w:p w14:paraId="4A21F8E3" w14:textId="6AE0D123" w:rsidR="00680DE4" w:rsidRDefault="00230367">
          <w:pPr>
            <w:pStyle w:val="Obsah1"/>
            <w:tabs>
              <w:tab w:val="left" w:pos="480"/>
              <w:tab w:val="right" w:leader="dot" w:pos="9062"/>
            </w:tabs>
            <w:rPr>
              <w:rFonts w:asciiTheme="minorHAnsi" w:eastAsiaTheme="minorEastAsia" w:hAnsiTheme="minorHAnsi" w:cstheme="minorBidi"/>
              <w:noProof/>
              <w:sz w:val="22"/>
              <w:lang w:val="cs-CZ" w:eastAsia="cs-CZ"/>
            </w:rPr>
          </w:pPr>
          <w:r>
            <w:fldChar w:fldCharType="begin"/>
          </w:r>
          <w:r>
            <w:instrText xml:space="preserve"> TOC \o "1-3" \h \z \u </w:instrText>
          </w:r>
          <w:r>
            <w:fldChar w:fldCharType="separate"/>
          </w:r>
          <w:hyperlink w:anchor="_Toc135651282" w:history="1">
            <w:r w:rsidR="00680DE4" w:rsidRPr="00A1363D">
              <w:rPr>
                <w:rStyle w:val="Hypertextovodkaz"/>
                <w:rFonts w:eastAsia="MS Mincho"/>
                <w:noProof/>
                <w:lang w:val="cs-CZ"/>
              </w:rPr>
              <w:t>1</w:t>
            </w:r>
            <w:r w:rsidR="00680DE4">
              <w:rPr>
                <w:rFonts w:asciiTheme="minorHAnsi" w:eastAsiaTheme="minorEastAsia" w:hAnsiTheme="minorHAnsi" w:cstheme="minorBidi"/>
                <w:noProof/>
                <w:sz w:val="22"/>
                <w:lang w:val="cs-CZ" w:eastAsia="cs-CZ"/>
              </w:rPr>
              <w:tab/>
            </w:r>
            <w:r w:rsidR="00680DE4" w:rsidRPr="00A1363D">
              <w:rPr>
                <w:rStyle w:val="Hypertextovodkaz"/>
                <w:rFonts w:eastAsia="MS Mincho"/>
                <w:noProof/>
                <w:lang w:val="cs-CZ"/>
              </w:rPr>
              <w:t>Důvod předložení a cíle</w:t>
            </w:r>
            <w:r w:rsidR="00680DE4">
              <w:rPr>
                <w:noProof/>
                <w:webHidden/>
              </w:rPr>
              <w:tab/>
            </w:r>
            <w:r w:rsidR="00680DE4">
              <w:rPr>
                <w:noProof/>
                <w:webHidden/>
              </w:rPr>
              <w:fldChar w:fldCharType="begin"/>
            </w:r>
            <w:r w:rsidR="00680DE4">
              <w:rPr>
                <w:noProof/>
                <w:webHidden/>
              </w:rPr>
              <w:instrText xml:space="preserve"> PAGEREF _Toc135651282 \h </w:instrText>
            </w:r>
            <w:r w:rsidR="00680DE4">
              <w:rPr>
                <w:noProof/>
                <w:webHidden/>
              </w:rPr>
            </w:r>
            <w:r w:rsidR="00680DE4">
              <w:rPr>
                <w:noProof/>
                <w:webHidden/>
              </w:rPr>
              <w:fldChar w:fldCharType="separate"/>
            </w:r>
            <w:r w:rsidR="00680DE4">
              <w:rPr>
                <w:noProof/>
                <w:webHidden/>
              </w:rPr>
              <w:t>4</w:t>
            </w:r>
            <w:r w:rsidR="00680DE4">
              <w:rPr>
                <w:noProof/>
                <w:webHidden/>
              </w:rPr>
              <w:fldChar w:fldCharType="end"/>
            </w:r>
          </w:hyperlink>
        </w:p>
        <w:p w14:paraId="1455EA8B" w14:textId="3DA6859C"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83" w:history="1">
            <w:r w:rsidRPr="00A1363D">
              <w:rPr>
                <w:rStyle w:val="Hypertextovodkaz"/>
                <w:rFonts w:eastAsia="MS Mincho"/>
                <w:noProof/>
                <w:lang w:val="cs-CZ"/>
              </w:rPr>
              <w:t>1.1</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Název</w:t>
            </w:r>
            <w:r>
              <w:rPr>
                <w:noProof/>
                <w:webHidden/>
              </w:rPr>
              <w:tab/>
            </w:r>
            <w:r>
              <w:rPr>
                <w:noProof/>
                <w:webHidden/>
              </w:rPr>
              <w:fldChar w:fldCharType="begin"/>
            </w:r>
            <w:r>
              <w:rPr>
                <w:noProof/>
                <w:webHidden/>
              </w:rPr>
              <w:instrText xml:space="preserve"> PAGEREF _Toc135651283 \h </w:instrText>
            </w:r>
            <w:r>
              <w:rPr>
                <w:noProof/>
                <w:webHidden/>
              </w:rPr>
            </w:r>
            <w:r>
              <w:rPr>
                <w:noProof/>
                <w:webHidden/>
              </w:rPr>
              <w:fldChar w:fldCharType="separate"/>
            </w:r>
            <w:r>
              <w:rPr>
                <w:noProof/>
                <w:webHidden/>
              </w:rPr>
              <w:t>4</w:t>
            </w:r>
            <w:r>
              <w:rPr>
                <w:noProof/>
                <w:webHidden/>
              </w:rPr>
              <w:fldChar w:fldCharType="end"/>
            </w:r>
          </w:hyperlink>
        </w:p>
        <w:p w14:paraId="3F139450" w14:textId="400406AA"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84" w:history="1">
            <w:r w:rsidRPr="00A1363D">
              <w:rPr>
                <w:rStyle w:val="Hypertextovodkaz"/>
                <w:rFonts w:eastAsia="MS Mincho"/>
                <w:noProof/>
                <w:lang w:val="cs-CZ"/>
              </w:rPr>
              <w:t>1.2</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Definice problému</w:t>
            </w:r>
            <w:r>
              <w:rPr>
                <w:noProof/>
                <w:webHidden/>
              </w:rPr>
              <w:tab/>
            </w:r>
            <w:r>
              <w:rPr>
                <w:noProof/>
                <w:webHidden/>
              </w:rPr>
              <w:fldChar w:fldCharType="begin"/>
            </w:r>
            <w:r>
              <w:rPr>
                <w:noProof/>
                <w:webHidden/>
              </w:rPr>
              <w:instrText xml:space="preserve"> PAGEREF _Toc135651284 \h </w:instrText>
            </w:r>
            <w:r>
              <w:rPr>
                <w:noProof/>
                <w:webHidden/>
              </w:rPr>
            </w:r>
            <w:r>
              <w:rPr>
                <w:noProof/>
                <w:webHidden/>
              </w:rPr>
              <w:fldChar w:fldCharType="separate"/>
            </w:r>
            <w:r>
              <w:rPr>
                <w:noProof/>
                <w:webHidden/>
              </w:rPr>
              <w:t>4</w:t>
            </w:r>
            <w:r>
              <w:rPr>
                <w:noProof/>
                <w:webHidden/>
              </w:rPr>
              <w:fldChar w:fldCharType="end"/>
            </w:r>
          </w:hyperlink>
        </w:p>
        <w:p w14:paraId="6D2D9548" w14:textId="397C9EDB"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85" w:history="1">
            <w:r w:rsidRPr="00A1363D">
              <w:rPr>
                <w:rStyle w:val="Hypertextovodkaz"/>
                <w:rFonts w:eastAsia="MS Mincho"/>
                <w:noProof/>
                <w:lang w:val="cs-CZ"/>
              </w:rPr>
              <w:t>1.3</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Popis existujícího právního stavu v dané oblasti</w:t>
            </w:r>
            <w:r>
              <w:rPr>
                <w:noProof/>
                <w:webHidden/>
              </w:rPr>
              <w:tab/>
            </w:r>
            <w:r>
              <w:rPr>
                <w:noProof/>
                <w:webHidden/>
              </w:rPr>
              <w:fldChar w:fldCharType="begin"/>
            </w:r>
            <w:r>
              <w:rPr>
                <w:noProof/>
                <w:webHidden/>
              </w:rPr>
              <w:instrText xml:space="preserve"> PAGEREF _Toc135651285 \h </w:instrText>
            </w:r>
            <w:r>
              <w:rPr>
                <w:noProof/>
                <w:webHidden/>
              </w:rPr>
            </w:r>
            <w:r>
              <w:rPr>
                <w:noProof/>
                <w:webHidden/>
              </w:rPr>
              <w:fldChar w:fldCharType="separate"/>
            </w:r>
            <w:r>
              <w:rPr>
                <w:noProof/>
                <w:webHidden/>
              </w:rPr>
              <w:t>6</w:t>
            </w:r>
            <w:r>
              <w:rPr>
                <w:noProof/>
                <w:webHidden/>
              </w:rPr>
              <w:fldChar w:fldCharType="end"/>
            </w:r>
          </w:hyperlink>
        </w:p>
        <w:p w14:paraId="08C4CB4B" w14:textId="3276CDBD"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86" w:history="1">
            <w:r w:rsidRPr="00A1363D">
              <w:rPr>
                <w:rStyle w:val="Hypertextovodkaz"/>
                <w:rFonts w:eastAsia="MS Mincho"/>
                <w:noProof/>
                <w:lang w:val="cs-CZ"/>
              </w:rPr>
              <w:t>1.4</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Identifikace dotčených subjektů</w:t>
            </w:r>
            <w:r>
              <w:rPr>
                <w:noProof/>
                <w:webHidden/>
              </w:rPr>
              <w:tab/>
            </w:r>
            <w:r>
              <w:rPr>
                <w:noProof/>
                <w:webHidden/>
              </w:rPr>
              <w:fldChar w:fldCharType="begin"/>
            </w:r>
            <w:r>
              <w:rPr>
                <w:noProof/>
                <w:webHidden/>
              </w:rPr>
              <w:instrText xml:space="preserve"> PAGEREF _Toc135651286 \h </w:instrText>
            </w:r>
            <w:r>
              <w:rPr>
                <w:noProof/>
                <w:webHidden/>
              </w:rPr>
            </w:r>
            <w:r>
              <w:rPr>
                <w:noProof/>
                <w:webHidden/>
              </w:rPr>
              <w:fldChar w:fldCharType="separate"/>
            </w:r>
            <w:r>
              <w:rPr>
                <w:noProof/>
                <w:webHidden/>
              </w:rPr>
              <w:t>8</w:t>
            </w:r>
            <w:r>
              <w:rPr>
                <w:noProof/>
                <w:webHidden/>
              </w:rPr>
              <w:fldChar w:fldCharType="end"/>
            </w:r>
          </w:hyperlink>
        </w:p>
        <w:p w14:paraId="00B7B186" w14:textId="27E538FB" w:rsidR="00680DE4" w:rsidRDefault="00680DE4">
          <w:pPr>
            <w:pStyle w:val="Obsah3"/>
            <w:tabs>
              <w:tab w:val="left" w:pos="1320"/>
              <w:tab w:val="right" w:leader="dot" w:pos="9062"/>
            </w:tabs>
            <w:rPr>
              <w:rFonts w:asciiTheme="minorHAnsi" w:eastAsiaTheme="minorEastAsia" w:hAnsiTheme="minorHAnsi" w:cstheme="minorBidi"/>
              <w:noProof/>
              <w:sz w:val="22"/>
              <w:lang w:val="cs-CZ" w:eastAsia="cs-CZ"/>
            </w:rPr>
          </w:pPr>
          <w:hyperlink w:anchor="_Toc135651287" w:history="1">
            <w:r w:rsidRPr="00A1363D">
              <w:rPr>
                <w:rStyle w:val="Hypertextovodkaz"/>
                <w:rFonts w:eastAsia="MS Mincho"/>
                <w:noProof/>
                <w:lang w:val="cs-CZ"/>
              </w:rPr>
              <w:t>1.4.1</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Stát, resp. sektor vládních institucí</w:t>
            </w:r>
            <w:r>
              <w:rPr>
                <w:noProof/>
                <w:webHidden/>
              </w:rPr>
              <w:tab/>
            </w:r>
            <w:r>
              <w:rPr>
                <w:noProof/>
                <w:webHidden/>
              </w:rPr>
              <w:fldChar w:fldCharType="begin"/>
            </w:r>
            <w:r>
              <w:rPr>
                <w:noProof/>
                <w:webHidden/>
              </w:rPr>
              <w:instrText xml:space="preserve"> PAGEREF _Toc135651287 \h </w:instrText>
            </w:r>
            <w:r>
              <w:rPr>
                <w:noProof/>
                <w:webHidden/>
              </w:rPr>
            </w:r>
            <w:r>
              <w:rPr>
                <w:noProof/>
                <w:webHidden/>
              </w:rPr>
              <w:fldChar w:fldCharType="separate"/>
            </w:r>
            <w:r>
              <w:rPr>
                <w:noProof/>
                <w:webHidden/>
              </w:rPr>
              <w:t>8</w:t>
            </w:r>
            <w:r>
              <w:rPr>
                <w:noProof/>
                <w:webHidden/>
              </w:rPr>
              <w:fldChar w:fldCharType="end"/>
            </w:r>
          </w:hyperlink>
        </w:p>
        <w:p w14:paraId="22221AC7" w14:textId="2521C319" w:rsidR="00680DE4" w:rsidRDefault="00680DE4">
          <w:pPr>
            <w:pStyle w:val="Obsah3"/>
            <w:tabs>
              <w:tab w:val="left" w:pos="1320"/>
              <w:tab w:val="right" w:leader="dot" w:pos="9062"/>
            </w:tabs>
            <w:rPr>
              <w:rFonts w:asciiTheme="minorHAnsi" w:eastAsiaTheme="minorEastAsia" w:hAnsiTheme="minorHAnsi" w:cstheme="minorBidi"/>
              <w:noProof/>
              <w:sz w:val="22"/>
              <w:lang w:val="cs-CZ" w:eastAsia="cs-CZ"/>
            </w:rPr>
          </w:pPr>
          <w:hyperlink w:anchor="_Toc135651288" w:history="1">
            <w:r w:rsidRPr="00A1363D">
              <w:rPr>
                <w:rStyle w:val="Hypertextovodkaz"/>
                <w:rFonts w:eastAsia="MS Mincho"/>
                <w:noProof/>
                <w:lang w:val="cs-CZ"/>
              </w:rPr>
              <w:t>1.4.2</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Domácnosti</w:t>
            </w:r>
            <w:r>
              <w:rPr>
                <w:noProof/>
                <w:webHidden/>
              </w:rPr>
              <w:tab/>
            </w:r>
            <w:r>
              <w:rPr>
                <w:noProof/>
                <w:webHidden/>
              </w:rPr>
              <w:fldChar w:fldCharType="begin"/>
            </w:r>
            <w:r>
              <w:rPr>
                <w:noProof/>
                <w:webHidden/>
              </w:rPr>
              <w:instrText xml:space="preserve"> PAGEREF _Toc135651288 \h </w:instrText>
            </w:r>
            <w:r>
              <w:rPr>
                <w:noProof/>
                <w:webHidden/>
              </w:rPr>
            </w:r>
            <w:r>
              <w:rPr>
                <w:noProof/>
                <w:webHidden/>
              </w:rPr>
              <w:fldChar w:fldCharType="separate"/>
            </w:r>
            <w:r>
              <w:rPr>
                <w:noProof/>
                <w:webHidden/>
              </w:rPr>
              <w:t>8</w:t>
            </w:r>
            <w:r>
              <w:rPr>
                <w:noProof/>
                <w:webHidden/>
              </w:rPr>
              <w:fldChar w:fldCharType="end"/>
            </w:r>
          </w:hyperlink>
        </w:p>
        <w:p w14:paraId="116A0782" w14:textId="102FB4D7" w:rsidR="00680DE4" w:rsidRDefault="00680DE4">
          <w:pPr>
            <w:pStyle w:val="Obsah3"/>
            <w:tabs>
              <w:tab w:val="left" w:pos="1320"/>
              <w:tab w:val="right" w:leader="dot" w:pos="9062"/>
            </w:tabs>
            <w:rPr>
              <w:rFonts w:asciiTheme="minorHAnsi" w:eastAsiaTheme="minorEastAsia" w:hAnsiTheme="minorHAnsi" w:cstheme="minorBidi"/>
              <w:noProof/>
              <w:sz w:val="22"/>
              <w:lang w:val="cs-CZ" w:eastAsia="cs-CZ"/>
            </w:rPr>
          </w:pPr>
          <w:hyperlink w:anchor="_Toc135651289" w:history="1">
            <w:r w:rsidRPr="00A1363D">
              <w:rPr>
                <w:rStyle w:val="Hypertextovodkaz"/>
                <w:rFonts w:eastAsia="MS Mincho"/>
                <w:noProof/>
                <w:lang w:val="cs-CZ"/>
              </w:rPr>
              <w:t>1.4.3</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Firmy</w:t>
            </w:r>
            <w:r>
              <w:rPr>
                <w:noProof/>
                <w:webHidden/>
              </w:rPr>
              <w:tab/>
            </w:r>
            <w:r>
              <w:rPr>
                <w:noProof/>
                <w:webHidden/>
              </w:rPr>
              <w:fldChar w:fldCharType="begin"/>
            </w:r>
            <w:r>
              <w:rPr>
                <w:noProof/>
                <w:webHidden/>
              </w:rPr>
              <w:instrText xml:space="preserve"> PAGEREF _Toc135651289 \h </w:instrText>
            </w:r>
            <w:r>
              <w:rPr>
                <w:noProof/>
                <w:webHidden/>
              </w:rPr>
            </w:r>
            <w:r>
              <w:rPr>
                <w:noProof/>
                <w:webHidden/>
              </w:rPr>
              <w:fldChar w:fldCharType="separate"/>
            </w:r>
            <w:r>
              <w:rPr>
                <w:noProof/>
                <w:webHidden/>
              </w:rPr>
              <w:t>9</w:t>
            </w:r>
            <w:r>
              <w:rPr>
                <w:noProof/>
                <w:webHidden/>
              </w:rPr>
              <w:fldChar w:fldCharType="end"/>
            </w:r>
          </w:hyperlink>
        </w:p>
        <w:p w14:paraId="2BAEC295" w14:textId="5CFE4E0A"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90" w:history="1">
            <w:r w:rsidRPr="00A1363D">
              <w:rPr>
                <w:rStyle w:val="Hypertextovodkaz"/>
                <w:rFonts w:eastAsia="MS Mincho"/>
                <w:noProof/>
                <w:lang w:val="cs-CZ"/>
              </w:rPr>
              <w:t>1.5</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Popis cílového stavu</w:t>
            </w:r>
            <w:r>
              <w:rPr>
                <w:noProof/>
                <w:webHidden/>
              </w:rPr>
              <w:tab/>
            </w:r>
            <w:r>
              <w:rPr>
                <w:noProof/>
                <w:webHidden/>
              </w:rPr>
              <w:fldChar w:fldCharType="begin"/>
            </w:r>
            <w:r>
              <w:rPr>
                <w:noProof/>
                <w:webHidden/>
              </w:rPr>
              <w:instrText xml:space="preserve"> PAGEREF _Toc135651290 \h </w:instrText>
            </w:r>
            <w:r>
              <w:rPr>
                <w:noProof/>
                <w:webHidden/>
              </w:rPr>
            </w:r>
            <w:r>
              <w:rPr>
                <w:noProof/>
                <w:webHidden/>
              </w:rPr>
              <w:fldChar w:fldCharType="separate"/>
            </w:r>
            <w:r>
              <w:rPr>
                <w:noProof/>
                <w:webHidden/>
              </w:rPr>
              <w:t>10</w:t>
            </w:r>
            <w:r>
              <w:rPr>
                <w:noProof/>
                <w:webHidden/>
              </w:rPr>
              <w:fldChar w:fldCharType="end"/>
            </w:r>
          </w:hyperlink>
        </w:p>
        <w:p w14:paraId="6A6BA0BC" w14:textId="4B7A4CAF"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91" w:history="1">
            <w:r w:rsidRPr="00A1363D">
              <w:rPr>
                <w:rStyle w:val="Hypertextovodkaz"/>
                <w:rFonts w:eastAsia="MS Mincho"/>
                <w:noProof/>
                <w:lang w:val="cs-CZ"/>
              </w:rPr>
              <w:t>1.6</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Zhodnocení rizika</w:t>
            </w:r>
            <w:r>
              <w:rPr>
                <w:noProof/>
                <w:webHidden/>
              </w:rPr>
              <w:tab/>
            </w:r>
            <w:r>
              <w:rPr>
                <w:noProof/>
                <w:webHidden/>
              </w:rPr>
              <w:fldChar w:fldCharType="begin"/>
            </w:r>
            <w:r>
              <w:rPr>
                <w:noProof/>
                <w:webHidden/>
              </w:rPr>
              <w:instrText xml:space="preserve"> PAGEREF _Toc135651291 \h </w:instrText>
            </w:r>
            <w:r>
              <w:rPr>
                <w:noProof/>
                <w:webHidden/>
              </w:rPr>
            </w:r>
            <w:r>
              <w:rPr>
                <w:noProof/>
                <w:webHidden/>
              </w:rPr>
              <w:fldChar w:fldCharType="separate"/>
            </w:r>
            <w:r>
              <w:rPr>
                <w:noProof/>
                <w:webHidden/>
              </w:rPr>
              <w:t>12</w:t>
            </w:r>
            <w:r>
              <w:rPr>
                <w:noProof/>
                <w:webHidden/>
              </w:rPr>
              <w:fldChar w:fldCharType="end"/>
            </w:r>
          </w:hyperlink>
        </w:p>
        <w:p w14:paraId="3E02433F" w14:textId="490EED7D"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292" w:history="1">
            <w:r w:rsidRPr="00A1363D">
              <w:rPr>
                <w:rStyle w:val="Hypertextovodkaz"/>
                <w:rFonts w:eastAsia="MS Mincho"/>
                <w:noProof/>
                <w:lang w:val="cs-CZ"/>
              </w:rPr>
              <w:t>2</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Návrh variant řešení</w:t>
            </w:r>
            <w:r>
              <w:rPr>
                <w:noProof/>
                <w:webHidden/>
              </w:rPr>
              <w:tab/>
            </w:r>
            <w:r>
              <w:rPr>
                <w:noProof/>
                <w:webHidden/>
              </w:rPr>
              <w:fldChar w:fldCharType="begin"/>
            </w:r>
            <w:r>
              <w:rPr>
                <w:noProof/>
                <w:webHidden/>
              </w:rPr>
              <w:instrText xml:space="preserve"> PAGEREF _Toc135651292 \h </w:instrText>
            </w:r>
            <w:r>
              <w:rPr>
                <w:noProof/>
                <w:webHidden/>
              </w:rPr>
            </w:r>
            <w:r>
              <w:rPr>
                <w:noProof/>
                <w:webHidden/>
              </w:rPr>
              <w:fldChar w:fldCharType="separate"/>
            </w:r>
            <w:r>
              <w:rPr>
                <w:noProof/>
                <w:webHidden/>
              </w:rPr>
              <w:t>12</w:t>
            </w:r>
            <w:r>
              <w:rPr>
                <w:noProof/>
                <w:webHidden/>
              </w:rPr>
              <w:fldChar w:fldCharType="end"/>
            </w:r>
          </w:hyperlink>
        </w:p>
        <w:p w14:paraId="77DA9C1A" w14:textId="35D08A08"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293" w:history="1">
            <w:r w:rsidRPr="00A1363D">
              <w:rPr>
                <w:rStyle w:val="Hypertextovodkaz"/>
                <w:caps/>
                <w:noProof/>
              </w:rPr>
              <w:t>3</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Vyhodnocení nákladů a přínosů</w:t>
            </w:r>
            <w:r>
              <w:rPr>
                <w:noProof/>
                <w:webHidden/>
              </w:rPr>
              <w:tab/>
            </w:r>
            <w:r>
              <w:rPr>
                <w:noProof/>
                <w:webHidden/>
              </w:rPr>
              <w:fldChar w:fldCharType="begin"/>
            </w:r>
            <w:r>
              <w:rPr>
                <w:noProof/>
                <w:webHidden/>
              </w:rPr>
              <w:instrText xml:space="preserve"> PAGEREF _Toc135651293 \h </w:instrText>
            </w:r>
            <w:r>
              <w:rPr>
                <w:noProof/>
                <w:webHidden/>
              </w:rPr>
            </w:r>
            <w:r>
              <w:rPr>
                <w:noProof/>
                <w:webHidden/>
              </w:rPr>
              <w:fldChar w:fldCharType="separate"/>
            </w:r>
            <w:r>
              <w:rPr>
                <w:noProof/>
                <w:webHidden/>
              </w:rPr>
              <w:t>13</w:t>
            </w:r>
            <w:r>
              <w:rPr>
                <w:noProof/>
                <w:webHidden/>
              </w:rPr>
              <w:fldChar w:fldCharType="end"/>
            </w:r>
          </w:hyperlink>
        </w:p>
        <w:p w14:paraId="18A397F2" w14:textId="7E108D38"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94" w:history="1">
            <w:r w:rsidRPr="00A1363D">
              <w:rPr>
                <w:rStyle w:val="Hypertextovodkaz"/>
                <w:rFonts w:eastAsia="MS Mincho"/>
                <w:noProof/>
                <w:lang w:val="cs-CZ"/>
              </w:rPr>
              <w:t>3.1</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Identifikace nákladů a přínosů</w:t>
            </w:r>
            <w:r>
              <w:rPr>
                <w:noProof/>
                <w:webHidden/>
              </w:rPr>
              <w:tab/>
            </w:r>
            <w:r>
              <w:rPr>
                <w:noProof/>
                <w:webHidden/>
              </w:rPr>
              <w:fldChar w:fldCharType="begin"/>
            </w:r>
            <w:r>
              <w:rPr>
                <w:noProof/>
                <w:webHidden/>
              </w:rPr>
              <w:instrText xml:space="preserve"> PAGEREF _Toc135651294 \h </w:instrText>
            </w:r>
            <w:r>
              <w:rPr>
                <w:noProof/>
                <w:webHidden/>
              </w:rPr>
            </w:r>
            <w:r>
              <w:rPr>
                <w:noProof/>
                <w:webHidden/>
              </w:rPr>
              <w:fldChar w:fldCharType="separate"/>
            </w:r>
            <w:r>
              <w:rPr>
                <w:noProof/>
                <w:webHidden/>
              </w:rPr>
              <w:t>13</w:t>
            </w:r>
            <w:r>
              <w:rPr>
                <w:noProof/>
                <w:webHidden/>
              </w:rPr>
              <w:fldChar w:fldCharType="end"/>
            </w:r>
          </w:hyperlink>
        </w:p>
        <w:p w14:paraId="5708D430" w14:textId="1B5651E8"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95" w:history="1">
            <w:r w:rsidRPr="00A1363D">
              <w:rPr>
                <w:rStyle w:val="Hypertextovodkaz"/>
                <w:rFonts w:eastAsia="MS Mincho"/>
                <w:noProof/>
                <w:lang w:val="cs-CZ"/>
              </w:rPr>
              <w:t>3.2</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Náklady</w:t>
            </w:r>
            <w:r>
              <w:rPr>
                <w:noProof/>
                <w:webHidden/>
              </w:rPr>
              <w:tab/>
            </w:r>
            <w:r>
              <w:rPr>
                <w:noProof/>
                <w:webHidden/>
              </w:rPr>
              <w:fldChar w:fldCharType="begin"/>
            </w:r>
            <w:r>
              <w:rPr>
                <w:noProof/>
                <w:webHidden/>
              </w:rPr>
              <w:instrText xml:space="preserve"> PAGEREF _Toc135651295 \h </w:instrText>
            </w:r>
            <w:r>
              <w:rPr>
                <w:noProof/>
                <w:webHidden/>
              </w:rPr>
            </w:r>
            <w:r>
              <w:rPr>
                <w:noProof/>
                <w:webHidden/>
              </w:rPr>
              <w:fldChar w:fldCharType="separate"/>
            </w:r>
            <w:r>
              <w:rPr>
                <w:noProof/>
                <w:webHidden/>
              </w:rPr>
              <w:t>13</w:t>
            </w:r>
            <w:r>
              <w:rPr>
                <w:noProof/>
                <w:webHidden/>
              </w:rPr>
              <w:fldChar w:fldCharType="end"/>
            </w:r>
          </w:hyperlink>
        </w:p>
        <w:p w14:paraId="08C114E6" w14:textId="14A6810B"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96" w:history="1">
            <w:r w:rsidRPr="00A1363D">
              <w:rPr>
                <w:rStyle w:val="Hypertextovodkaz"/>
                <w:rFonts w:eastAsia="MS Mincho"/>
                <w:noProof/>
                <w:lang w:val="cs-CZ"/>
              </w:rPr>
              <w:t>3.3</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Přínosy</w:t>
            </w:r>
            <w:r>
              <w:rPr>
                <w:noProof/>
                <w:webHidden/>
              </w:rPr>
              <w:tab/>
            </w:r>
            <w:r>
              <w:rPr>
                <w:noProof/>
                <w:webHidden/>
              </w:rPr>
              <w:fldChar w:fldCharType="begin"/>
            </w:r>
            <w:r>
              <w:rPr>
                <w:noProof/>
                <w:webHidden/>
              </w:rPr>
              <w:instrText xml:space="preserve"> PAGEREF _Toc135651296 \h </w:instrText>
            </w:r>
            <w:r>
              <w:rPr>
                <w:noProof/>
                <w:webHidden/>
              </w:rPr>
            </w:r>
            <w:r>
              <w:rPr>
                <w:noProof/>
                <w:webHidden/>
              </w:rPr>
              <w:fldChar w:fldCharType="separate"/>
            </w:r>
            <w:r>
              <w:rPr>
                <w:noProof/>
                <w:webHidden/>
              </w:rPr>
              <w:t>14</w:t>
            </w:r>
            <w:r>
              <w:rPr>
                <w:noProof/>
                <w:webHidden/>
              </w:rPr>
              <w:fldChar w:fldCharType="end"/>
            </w:r>
          </w:hyperlink>
        </w:p>
        <w:p w14:paraId="724B7EC3" w14:textId="15D7C00C" w:rsidR="00680DE4" w:rsidRDefault="00680DE4">
          <w:pPr>
            <w:pStyle w:val="Obsah2"/>
            <w:tabs>
              <w:tab w:val="left" w:pos="880"/>
              <w:tab w:val="right" w:leader="dot" w:pos="9062"/>
            </w:tabs>
            <w:rPr>
              <w:rFonts w:asciiTheme="minorHAnsi" w:eastAsiaTheme="minorEastAsia" w:hAnsiTheme="minorHAnsi" w:cstheme="minorBidi"/>
              <w:noProof/>
              <w:sz w:val="22"/>
              <w:lang w:val="cs-CZ" w:eastAsia="cs-CZ"/>
            </w:rPr>
          </w:pPr>
          <w:hyperlink w:anchor="_Toc135651297" w:history="1">
            <w:r w:rsidRPr="00A1363D">
              <w:rPr>
                <w:rStyle w:val="Hypertextovodkaz"/>
                <w:rFonts w:eastAsia="MS Mincho"/>
                <w:noProof/>
                <w:lang w:val="cs-CZ"/>
              </w:rPr>
              <w:t>3.4</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Vyhodnocení nákladů a přínosů variant</w:t>
            </w:r>
            <w:r>
              <w:rPr>
                <w:noProof/>
                <w:webHidden/>
              </w:rPr>
              <w:tab/>
            </w:r>
            <w:r>
              <w:rPr>
                <w:noProof/>
                <w:webHidden/>
              </w:rPr>
              <w:fldChar w:fldCharType="begin"/>
            </w:r>
            <w:r>
              <w:rPr>
                <w:noProof/>
                <w:webHidden/>
              </w:rPr>
              <w:instrText xml:space="preserve"> PAGEREF _Toc135651297 \h </w:instrText>
            </w:r>
            <w:r>
              <w:rPr>
                <w:noProof/>
                <w:webHidden/>
              </w:rPr>
            </w:r>
            <w:r>
              <w:rPr>
                <w:noProof/>
                <w:webHidden/>
              </w:rPr>
              <w:fldChar w:fldCharType="separate"/>
            </w:r>
            <w:r>
              <w:rPr>
                <w:noProof/>
                <w:webHidden/>
              </w:rPr>
              <w:t>14</w:t>
            </w:r>
            <w:r>
              <w:rPr>
                <w:noProof/>
                <w:webHidden/>
              </w:rPr>
              <w:fldChar w:fldCharType="end"/>
            </w:r>
          </w:hyperlink>
        </w:p>
        <w:p w14:paraId="554AFC6B" w14:textId="4B9B82AB"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298" w:history="1">
            <w:r w:rsidRPr="00A1363D">
              <w:rPr>
                <w:rStyle w:val="Hypertextovodkaz"/>
                <w:rFonts w:eastAsia="MS Mincho"/>
                <w:noProof/>
                <w:lang w:val="cs-CZ"/>
              </w:rPr>
              <w:t>4</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Stanovení pořadí variant a výběr nejvhodnějšího řešení</w:t>
            </w:r>
            <w:r>
              <w:rPr>
                <w:noProof/>
                <w:webHidden/>
              </w:rPr>
              <w:tab/>
            </w:r>
            <w:r>
              <w:rPr>
                <w:noProof/>
                <w:webHidden/>
              </w:rPr>
              <w:fldChar w:fldCharType="begin"/>
            </w:r>
            <w:r>
              <w:rPr>
                <w:noProof/>
                <w:webHidden/>
              </w:rPr>
              <w:instrText xml:space="preserve"> PAGEREF _Toc135651298 \h </w:instrText>
            </w:r>
            <w:r>
              <w:rPr>
                <w:noProof/>
                <w:webHidden/>
              </w:rPr>
            </w:r>
            <w:r>
              <w:rPr>
                <w:noProof/>
                <w:webHidden/>
              </w:rPr>
              <w:fldChar w:fldCharType="separate"/>
            </w:r>
            <w:r>
              <w:rPr>
                <w:noProof/>
                <w:webHidden/>
              </w:rPr>
              <w:t>15</w:t>
            </w:r>
            <w:r>
              <w:rPr>
                <w:noProof/>
                <w:webHidden/>
              </w:rPr>
              <w:fldChar w:fldCharType="end"/>
            </w:r>
          </w:hyperlink>
        </w:p>
        <w:p w14:paraId="38C27F32" w14:textId="41F10F27"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299" w:history="1">
            <w:r w:rsidRPr="00A1363D">
              <w:rPr>
                <w:rStyle w:val="Hypertextovodkaz"/>
                <w:rFonts w:eastAsia="MS Mincho"/>
                <w:noProof/>
                <w:lang w:val="cs-CZ"/>
              </w:rPr>
              <w:t>5</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Implementace doporučené varianty a vynucování</w:t>
            </w:r>
            <w:r>
              <w:rPr>
                <w:noProof/>
                <w:webHidden/>
              </w:rPr>
              <w:tab/>
            </w:r>
            <w:r>
              <w:rPr>
                <w:noProof/>
                <w:webHidden/>
              </w:rPr>
              <w:fldChar w:fldCharType="begin"/>
            </w:r>
            <w:r>
              <w:rPr>
                <w:noProof/>
                <w:webHidden/>
              </w:rPr>
              <w:instrText xml:space="preserve"> PAGEREF _Toc135651299 \h </w:instrText>
            </w:r>
            <w:r>
              <w:rPr>
                <w:noProof/>
                <w:webHidden/>
              </w:rPr>
            </w:r>
            <w:r>
              <w:rPr>
                <w:noProof/>
                <w:webHidden/>
              </w:rPr>
              <w:fldChar w:fldCharType="separate"/>
            </w:r>
            <w:r>
              <w:rPr>
                <w:noProof/>
                <w:webHidden/>
              </w:rPr>
              <w:t>16</w:t>
            </w:r>
            <w:r>
              <w:rPr>
                <w:noProof/>
                <w:webHidden/>
              </w:rPr>
              <w:fldChar w:fldCharType="end"/>
            </w:r>
          </w:hyperlink>
        </w:p>
        <w:p w14:paraId="18967157" w14:textId="14D7ED63"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300" w:history="1">
            <w:r w:rsidRPr="00A1363D">
              <w:rPr>
                <w:rStyle w:val="Hypertextovodkaz"/>
                <w:rFonts w:eastAsia="MS Mincho"/>
                <w:noProof/>
                <w:lang w:val="cs-CZ"/>
              </w:rPr>
              <w:t>6</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Přezkum účinnosti regulace</w:t>
            </w:r>
            <w:r>
              <w:rPr>
                <w:noProof/>
                <w:webHidden/>
              </w:rPr>
              <w:tab/>
            </w:r>
            <w:r>
              <w:rPr>
                <w:noProof/>
                <w:webHidden/>
              </w:rPr>
              <w:fldChar w:fldCharType="begin"/>
            </w:r>
            <w:r>
              <w:rPr>
                <w:noProof/>
                <w:webHidden/>
              </w:rPr>
              <w:instrText xml:space="preserve"> PAGEREF _Toc135651300 \h </w:instrText>
            </w:r>
            <w:r>
              <w:rPr>
                <w:noProof/>
                <w:webHidden/>
              </w:rPr>
            </w:r>
            <w:r>
              <w:rPr>
                <w:noProof/>
                <w:webHidden/>
              </w:rPr>
              <w:fldChar w:fldCharType="separate"/>
            </w:r>
            <w:r>
              <w:rPr>
                <w:noProof/>
                <w:webHidden/>
              </w:rPr>
              <w:t>16</w:t>
            </w:r>
            <w:r>
              <w:rPr>
                <w:noProof/>
                <w:webHidden/>
              </w:rPr>
              <w:fldChar w:fldCharType="end"/>
            </w:r>
          </w:hyperlink>
        </w:p>
        <w:p w14:paraId="5E86D7B7" w14:textId="7BA51AE9"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301" w:history="1">
            <w:r w:rsidRPr="00A1363D">
              <w:rPr>
                <w:rStyle w:val="Hypertextovodkaz"/>
                <w:rFonts w:eastAsia="MS Mincho"/>
                <w:noProof/>
                <w:lang w:val="cs-CZ"/>
              </w:rPr>
              <w:t>7</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Konzultace a zdroje dat</w:t>
            </w:r>
            <w:r>
              <w:rPr>
                <w:noProof/>
                <w:webHidden/>
              </w:rPr>
              <w:tab/>
            </w:r>
            <w:r>
              <w:rPr>
                <w:noProof/>
                <w:webHidden/>
              </w:rPr>
              <w:fldChar w:fldCharType="begin"/>
            </w:r>
            <w:r>
              <w:rPr>
                <w:noProof/>
                <w:webHidden/>
              </w:rPr>
              <w:instrText xml:space="preserve"> PAGEREF _Toc135651301 \h </w:instrText>
            </w:r>
            <w:r>
              <w:rPr>
                <w:noProof/>
                <w:webHidden/>
              </w:rPr>
            </w:r>
            <w:r>
              <w:rPr>
                <w:noProof/>
                <w:webHidden/>
              </w:rPr>
              <w:fldChar w:fldCharType="separate"/>
            </w:r>
            <w:r>
              <w:rPr>
                <w:noProof/>
                <w:webHidden/>
              </w:rPr>
              <w:t>16</w:t>
            </w:r>
            <w:r>
              <w:rPr>
                <w:noProof/>
                <w:webHidden/>
              </w:rPr>
              <w:fldChar w:fldCharType="end"/>
            </w:r>
          </w:hyperlink>
        </w:p>
        <w:p w14:paraId="760E81C3" w14:textId="6FC89EF6" w:rsidR="00680DE4" w:rsidRDefault="00680DE4">
          <w:pPr>
            <w:pStyle w:val="Obsah1"/>
            <w:tabs>
              <w:tab w:val="left" w:pos="480"/>
              <w:tab w:val="right" w:leader="dot" w:pos="9062"/>
            </w:tabs>
            <w:rPr>
              <w:rFonts w:asciiTheme="minorHAnsi" w:eastAsiaTheme="minorEastAsia" w:hAnsiTheme="minorHAnsi" w:cstheme="minorBidi"/>
              <w:noProof/>
              <w:sz w:val="22"/>
              <w:lang w:val="cs-CZ" w:eastAsia="cs-CZ"/>
            </w:rPr>
          </w:pPr>
          <w:hyperlink w:anchor="_Toc135651302" w:history="1">
            <w:r w:rsidRPr="00A1363D">
              <w:rPr>
                <w:rStyle w:val="Hypertextovodkaz"/>
                <w:rFonts w:eastAsia="MS Mincho"/>
                <w:noProof/>
                <w:lang w:val="cs-CZ"/>
              </w:rPr>
              <w:t>8</w:t>
            </w:r>
            <w:r>
              <w:rPr>
                <w:rFonts w:asciiTheme="minorHAnsi" w:eastAsiaTheme="minorEastAsia" w:hAnsiTheme="minorHAnsi" w:cstheme="minorBidi"/>
                <w:noProof/>
                <w:sz w:val="22"/>
                <w:lang w:val="cs-CZ" w:eastAsia="cs-CZ"/>
              </w:rPr>
              <w:tab/>
            </w:r>
            <w:r w:rsidRPr="00A1363D">
              <w:rPr>
                <w:rStyle w:val="Hypertextovodkaz"/>
                <w:rFonts w:eastAsia="MS Mincho"/>
                <w:noProof/>
                <w:lang w:val="cs-CZ"/>
              </w:rPr>
              <w:t>Kontakt na zpracovatele RIA</w:t>
            </w:r>
            <w:r>
              <w:rPr>
                <w:noProof/>
                <w:webHidden/>
              </w:rPr>
              <w:tab/>
            </w:r>
            <w:r>
              <w:rPr>
                <w:noProof/>
                <w:webHidden/>
              </w:rPr>
              <w:fldChar w:fldCharType="begin"/>
            </w:r>
            <w:r>
              <w:rPr>
                <w:noProof/>
                <w:webHidden/>
              </w:rPr>
              <w:instrText xml:space="preserve"> PAGEREF _Toc135651302 \h </w:instrText>
            </w:r>
            <w:r>
              <w:rPr>
                <w:noProof/>
                <w:webHidden/>
              </w:rPr>
            </w:r>
            <w:r>
              <w:rPr>
                <w:noProof/>
                <w:webHidden/>
              </w:rPr>
              <w:fldChar w:fldCharType="separate"/>
            </w:r>
            <w:r>
              <w:rPr>
                <w:noProof/>
                <w:webHidden/>
              </w:rPr>
              <w:t>29</w:t>
            </w:r>
            <w:r>
              <w:rPr>
                <w:noProof/>
                <w:webHidden/>
              </w:rPr>
              <w:fldChar w:fldCharType="end"/>
            </w:r>
          </w:hyperlink>
        </w:p>
        <w:p w14:paraId="7B7A5420" w14:textId="18EEFB36" w:rsidR="00230367" w:rsidRDefault="00230367">
          <w:r>
            <w:rPr>
              <w:b/>
              <w:bCs/>
            </w:rPr>
            <w:fldChar w:fldCharType="end"/>
          </w:r>
        </w:p>
      </w:sdtContent>
    </w:sdt>
    <w:p w14:paraId="1FE42357" w14:textId="337FB817" w:rsidR="00245CC7" w:rsidRPr="00096052" w:rsidRDefault="00245CC7" w:rsidP="009A766E">
      <w:pPr>
        <w:pStyle w:val="Nadpis1"/>
        <w:pageBreakBefore/>
        <w:rPr>
          <w:rFonts w:eastAsia="MS Mincho"/>
          <w:lang w:val="cs-CZ"/>
        </w:rPr>
      </w:pPr>
      <w:bookmarkStart w:id="2" w:name="_Toc135651282"/>
      <w:r w:rsidRPr="00096052">
        <w:rPr>
          <w:rFonts w:eastAsia="MS Mincho"/>
          <w:lang w:val="cs-CZ"/>
        </w:rPr>
        <w:lastRenderedPageBreak/>
        <w:t xml:space="preserve">Důvod předložení </w:t>
      </w:r>
      <w:r w:rsidR="00DA2199" w:rsidRPr="00096052">
        <w:rPr>
          <w:rFonts w:eastAsia="MS Mincho"/>
          <w:lang w:val="cs-CZ"/>
        </w:rPr>
        <w:t>a</w:t>
      </w:r>
      <w:r w:rsidR="00DA2199">
        <w:rPr>
          <w:rFonts w:eastAsia="MS Mincho"/>
          <w:lang w:val="cs-CZ"/>
        </w:rPr>
        <w:t> </w:t>
      </w:r>
      <w:r w:rsidRPr="00096052">
        <w:rPr>
          <w:rFonts w:eastAsia="MS Mincho"/>
          <w:lang w:val="cs-CZ"/>
        </w:rPr>
        <w:t>cíle</w:t>
      </w:r>
      <w:bookmarkEnd w:id="2"/>
    </w:p>
    <w:p w14:paraId="5A799AC8" w14:textId="47789595" w:rsidR="00D032A4" w:rsidRPr="00096052" w:rsidRDefault="00245CC7" w:rsidP="00F25EB8">
      <w:pPr>
        <w:rPr>
          <w:rFonts w:ascii="Arial" w:eastAsia="MS Mincho" w:hAnsi="Arial" w:cs="Arial"/>
          <w:szCs w:val="24"/>
          <w:lang w:val="cs-CZ"/>
        </w:rPr>
      </w:pPr>
      <w:r w:rsidRPr="00096052">
        <w:rPr>
          <w:lang w:val="cs-CZ"/>
        </w:rPr>
        <w:t xml:space="preserve">Důvodem předložení </w:t>
      </w:r>
      <w:r w:rsidR="00E6009C">
        <w:rPr>
          <w:lang w:val="cs-CZ"/>
        </w:rPr>
        <w:t xml:space="preserve">návrhu zákona </w:t>
      </w:r>
      <w:r w:rsidR="00DA2199">
        <w:rPr>
          <w:lang w:val="cs-CZ"/>
        </w:rPr>
        <w:t>o </w:t>
      </w:r>
      <w:r w:rsidR="00E6009C">
        <w:rPr>
          <w:lang w:val="cs-CZ"/>
        </w:rPr>
        <w:t>konsolidaci veřejných rozpočtů</w:t>
      </w:r>
      <w:r w:rsidRPr="00096052">
        <w:rPr>
          <w:lang w:val="cs-CZ"/>
        </w:rPr>
        <w:t xml:space="preserve"> je ozdravení veřejných financí, změna trajektorie zadlužení sektoru vládních institucí z rostoucí na klesající </w:t>
      </w:r>
      <w:r w:rsidR="00DA2199" w:rsidRPr="00096052">
        <w:rPr>
          <w:lang w:val="cs-CZ"/>
        </w:rPr>
        <w:t>a</w:t>
      </w:r>
      <w:r w:rsidR="00DA2199">
        <w:rPr>
          <w:lang w:val="cs-CZ"/>
        </w:rPr>
        <w:t> </w:t>
      </w:r>
      <w:r w:rsidRPr="00096052">
        <w:rPr>
          <w:lang w:val="cs-CZ"/>
        </w:rPr>
        <w:t>snížení rizik dlouhodobé udržitelnosti veřejných financí.</w:t>
      </w:r>
    </w:p>
    <w:p w14:paraId="0633D9EE" w14:textId="1F83A226" w:rsidR="00245CC7" w:rsidRPr="00096052" w:rsidRDefault="00245CC7" w:rsidP="00F25EB8">
      <w:pPr>
        <w:pStyle w:val="Nadpis2"/>
        <w:rPr>
          <w:rFonts w:eastAsia="MS Mincho"/>
          <w:lang w:val="cs-CZ"/>
        </w:rPr>
      </w:pPr>
      <w:bookmarkStart w:id="3" w:name="_Toc135651283"/>
      <w:r w:rsidRPr="00096052">
        <w:rPr>
          <w:rFonts w:eastAsia="MS Mincho"/>
          <w:lang w:val="cs-CZ"/>
        </w:rPr>
        <w:t>Název</w:t>
      </w:r>
      <w:bookmarkEnd w:id="3"/>
    </w:p>
    <w:p w14:paraId="7EA1E411" w14:textId="7EFFC488" w:rsidR="00D032A4" w:rsidRPr="00096052" w:rsidRDefault="00F25EB8" w:rsidP="00F25EB8">
      <w:pPr>
        <w:rPr>
          <w:caps/>
          <w:lang w:val="cs-CZ"/>
        </w:rPr>
      </w:pPr>
      <w:r w:rsidRPr="00F25EB8">
        <w:rPr>
          <w:lang w:val="cs-CZ"/>
        </w:rPr>
        <w:t xml:space="preserve">Návrh zákona </w:t>
      </w:r>
      <w:r w:rsidR="00DA2199" w:rsidRPr="00F25EB8">
        <w:rPr>
          <w:lang w:val="cs-CZ"/>
        </w:rPr>
        <w:t>o</w:t>
      </w:r>
      <w:r w:rsidR="00DA2199">
        <w:rPr>
          <w:lang w:val="cs-CZ"/>
        </w:rPr>
        <w:t> </w:t>
      </w:r>
      <w:r w:rsidRPr="00F25EB8">
        <w:rPr>
          <w:lang w:val="cs-CZ"/>
        </w:rPr>
        <w:t>konsolidaci veřejných rozpočtů</w:t>
      </w:r>
    </w:p>
    <w:p w14:paraId="23B76EEB" w14:textId="795DA364" w:rsidR="00245CC7" w:rsidRPr="00096052" w:rsidRDefault="00245CC7" w:rsidP="00F25EB8">
      <w:pPr>
        <w:pStyle w:val="Nadpis2"/>
        <w:rPr>
          <w:rFonts w:eastAsia="MS Mincho"/>
          <w:lang w:val="cs-CZ"/>
        </w:rPr>
      </w:pPr>
      <w:bookmarkStart w:id="4" w:name="_Toc135651284"/>
      <w:r w:rsidRPr="00096052">
        <w:rPr>
          <w:rFonts w:eastAsia="MS Mincho"/>
          <w:lang w:val="cs-CZ"/>
        </w:rPr>
        <w:t>Definice problému</w:t>
      </w:r>
      <w:bookmarkEnd w:id="4"/>
    </w:p>
    <w:p w14:paraId="21B4F4B2" w14:textId="50CE6DAB" w:rsidR="00CA762E" w:rsidRPr="00096052" w:rsidRDefault="00D032A4" w:rsidP="00F25EB8">
      <w:pPr>
        <w:rPr>
          <w:lang w:val="cs-CZ"/>
        </w:rPr>
      </w:pPr>
      <w:r w:rsidRPr="00096052">
        <w:rPr>
          <w:lang w:val="cs-CZ"/>
        </w:rPr>
        <w:t>P</w:t>
      </w:r>
      <w:r w:rsidR="00245CC7" w:rsidRPr="00096052">
        <w:rPr>
          <w:lang w:val="cs-CZ"/>
        </w:rPr>
        <w:t xml:space="preserve">andemie </w:t>
      </w:r>
      <w:r w:rsidRPr="00096052">
        <w:rPr>
          <w:lang w:val="cs-CZ"/>
        </w:rPr>
        <w:t xml:space="preserve">onemocnění </w:t>
      </w:r>
      <w:r w:rsidR="00ED58A8" w:rsidRPr="00096052">
        <w:rPr>
          <w:lang w:val="cs-CZ"/>
        </w:rPr>
        <w:t>covid</w:t>
      </w:r>
      <w:r w:rsidR="00245CC7" w:rsidRPr="00096052">
        <w:rPr>
          <w:lang w:val="cs-CZ"/>
        </w:rPr>
        <w:t xml:space="preserve">-19 v letech 2020 </w:t>
      </w:r>
      <w:r w:rsidR="00DA2199" w:rsidRPr="00096052">
        <w:rPr>
          <w:lang w:val="cs-CZ"/>
        </w:rPr>
        <w:t>a</w:t>
      </w:r>
      <w:r w:rsidR="00DA2199">
        <w:rPr>
          <w:lang w:val="cs-CZ"/>
        </w:rPr>
        <w:t> </w:t>
      </w:r>
      <w:r w:rsidR="00245CC7" w:rsidRPr="00096052">
        <w:rPr>
          <w:lang w:val="cs-CZ"/>
        </w:rPr>
        <w:t>2021 vedla ve většině vyspělých zemí světa k</w:t>
      </w:r>
      <w:r w:rsidR="00BE534B" w:rsidRPr="00096052">
        <w:rPr>
          <w:lang w:val="cs-CZ"/>
        </w:rPr>
        <w:t> </w:t>
      </w:r>
      <w:r w:rsidR="00245CC7" w:rsidRPr="00096052">
        <w:rPr>
          <w:lang w:val="cs-CZ"/>
        </w:rPr>
        <w:t>silné</w:t>
      </w:r>
      <w:r w:rsidR="00BE534B" w:rsidRPr="00096052">
        <w:rPr>
          <w:lang w:val="cs-CZ"/>
        </w:rPr>
        <w:t xml:space="preserve"> fiskální expanzi</w:t>
      </w:r>
      <w:r w:rsidR="00245CC7" w:rsidRPr="00096052">
        <w:rPr>
          <w:lang w:val="cs-CZ"/>
        </w:rPr>
        <w:t xml:space="preserve">. Opatření měla za cíl jak zmírnit důsledky restriktivních opatření v důsledku šíření viru, tak pomoci ekonomice s její obnovou. </w:t>
      </w:r>
      <w:r w:rsidRPr="00096052">
        <w:rPr>
          <w:lang w:val="cs-CZ"/>
        </w:rPr>
        <w:t xml:space="preserve">V ČR však </w:t>
      </w:r>
      <w:r w:rsidR="00245CC7" w:rsidRPr="00096052">
        <w:rPr>
          <w:lang w:val="cs-CZ"/>
        </w:rPr>
        <w:t xml:space="preserve">byla </w:t>
      </w:r>
      <w:r w:rsidRPr="00096052">
        <w:rPr>
          <w:lang w:val="cs-CZ"/>
        </w:rPr>
        <w:t xml:space="preserve">nad to </w:t>
      </w:r>
      <w:r w:rsidR="00245CC7" w:rsidRPr="00096052">
        <w:rPr>
          <w:lang w:val="cs-CZ"/>
        </w:rPr>
        <w:t xml:space="preserve">schválena řada opatření, která nebyla nezbytně nutná pro řešení epidemie </w:t>
      </w:r>
      <w:r w:rsidR="00DA2199" w:rsidRPr="00096052">
        <w:rPr>
          <w:lang w:val="cs-CZ"/>
        </w:rPr>
        <w:t>a</w:t>
      </w:r>
      <w:r w:rsidR="00DA2199">
        <w:rPr>
          <w:lang w:val="cs-CZ"/>
        </w:rPr>
        <w:t> </w:t>
      </w:r>
      <w:r w:rsidR="00245CC7" w:rsidRPr="00096052">
        <w:rPr>
          <w:lang w:val="cs-CZ"/>
        </w:rPr>
        <w:t>která</w:t>
      </w:r>
      <w:r w:rsidR="00875ADE" w:rsidRPr="00096052">
        <w:rPr>
          <w:lang w:val="cs-CZ"/>
        </w:rPr>
        <w:t>,</w:t>
      </w:r>
      <w:r w:rsidR="00245CC7" w:rsidRPr="00096052">
        <w:rPr>
          <w:lang w:val="cs-CZ"/>
        </w:rPr>
        <w:t xml:space="preserve"> na rozdíl od řady programů spojených s</w:t>
      </w:r>
      <w:r w:rsidR="005D4A62" w:rsidRPr="00096052">
        <w:rPr>
          <w:lang w:val="cs-CZ"/>
        </w:rPr>
        <w:t> </w:t>
      </w:r>
      <w:r w:rsidR="00245CC7" w:rsidRPr="00096052">
        <w:rPr>
          <w:lang w:val="cs-CZ"/>
        </w:rPr>
        <w:t>epidemií</w:t>
      </w:r>
      <w:r w:rsidR="005D4A62" w:rsidRPr="00096052">
        <w:rPr>
          <w:lang w:val="cs-CZ"/>
        </w:rPr>
        <w:t>,</w:t>
      </w:r>
      <w:r w:rsidR="00245CC7" w:rsidRPr="00096052">
        <w:rPr>
          <w:lang w:val="cs-CZ"/>
        </w:rPr>
        <w:t xml:space="preserve"> nemají </w:t>
      </w:r>
      <w:r w:rsidR="00A57459" w:rsidRPr="00096052">
        <w:rPr>
          <w:lang w:val="cs-CZ"/>
        </w:rPr>
        <w:t xml:space="preserve">omezenou </w:t>
      </w:r>
      <w:r w:rsidR="00245CC7" w:rsidRPr="00096052">
        <w:rPr>
          <w:lang w:val="cs-CZ"/>
        </w:rPr>
        <w:t>platnost</w:t>
      </w:r>
      <w:r w:rsidR="000771AE" w:rsidRPr="00096052">
        <w:rPr>
          <w:lang w:val="cs-CZ"/>
        </w:rPr>
        <w:t xml:space="preserve"> </w:t>
      </w:r>
      <w:r w:rsidR="009C000F">
        <w:rPr>
          <w:noProof/>
          <w:lang w:val="cs-CZ"/>
        </w:rPr>
        <w:t>a tvrvale zatěžují veřejné finance</w:t>
      </w:r>
      <w:r w:rsidR="009C000F" w:rsidRPr="00D752FA">
        <w:rPr>
          <w:noProof/>
          <w:lang w:val="cs-CZ"/>
        </w:rPr>
        <w:t xml:space="preserve"> </w:t>
      </w:r>
      <w:r w:rsidR="000771AE" w:rsidRPr="00096052">
        <w:rPr>
          <w:lang w:val="cs-CZ"/>
        </w:rPr>
        <w:t xml:space="preserve">(snížení daní z příjmů fyzických osob, zrušení daní z převodu nemovitostí nebo silniční daně; na straně výdajů vyšší než zákonné valorizace důchodů, zavedení tzv. výchovného, zvýšení finančních prostředků určených zejména do školství </w:t>
      </w:r>
      <w:r w:rsidR="00DA2199" w:rsidRPr="00096052">
        <w:rPr>
          <w:lang w:val="cs-CZ"/>
        </w:rPr>
        <w:t>a</w:t>
      </w:r>
      <w:r w:rsidR="00DA2199">
        <w:rPr>
          <w:lang w:val="cs-CZ"/>
        </w:rPr>
        <w:t> </w:t>
      </w:r>
      <w:r w:rsidR="0086395D" w:rsidRPr="00096052">
        <w:rPr>
          <w:lang w:val="cs-CZ"/>
        </w:rPr>
        <w:t>zdravotnictví).</w:t>
      </w:r>
      <w:r w:rsidR="00A24A1F" w:rsidRPr="00096052">
        <w:rPr>
          <w:lang w:val="cs-CZ"/>
        </w:rPr>
        <w:t xml:space="preserve"> </w:t>
      </w:r>
      <w:r w:rsidR="00CA762E" w:rsidRPr="00096052">
        <w:rPr>
          <w:lang w:val="cs-CZ"/>
        </w:rPr>
        <w:t xml:space="preserve">Ministerstvo financí eviduje pod snížením příjmů v důsledku epidemie opatření v celkové výši 180 mld. Kč v letech 2020 až 2022, na výdajích pak dalších 250 mld. Kč za stejné období. </w:t>
      </w:r>
    </w:p>
    <w:p w14:paraId="361C16B9" w14:textId="6BD68414" w:rsidR="00245CC7" w:rsidRPr="00096052" w:rsidRDefault="008254A4" w:rsidP="00F25EB8">
      <w:pPr>
        <w:rPr>
          <w:lang w:val="cs-CZ"/>
        </w:rPr>
      </w:pPr>
      <w:r w:rsidRPr="00096052">
        <w:rPr>
          <w:lang w:val="cs-CZ"/>
        </w:rPr>
        <w:t xml:space="preserve">Oživení světové ekonomiky </w:t>
      </w:r>
      <w:r w:rsidR="00245CC7" w:rsidRPr="00096052">
        <w:rPr>
          <w:lang w:val="cs-CZ"/>
        </w:rPr>
        <w:t xml:space="preserve">posléze </w:t>
      </w:r>
      <w:r w:rsidR="00CA762E" w:rsidRPr="00096052">
        <w:rPr>
          <w:lang w:val="cs-CZ"/>
        </w:rPr>
        <w:t>negativně ovlivnil</w:t>
      </w:r>
      <w:r w:rsidR="00245CC7" w:rsidRPr="00096052">
        <w:rPr>
          <w:lang w:val="cs-CZ"/>
        </w:rPr>
        <w:t xml:space="preserve"> vpád Ruska na Ukrajinu následovaný energetickou krizí </w:t>
      </w:r>
      <w:r w:rsidR="00DA2199" w:rsidRPr="00096052">
        <w:rPr>
          <w:lang w:val="cs-CZ"/>
        </w:rPr>
        <w:t>a</w:t>
      </w:r>
      <w:r w:rsidR="00DA2199">
        <w:rPr>
          <w:lang w:val="cs-CZ"/>
        </w:rPr>
        <w:t> </w:t>
      </w:r>
      <w:r w:rsidR="00245CC7" w:rsidRPr="00096052">
        <w:rPr>
          <w:lang w:val="cs-CZ"/>
        </w:rPr>
        <w:t xml:space="preserve">vysokou mírou inflace. </w:t>
      </w:r>
      <w:r w:rsidR="00621BAE" w:rsidRPr="00096052">
        <w:rPr>
          <w:lang w:val="cs-CZ"/>
        </w:rPr>
        <w:t xml:space="preserve">Snaha tlumit růst </w:t>
      </w:r>
      <w:r w:rsidR="00245CC7" w:rsidRPr="00096052">
        <w:rPr>
          <w:lang w:val="cs-CZ"/>
        </w:rPr>
        <w:t>životních nákladů</w:t>
      </w:r>
      <w:r w:rsidR="00621BAE" w:rsidRPr="00096052">
        <w:rPr>
          <w:lang w:val="cs-CZ"/>
        </w:rPr>
        <w:t xml:space="preserve">, </w:t>
      </w:r>
      <w:r w:rsidR="009C000F">
        <w:rPr>
          <w:noProof/>
          <w:lang w:val="cs-CZ"/>
        </w:rPr>
        <w:t xml:space="preserve">nutnost </w:t>
      </w:r>
      <w:r w:rsidR="0032688D" w:rsidRPr="00096052">
        <w:rPr>
          <w:lang w:val="cs-CZ"/>
        </w:rPr>
        <w:t xml:space="preserve">zajištění </w:t>
      </w:r>
      <w:r w:rsidR="00C3030F" w:rsidRPr="00096052">
        <w:rPr>
          <w:lang w:val="cs-CZ"/>
        </w:rPr>
        <w:t>surovinových</w:t>
      </w:r>
      <w:r w:rsidR="0032688D" w:rsidRPr="00096052">
        <w:rPr>
          <w:lang w:val="cs-CZ"/>
        </w:rPr>
        <w:t xml:space="preserve"> </w:t>
      </w:r>
      <w:r w:rsidR="00FB7F2A" w:rsidRPr="00096052">
        <w:rPr>
          <w:lang w:val="cs-CZ"/>
        </w:rPr>
        <w:t>dodávek</w:t>
      </w:r>
      <w:r w:rsidR="00C3030F" w:rsidRPr="00096052">
        <w:rPr>
          <w:lang w:val="cs-CZ"/>
        </w:rPr>
        <w:t xml:space="preserve"> </w:t>
      </w:r>
      <w:r w:rsidR="00DA2199" w:rsidRPr="00096052">
        <w:rPr>
          <w:lang w:val="cs-CZ"/>
        </w:rPr>
        <w:t>a</w:t>
      </w:r>
      <w:r w:rsidR="00DA2199">
        <w:rPr>
          <w:lang w:val="cs-CZ"/>
        </w:rPr>
        <w:t> </w:t>
      </w:r>
      <w:r w:rsidR="00C3030F" w:rsidRPr="00096052">
        <w:rPr>
          <w:lang w:val="cs-CZ"/>
        </w:rPr>
        <w:t>posílení bezpečnosti</w:t>
      </w:r>
      <w:r w:rsidR="001538B0" w:rsidRPr="00096052">
        <w:rPr>
          <w:lang w:val="cs-CZ"/>
        </w:rPr>
        <w:t xml:space="preserve"> vedly </w:t>
      </w:r>
      <w:r w:rsidR="009805FB" w:rsidRPr="00096052">
        <w:rPr>
          <w:lang w:val="cs-CZ"/>
        </w:rPr>
        <w:t xml:space="preserve">k dalším </w:t>
      </w:r>
      <w:r w:rsidR="00BE12A4" w:rsidRPr="00096052">
        <w:rPr>
          <w:lang w:val="cs-CZ"/>
        </w:rPr>
        <w:t xml:space="preserve">veřejným </w:t>
      </w:r>
      <w:r w:rsidR="009805FB" w:rsidRPr="00096052">
        <w:rPr>
          <w:lang w:val="cs-CZ"/>
        </w:rPr>
        <w:t>výdajům</w:t>
      </w:r>
      <w:r w:rsidR="00CA762E" w:rsidRPr="00096052">
        <w:rPr>
          <w:lang w:val="cs-CZ"/>
        </w:rPr>
        <w:t xml:space="preserve"> nebo sníženým příjmům. </w:t>
      </w:r>
      <w:r w:rsidR="00245CC7" w:rsidRPr="00096052">
        <w:rPr>
          <w:lang w:val="cs-CZ"/>
        </w:rPr>
        <w:t xml:space="preserve">Opatření v oblasti energetické krize </w:t>
      </w:r>
      <w:r w:rsidR="00DA2199" w:rsidRPr="00096052">
        <w:rPr>
          <w:lang w:val="cs-CZ"/>
        </w:rPr>
        <w:t>a</w:t>
      </w:r>
      <w:r w:rsidR="00DA2199">
        <w:rPr>
          <w:lang w:val="cs-CZ"/>
        </w:rPr>
        <w:t> </w:t>
      </w:r>
      <w:r w:rsidR="00245CC7" w:rsidRPr="00096052">
        <w:rPr>
          <w:lang w:val="cs-CZ"/>
        </w:rPr>
        <w:t>migrační vlny jen v roce 2022 zhoršil</w:t>
      </w:r>
      <w:r w:rsidR="00E116DD" w:rsidRPr="00096052">
        <w:rPr>
          <w:lang w:val="cs-CZ"/>
        </w:rPr>
        <w:t>a</w:t>
      </w:r>
      <w:r w:rsidR="00245CC7" w:rsidRPr="00096052">
        <w:rPr>
          <w:lang w:val="cs-CZ"/>
        </w:rPr>
        <w:t xml:space="preserve"> saldo </w:t>
      </w:r>
      <w:r w:rsidR="00DA2199" w:rsidRPr="00096052">
        <w:rPr>
          <w:lang w:val="cs-CZ"/>
        </w:rPr>
        <w:t>o</w:t>
      </w:r>
      <w:r w:rsidR="00DA2199">
        <w:rPr>
          <w:lang w:val="cs-CZ"/>
        </w:rPr>
        <w:t> </w:t>
      </w:r>
      <w:r w:rsidR="00245CC7" w:rsidRPr="00096052">
        <w:rPr>
          <w:lang w:val="cs-CZ"/>
        </w:rPr>
        <w:t xml:space="preserve">dalších </w:t>
      </w:r>
      <w:r w:rsidR="00052A63" w:rsidRPr="00096052">
        <w:rPr>
          <w:lang w:val="cs-CZ"/>
        </w:rPr>
        <w:t xml:space="preserve">75 </w:t>
      </w:r>
      <w:r w:rsidR="00245CC7" w:rsidRPr="00096052">
        <w:rPr>
          <w:lang w:val="cs-CZ"/>
        </w:rPr>
        <w:t>mld. Kč.</w:t>
      </w:r>
    </w:p>
    <w:p w14:paraId="6EA08AAD" w14:textId="7B37A091" w:rsidR="00245CC7" w:rsidRPr="00096052" w:rsidRDefault="00F24C49" w:rsidP="00F25EB8">
      <w:pPr>
        <w:rPr>
          <w:lang w:val="cs-CZ"/>
        </w:rPr>
      </w:pPr>
      <w:r w:rsidRPr="00096052">
        <w:rPr>
          <w:lang w:val="cs-CZ"/>
        </w:rPr>
        <w:t xml:space="preserve">Kromě těchto aktivních </w:t>
      </w:r>
      <w:r w:rsidR="00245CC7" w:rsidRPr="00096052">
        <w:rPr>
          <w:lang w:val="cs-CZ"/>
        </w:rPr>
        <w:t xml:space="preserve">opatření </w:t>
      </w:r>
      <w:r w:rsidR="00400A0C" w:rsidRPr="00096052">
        <w:rPr>
          <w:lang w:val="cs-CZ"/>
        </w:rPr>
        <w:t xml:space="preserve">se </w:t>
      </w:r>
      <w:r w:rsidR="00245CC7" w:rsidRPr="00096052">
        <w:rPr>
          <w:lang w:val="cs-CZ"/>
        </w:rPr>
        <w:t>navíc zhorš</w:t>
      </w:r>
      <w:r w:rsidR="00400A0C" w:rsidRPr="00096052">
        <w:rPr>
          <w:lang w:val="cs-CZ"/>
        </w:rPr>
        <w:t>il vlastní ekonomický vývoj, což vedlo v</w:t>
      </w:r>
      <w:r w:rsidR="00D92369" w:rsidRPr="00096052">
        <w:rPr>
          <w:lang w:val="cs-CZ"/>
        </w:rPr>
        <w:t xml:space="preserve"> konečném důsledku ještě k hlubším deficitům </w:t>
      </w:r>
      <w:r w:rsidR="00DA2199" w:rsidRPr="00096052">
        <w:rPr>
          <w:lang w:val="cs-CZ"/>
        </w:rPr>
        <w:t>a</w:t>
      </w:r>
      <w:r w:rsidR="00DA2199">
        <w:rPr>
          <w:lang w:val="cs-CZ"/>
        </w:rPr>
        <w:t> </w:t>
      </w:r>
      <w:r w:rsidR="00D92369" w:rsidRPr="00096052">
        <w:rPr>
          <w:lang w:val="cs-CZ"/>
        </w:rPr>
        <w:t xml:space="preserve">vyššímu </w:t>
      </w:r>
      <w:r w:rsidR="00124DCA" w:rsidRPr="00096052">
        <w:rPr>
          <w:lang w:val="cs-CZ"/>
        </w:rPr>
        <w:t xml:space="preserve">dluhu. </w:t>
      </w:r>
      <w:r w:rsidR="00245CC7" w:rsidRPr="00096052">
        <w:rPr>
          <w:lang w:val="cs-CZ"/>
        </w:rPr>
        <w:t xml:space="preserve">Pokud ČR před rokem 2020 dosahovala mírných přebytků </w:t>
      </w:r>
      <w:r w:rsidR="00DA2199" w:rsidRPr="00096052">
        <w:rPr>
          <w:lang w:val="cs-CZ"/>
        </w:rPr>
        <w:t>a</w:t>
      </w:r>
      <w:r w:rsidR="00DA2199">
        <w:rPr>
          <w:lang w:val="cs-CZ"/>
        </w:rPr>
        <w:t> </w:t>
      </w:r>
      <w:r w:rsidR="00245CC7" w:rsidRPr="00096052">
        <w:rPr>
          <w:lang w:val="cs-CZ"/>
        </w:rPr>
        <w:t xml:space="preserve">své zadlužení snižovala až k hranici 30 % HDP, tak během let 2020 až 2022 došlo k nárůstu zadlužení </w:t>
      </w:r>
      <w:r w:rsidR="00DA2199" w:rsidRPr="00096052">
        <w:rPr>
          <w:lang w:val="cs-CZ"/>
        </w:rPr>
        <w:t>o</w:t>
      </w:r>
      <w:r w:rsidR="00DA2199">
        <w:rPr>
          <w:lang w:val="cs-CZ"/>
        </w:rPr>
        <w:t> </w:t>
      </w:r>
      <w:r w:rsidR="00245CC7" w:rsidRPr="00096052">
        <w:rPr>
          <w:lang w:val="cs-CZ"/>
        </w:rPr>
        <w:t>zhruba 14 procentních bodů.</w:t>
      </w:r>
      <w:r w:rsidR="00CA762E" w:rsidRPr="00096052">
        <w:rPr>
          <w:lang w:val="cs-CZ"/>
        </w:rPr>
        <w:t xml:space="preserve"> V absolutním vyjádření šlo </w:t>
      </w:r>
      <w:r w:rsidR="00DA2199" w:rsidRPr="00096052">
        <w:rPr>
          <w:lang w:val="cs-CZ"/>
        </w:rPr>
        <w:t>o</w:t>
      </w:r>
      <w:r w:rsidR="00DA2199">
        <w:rPr>
          <w:lang w:val="cs-CZ"/>
        </w:rPr>
        <w:t> </w:t>
      </w:r>
      <w:r w:rsidR="00CA762E" w:rsidRPr="00096052">
        <w:rPr>
          <w:lang w:val="cs-CZ"/>
        </w:rPr>
        <w:t>nár</w:t>
      </w:r>
      <w:r w:rsidR="00E116DD" w:rsidRPr="00096052">
        <w:rPr>
          <w:lang w:val="cs-CZ"/>
        </w:rPr>
        <w:t>ů</w:t>
      </w:r>
      <w:r w:rsidR="00CA762E" w:rsidRPr="00096052">
        <w:rPr>
          <w:lang w:val="cs-CZ"/>
        </w:rPr>
        <w:t xml:space="preserve">st dluhu </w:t>
      </w:r>
      <w:r w:rsidR="00DA2199" w:rsidRPr="00096052">
        <w:rPr>
          <w:lang w:val="cs-CZ"/>
        </w:rPr>
        <w:t>o</w:t>
      </w:r>
      <w:r w:rsidR="00DA2199">
        <w:rPr>
          <w:lang w:val="cs-CZ"/>
        </w:rPr>
        <w:t> </w:t>
      </w:r>
      <w:r w:rsidR="00DA2199" w:rsidRPr="00096052">
        <w:rPr>
          <w:lang w:val="cs-CZ"/>
        </w:rPr>
        <w:t>1</w:t>
      </w:r>
      <w:r w:rsidR="00DA2199">
        <w:rPr>
          <w:lang w:val="cs-CZ"/>
        </w:rPr>
        <w:t> </w:t>
      </w:r>
      <w:r w:rsidR="00510FF2" w:rsidRPr="00096052">
        <w:rPr>
          <w:lang w:val="cs-CZ"/>
        </w:rPr>
        <w:t>257</w:t>
      </w:r>
      <w:r w:rsidR="00CA762E" w:rsidRPr="00096052">
        <w:rPr>
          <w:lang w:val="cs-CZ"/>
        </w:rPr>
        <w:t xml:space="preserve"> mld. Kč.</w:t>
      </w:r>
      <w:r w:rsidR="00245CC7" w:rsidRPr="00096052">
        <w:rPr>
          <w:lang w:val="cs-CZ"/>
        </w:rPr>
        <w:t xml:space="preserve"> Negativním důsledkem současného nastavení veřejných rozpočtů je pak </w:t>
      </w:r>
      <w:r w:rsidR="00510FF2" w:rsidRPr="00096052">
        <w:rPr>
          <w:lang w:val="cs-CZ"/>
        </w:rPr>
        <w:t>další</w:t>
      </w:r>
      <w:r w:rsidR="00245CC7" w:rsidRPr="00096052">
        <w:rPr>
          <w:lang w:val="cs-CZ"/>
        </w:rPr>
        <w:t xml:space="preserve"> nárůst zadlužení, který je predikován </w:t>
      </w:r>
      <w:r w:rsidR="00DA2199" w:rsidRPr="00096052">
        <w:rPr>
          <w:lang w:val="cs-CZ"/>
        </w:rPr>
        <w:t>i</w:t>
      </w:r>
      <w:r w:rsidR="00DA2199">
        <w:rPr>
          <w:lang w:val="cs-CZ"/>
        </w:rPr>
        <w:t> </w:t>
      </w:r>
      <w:r w:rsidR="00245CC7" w:rsidRPr="00096052">
        <w:rPr>
          <w:lang w:val="cs-CZ"/>
        </w:rPr>
        <w:t>v  letech střednědobého výhledu.</w:t>
      </w:r>
    </w:p>
    <w:p w14:paraId="1FF4F607" w14:textId="736E3D0B" w:rsidR="00245CC7" w:rsidRPr="00096052" w:rsidRDefault="00245CC7" w:rsidP="00D752FA">
      <w:pPr>
        <w:widowControl/>
        <w:rPr>
          <w:rStyle w:val="Siln"/>
          <w:lang w:val="cs-CZ"/>
        </w:rPr>
      </w:pPr>
      <w:r w:rsidRPr="00096052">
        <w:rPr>
          <w:rStyle w:val="Siln"/>
          <w:lang w:val="cs-CZ"/>
        </w:rPr>
        <w:t xml:space="preserve">Tabulka 1: Saldo </w:t>
      </w:r>
      <w:r w:rsidR="00DA2199" w:rsidRPr="00096052">
        <w:rPr>
          <w:rStyle w:val="Siln"/>
          <w:lang w:val="cs-CZ"/>
        </w:rPr>
        <w:t>a</w:t>
      </w:r>
      <w:r w:rsidR="00DA2199">
        <w:rPr>
          <w:rStyle w:val="Siln"/>
          <w:lang w:val="cs-CZ"/>
        </w:rPr>
        <w:t> </w:t>
      </w:r>
      <w:r w:rsidRPr="00096052">
        <w:rPr>
          <w:rStyle w:val="Siln"/>
          <w:lang w:val="cs-CZ"/>
        </w:rPr>
        <w:t>dluh sektoru vládních institucí</w:t>
      </w:r>
    </w:p>
    <w:p w14:paraId="138F22AB" w14:textId="77777777" w:rsidR="00245CC7" w:rsidRPr="00096052" w:rsidRDefault="000220FC" w:rsidP="009A766E">
      <w:pPr>
        <w:rPr>
          <w:lang w:val="cs-CZ"/>
        </w:rPr>
      </w:pPr>
      <w:r w:rsidRPr="00096052">
        <w:rPr>
          <w:noProof/>
          <w:lang w:val="cs-CZ" w:eastAsia="cs-CZ"/>
        </w:rPr>
        <w:drawing>
          <wp:inline distT="0" distB="0" distL="0" distR="0" wp14:anchorId="35523683" wp14:editId="2E0202CD">
            <wp:extent cx="5760720" cy="97207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972072"/>
                    </a:xfrm>
                    <a:prstGeom prst="rect">
                      <a:avLst/>
                    </a:prstGeom>
                    <a:noFill/>
                    <a:ln>
                      <a:noFill/>
                    </a:ln>
                  </pic:spPr>
                </pic:pic>
              </a:graphicData>
            </a:graphic>
          </wp:inline>
        </w:drawing>
      </w:r>
    </w:p>
    <w:p w14:paraId="7531AF78" w14:textId="77777777" w:rsidR="00245CC7" w:rsidRPr="001741CC" w:rsidRDefault="00245CC7" w:rsidP="00D752FA">
      <w:pPr>
        <w:widowControl/>
        <w:rPr>
          <w:rStyle w:val="Zdraznnjemn"/>
        </w:rPr>
      </w:pPr>
      <w:r w:rsidRPr="00096052">
        <w:rPr>
          <w:rStyle w:val="Zdraznnjemn"/>
          <w:lang w:val="cs-CZ"/>
        </w:rPr>
        <w:t xml:space="preserve">Zdroj: </w:t>
      </w:r>
      <w:r w:rsidR="00164244" w:rsidRPr="00096052">
        <w:rPr>
          <w:rStyle w:val="Zdraznnjemn"/>
          <w:lang w:val="cs-CZ"/>
        </w:rPr>
        <w:t>Konvergenční program, dub</w:t>
      </w:r>
      <w:r w:rsidRPr="00096052">
        <w:rPr>
          <w:rStyle w:val="Zdraznnjemn"/>
          <w:lang w:val="cs-CZ"/>
        </w:rPr>
        <w:t>en 2023</w:t>
      </w:r>
    </w:p>
    <w:p w14:paraId="0E257506" w14:textId="331D5B9F" w:rsidR="00245CC7" w:rsidRPr="00096052" w:rsidRDefault="00245CC7" w:rsidP="00F25EB8">
      <w:pPr>
        <w:rPr>
          <w:lang w:val="cs-CZ"/>
        </w:rPr>
      </w:pPr>
      <w:r w:rsidRPr="00096052">
        <w:rPr>
          <w:lang w:val="cs-CZ"/>
        </w:rPr>
        <w:t>ČR jako člen EU podléhá fiskálním pravidlům</w:t>
      </w:r>
      <w:r w:rsidR="00BA2931" w:rsidRPr="00096052">
        <w:rPr>
          <w:lang w:val="cs-CZ"/>
        </w:rPr>
        <w:t xml:space="preserve"> platný</w:t>
      </w:r>
      <w:r w:rsidR="00E116DD" w:rsidRPr="00096052">
        <w:rPr>
          <w:lang w:val="cs-CZ"/>
        </w:rPr>
        <w:t>m</w:t>
      </w:r>
      <w:r w:rsidR="00BA2931" w:rsidRPr="00096052">
        <w:rPr>
          <w:lang w:val="cs-CZ"/>
        </w:rPr>
        <w:t xml:space="preserve"> pro všechny členské země EU</w:t>
      </w:r>
      <w:r w:rsidRPr="00096052">
        <w:rPr>
          <w:lang w:val="cs-CZ"/>
        </w:rPr>
        <w:t xml:space="preserve">, která mají následně oporu </w:t>
      </w:r>
      <w:r w:rsidR="00DA2199" w:rsidRPr="00096052">
        <w:rPr>
          <w:lang w:val="cs-CZ"/>
        </w:rPr>
        <w:t>i</w:t>
      </w:r>
      <w:r w:rsidR="00DA2199">
        <w:rPr>
          <w:lang w:val="cs-CZ"/>
        </w:rPr>
        <w:t> </w:t>
      </w:r>
      <w:r w:rsidRPr="00096052">
        <w:rPr>
          <w:lang w:val="cs-CZ"/>
        </w:rPr>
        <w:t xml:space="preserve">v českém právním řádu. </w:t>
      </w:r>
      <w:r w:rsidR="008B0A90" w:rsidRPr="00096052">
        <w:rPr>
          <w:lang w:val="cs-CZ"/>
        </w:rPr>
        <w:t>Nejedná se přito</w:t>
      </w:r>
      <w:r w:rsidR="009E4204" w:rsidRPr="00096052">
        <w:rPr>
          <w:lang w:val="cs-CZ"/>
        </w:rPr>
        <w:t xml:space="preserve">m pouze </w:t>
      </w:r>
      <w:r w:rsidR="00DA2199" w:rsidRPr="00096052">
        <w:rPr>
          <w:lang w:val="cs-CZ"/>
        </w:rPr>
        <w:t>o</w:t>
      </w:r>
      <w:r w:rsidR="00DA2199">
        <w:rPr>
          <w:lang w:val="cs-CZ"/>
        </w:rPr>
        <w:t> </w:t>
      </w:r>
      <w:r w:rsidR="0061436C" w:rsidRPr="00096052">
        <w:rPr>
          <w:lang w:val="cs-CZ"/>
        </w:rPr>
        <w:t>znám</w:t>
      </w:r>
      <w:r w:rsidR="00A36D3D" w:rsidRPr="00096052">
        <w:rPr>
          <w:lang w:val="cs-CZ"/>
        </w:rPr>
        <w:t xml:space="preserve">é </w:t>
      </w:r>
      <w:r w:rsidR="006B7072" w:rsidRPr="00096052">
        <w:rPr>
          <w:lang w:val="cs-CZ"/>
        </w:rPr>
        <w:t xml:space="preserve">referenční hodnoty </w:t>
      </w:r>
      <w:r w:rsidR="00A36D3D" w:rsidRPr="00096052">
        <w:rPr>
          <w:lang w:val="cs-CZ"/>
        </w:rPr>
        <w:t>pro schodek (</w:t>
      </w:r>
      <w:r w:rsidR="00DA2199" w:rsidRPr="00096052">
        <w:rPr>
          <w:lang w:val="cs-CZ"/>
        </w:rPr>
        <w:t>3</w:t>
      </w:r>
      <w:r w:rsidR="00DA2199">
        <w:rPr>
          <w:lang w:val="cs-CZ"/>
        </w:rPr>
        <w:t> </w:t>
      </w:r>
      <w:r w:rsidR="00A36D3D" w:rsidRPr="00096052">
        <w:rPr>
          <w:lang w:val="cs-CZ"/>
        </w:rPr>
        <w:t>% HDP</w:t>
      </w:r>
      <w:r w:rsidR="00667BCD" w:rsidRPr="00096052">
        <w:rPr>
          <w:lang w:val="cs-CZ"/>
        </w:rPr>
        <w:t>)</w:t>
      </w:r>
      <w:r w:rsidR="00A36D3D" w:rsidRPr="00096052">
        <w:rPr>
          <w:lang w:val="cs-CZ"/>
        </w:rPr>
        <w:t xml:space="preserve"> </w:t>
      </w:r>
      <w:r w:rsidR="00DA2199" w:rsidRPr="00096052">
        <w:rPr>
          <w:lang w:val="cs-CZ"/>
        </w:rPr>
        <w:t>a</w:t>
      </w:r>
      <w:r w:rsidR="00DA2199">
        <w:rPr>
          <w:lang w:val="cs-CZ"/>
        </w:rPr>
        <w:t> </w:t>
      </w:r>
      <w:r w:rsidR="00A36D3D" w:rsidRPr="00096052">
        <w:rPr>
          <w:lang w:val="cs-CZ"/>
        </w:rPr>
        <w:t xml:space="preserve">dluh (60 % HDP) </w:t>
      </w:r>
      <w:r w:rsidR="00715CD4" w:rsidRPr="00096052">
        <w:rPr>
          <w:lang w:val="cs-CZ"/>
        </w:rPr>
        <w:t xml:space="preserve">určené </w:t>
      </w:r>
      <w:r w:rsidR="00DA2199" w:rsidRPr="00096052">
        <w:rPr>
          <w:lang w:val="cs-CZ"/>
        </w:rPr>
        <w:t>v</w:t>
      </w:r>
      <w:r w:rsidR="00DA2199">
        <w:rPr>
          <w:lang w:val="cs-CZ"/>
        </w:rPr>
        <w:t> </w:t>
      </w:r>
      <w:r w:rsidR="00730962" w:rsidRPr="00096052">
        <w:rPr>
          <w:lang w:val="cs-CZ"/>
        </w:rPr>
        <w:t>Protokol</w:t>
      </w:r>
      <w:r w:rsidR="0057510B" w:rsidRPr="00096052">
        <w:rPr>
          <w:lang w:val="cs-CZ"/>
        </w:rPr>
        <w:t>u</w:t>
      </w:r>
      <w:r w:rsidR="00730962" w:rsidRPr="00096052">
        <w:rPr>
          <w:lang w:val="cs-CZ"/>
        </w:rPr>
        <w:t xml:space="preserve"> </w:t>
      </w:r>
      <w:r w:rsidR="00DA2199" w:rsidRPr="00096052">
        <w:rPr>
          <w:lang w:val="cs-CZ"/>
        </w:rPr>
        <w:t>č.</w:t>
      </w:r>
      <w:r w:rsidR="00DA2199">
        <w:rPr>
          <w:lang w:val="cs-CZ"/>
        </w:rPr>
        <w:t> </w:t>
      </w:r>
      <w:r w:rsidR="00730962" w:rsidRPr="00096052">
        <w:rPr>
          <w:lang w:val="cs-CZ"/>
        </w:rPr>
        <w:t>12</w:t>
      </w:r>
      <w:r w:rsidR="0057510B" w:rsidRPr="00096052">
        <w:rPr>
          <w:lang w:val="cs-CZ"/>
        </w:rPr>
        <w:t>,</w:t>
      </w:r>
      <w:r w:rsidR="00730962" w:rsidRPr="00096052">
        <w:rPr>
          <w:lang w:val="cs-CZ"/>
        </w:rPr>
        <w:t xml:space="preserve"> </w:t>
      </w:r>
      <w:r w:rsidR="00DA2199" w:rsidRPr="00096052">
        <w:rPr>
          <w:lang w:val="cs-CZ"/>
        </w:rPr>
        <w:t>o</w:t>
      </w:r>
      <w:r w:rsidR="00DA2199">
        <w:rPr>
          <w:lang w:val="cs-CZ"/>
        </w:rPr>
        <w:t> </w:t>
      </w:r>
      <w:r w:rsidR="00730962" w:rsidRPr="00096052">
        <w:rPr>
          <w:lang w:val="cs-CZ"/>
        </w:rPr>
        <w:t>postupu při nadměrném schodku</w:t>
      </w:r>
      <w:r w:rsidR="0057510B" w:rsidRPr="00096052">
        <w:rPr>
          <w:lang w:val="cs-CZ"/>
        </w:rPr>
        <w:t xml:space="preserve">, </w:t>
      </w:r>
      <w:r w:rsidR="00A469FC" w:rsidRPr="00096052">
        <w:rPr>
          <w:lang w:val="cs-CZ"/>
        </w:rPr>
        <w:t>připojeného ke</w:t>
      </w:r>
      <w:r w:rsidR="0057510B" w:rsidRPr="00096052">
        <w:rPr>
          <w:lang w:val="cs-CZ"/>
        </w:rPr>
        <w:t xml:space="preserve"> Smlouv</w:t>
      </w:r>
      <w:r w:rsidR="00A469FC" w:rsidRPr="00096052">
        <w:rPr>
          <w:lang w:val="cs-CZ"/>
        </w:rPr>
        <w:t>ě</w:t>
      </w:r>
      <w:r w:rsidR="0057510B" w:rsidRPr="00096052">
        <w:rPr>
          <w:lang w:val="cs-CZ"/>
        </w:rPr>
        <w:t xml:space="preserve"> </w:t>
      </w:r>
      <w:r w:rsidR="00DA2199" w:rsidRPr="00096052">
        <w:rPr>
          <w:lang w:val="cs-CZ"/>
        </w:rPr>
        <w:t>o</w:t>
      </w:r>
      <w:r w:rsidR="00DA2199">
        <w:rPr>
          <w:lang w:val="cs-CZ"/>
        </w:rPr>
        <w:t> </w:t>
      </w:r>
      <w:r w:rsidR="0057510B" w:rsidRPr="00096052">
        <w:rPr>
          <w:lang w:val="cs-CZ"/>
        </w:rPr>
        <w:t>fungování Evropské unie</w:t>
      </w:r>
      <w:r w:rsidR="00A469FC" w:rsidRPr="00096052">
        <w:rPr>
          <w:lang w:val="cs-CZ"/>
        </w:rPr>
        <w:t>.</w:t>
      </w:r>
      <w:r w:rsidR="00730962" w:rsidRPr="00096052">
        <w:rPr>
          <w:lang w:val="cs-CZ"/>
        </w:rPr>
        <w:t xml:space="preserve"> </w:t>
      </w:r>
      <w:r w:rsidRPr="00096052">
        <w:rPr>
          <w:lang w:val="cs-CZ"/>
        </w:rPr>
        <w:t xml:space="preserve">V rámci Paktu </w:t>
      </w:r>
      <w:r w:rsidR="00DA2199" w:rsidRPr="00096052">
        <w:rPr>
          <w:lang w:val="cs-CZ"/>
        </w:rPr>
        <w:t>o</w:t>
      </w:r>
      <w:r w:rsidR="00DA2199">
        <w:rPr>
          <w:lang w:val="cs-CZ"/>
        </w:rPr>
        <w:t> </w:t>
      </w:r>
      <w:r w:rsidRPr="00096052">
        <w:rPr>
          <w:lang w:val="cs-CZ"/>
        </w:rPr>
        <w:t xml:space="preserve">stabilitě </w:t>
      </w:r>
      <w:r w:rsidR="00DA2199" w:rsidRPr="00096052">
        <w:rPr>
          <w:lang w:val="cs-CZ"/>
        </w:rPr>
        <w:t>a</w:t>
      </w:r>
      <w:r w:rsidR="00DA2199">
        <w:rPr>
          <w:lang w:val="cs-CZ"/>
        </w:rPr>
        <w:t> </w:t>
      </w:r>
      <w:r w:rsidRPr="00096052">
        <w:rPr>
          <w:lang w:val="cs-CZ"/>
        </w:rPr>
        <w:t xml:space="preserve">růstu je definován </w:t>
      </w:r>
      <w:r w:rsidR="00113B34" w:rsidRPr="00096052">
        <w:rPr>
          <w:lang w:val="cs-CZ"/>
        </w:rPr>
        <w:t xml:space="preserve">také </w:t>
      </w:r>
      <w:r w:rsidRPr="00096052">
        <w:rPr>
          <w:lang w:val="cs-CZ"/>
        </w:rPr>
        <w:t>tzv. střednědobý rozpočtový cíl</w:t>
      </w:r>
      <w:r w:rsidR="00D84633" w:rsidRPr="0045534A">
        <w:rPr>
          <w:rStyle w:val="StylZnakapoznpodarouLatinkaArial"/>
        </w:rPr>
        <w:footnoteReference w:id="2"/>
      </w:r>
      <w:r w:rsidRPr="00096052">
        <w:rPr>
          <w:lang w:val="cs-CZ"/>
        </w:rPr>
        <w:t>, který</w:t>
      </w:r>
      <w:r w:rsidR="000771AE" w:rsidRPr="00096052">
        <w:rPr>
          <w:lang w:val="cs-CZ"/>
        </w:rPr>
        <w:t xml:space="preserve"> se vyjadřuje jako saldo očištěné </w:t>
      </w:r>
      <w:r w:rsidR="00DA2199" w:rsidRPr="00096052">
        <w:rPr>
          <w:lang w:val="cs-CZ"/>
        </w:rPr>
        <w:t>o</w:t>
      </w:r>
      <w:r w:rsidR="00DA2199">
        <w:rPr>
          <w:lang w:val="cs-CZ"/>
        </w:rPr>
        <w:t> </w:t>
      </w:r>
      <w:r w:rsidR="00545352" w:rsidRPr="00096052">
        <w:rPr>
          <w:lang w:val="cs-CZ"/>
        </w:rPr>
        <w:t xml:space="preserve">vliv </w:t>
      </w:r>
      <w:r w:rsidR="000771AE" w:rsidRPr="00096052">
        <w:rPr>
          <w:lang w:val="cs-CZ"/>
        </w:rPr>
        <w:t>hospodářsk</w:t>
      </w:r>
      <w:r w:rsidR="00545352" w:rsidRPr="00096052">
        <w:rPr>
          <w:lang w:val="cs-CZ"/>
        </w:rPr>
        <w:t>ého</w:t>
      </w:r>
      <w:r w:rsidR="000771AE" w:rsidRPr="00096052">
        <w:rPr>
          <w:lang w:val="cs-CZ"/>
        </w:rPr>
        <w:t xml:space="preserve"> cyklu </w:t>
      </w:r>
      <w:r w:rsidR="00DA2199" w:rsidRPr="00096052">
        <w:rPr>
          <w:lang w:val="cs-CZ"/>
        </w:rPr>
        <w:t>a</w:t>
      </w:r>
      <w:r w:rsidR="00DA2199">
        <w:rPr>
          <w:lang w:val="cs-CZ"/>
        </w:rPr>
        <w:t> </w:t>
      </w:r>
      <w:r w:rsidR="000771AE" w:rsidRPr="00096052">
        <w:rPr>
          <w:lang w:val="cs-CZ"/>
        </w:rPr>
        <w:t>jednorázov</w:t>
      </w:r>
      <w:r w:rsidR="00545352" w:rsidRPr="00096052">
        <w:rPr>
          <w:lang w:val="cs-CZ"/>
        </w:rPr>
        <w:t>ých</w:t>
      </w:r>
      <w:r w:rsidR="000771AE" w:rsidRPr="00096052">
        <w:rPr>
          <w:lang w:val="cs-CZ"/>
        </w:rPr>
        <w:t xml:space="preserve"> opatření</w:t>
      </w:r>
      <w:r w:rsidR="00CF5488">
        <w:rPr>
          <w:noProof/>
          <w:lang w:val="cs-CZ"/>
        </w:rPr>
        <w:t>,</w:t>
      </w:r>
      <w:r w:rsidR="000771AE" w:rsidRPr="00096052">
        <w:rPr>
          <w:lang w:val="cs-CZ"/>
        </w:rPr>
        <w:t xml:space="preserve"> zajišťující dostatečný </w:t>
      </w:r>
      <w:r w:rsidR="000771AE" w:rsidRPr="00096052">
        <w:rPr>
          <w:lang w:val="cs-CZ"/>
        </w:rPr>
        <w:lastRenderedPageBreak/>
        <w:t xml:space="preserve">fiskální prostor v průběhu hospodářského cyklu </w:t>
      </w:r>
      <w:r w:rsidR="00DA2199" w:rsidRPr="00096052">
        <w:rPr>
          <w:lang w:val="cs-CZ"/>
        </w:rPr>
        <w:t>a</w:t>
      </w:r>
      <w:r w:rsidR="00DA2199">
        <w:rPr>
          <w:lang w:val="cs-CZ"/>
        </w:rPr>
        <w:t> </w:t>
      </w:r>
      <w:r w:rsidR="000771AE" w:rsidRPr="00096052">
        <w:rPr>
          <w:lang w:val="cs-CZ"/>
        </w:rPr>
        <w:t>dlouhodobě udržitelné veřejné finance.</w:t>
      </w:r>
      <w:r w:rsidRPr="00096052">
        <w:rPr>
          <w:lang w:val="cs-CZ"/>
        </w:rPr>
        <w:t xml:space="preserve"> </w:t>
      </w:r>
      <w:r w:rsidR="00F9071B" w:rsidRPr="00096052">
        <w:rPr>
          <w:lang w:val="cs-CZ"/>
        </w:rPr>
        <w:t xml:space="preserve">Pro </w:t>
      </w:r>
      <w:r w:rsidRPr="00096052">
        <w:rPr>
          <w:lang w:val="cs-CZ"/>
        </w:rPr>
        <w:t xml:space="preserve">ČR </w:t>
      </w:r>
      <w:r w:rsidR="00EF1679" w:rsidRPr="00096052">
        <w:rPr>
          <w:lang w:val="cs-CZ"/>
        </w:rPr>
        <w:t xml:space="preserve">je stanoven </w:t>
      </w:r>
      <w:r w:rsidRPr="00096052">
        <w:rPr>
          <w:lang w:val="cs-CZ"/>
        </w:rPr>
        <w:t xml:space="preserve">ve výši </w:t>
      </w:r>
      <w:r w:rsidR="009C000F">
        <w:rPr>
          <w:noProof/>
          <w:lang w:val="cs-CZ"/>
        </w:rPr>
        <w:t>−</w:t>
      </w:r>
      <w:r w:rsidRPr="00096052">
        <w:rPr>
          <w:lang w:val="cs-CZ"/>
        </w:rPr>
        <w:t>0,75 % HDP. Za současné situace je velmi pravděpodobné, že při absenci jakýchkoliv kroků vedoucí</w:t>
      </w:r>
      <w:r w:rsidR="00E116DD" w:rsidRPr="00096052">
        <w:rPr>
          <w:lang w:val="cs-CZ"/>
        </w:rPr>
        <w:t>ch</w:t>
      </w:r>
      <w:r w:rsidRPr="00096052">
        <w:rPr>
          <w:lang w:val="cs-CZ"/>
        </w:rPr>
        <w:t xml:space="preserve"> k nápravě schodků bude střednědobý rozpočtový cíl po roce 2025 dále zpřísněn. Po ukončení platnosti všeobecné únikové klauzule</w:t>
      </w:r>
      <w:r w:rsidR="006A6FF3" w:rsidRPr="0045534A">
        <w:rPr>
          <w:rStyle w:val="StylZnakapoznpodarouLatinkaArial"/>
        </w:rPr>
        <w:footnoteReference w:id="3"/>
      </w:r>
      <w:r w:rsidRPr="00096052">
        <w:rPr>
          <w:lang w:val="cs-CZ"/>
        </w:rPr>
        <w:t xml:space="preserve"> </w:t>
      </w:r>
      <w:r w:rsidR="00DA2199" w:rsidRPr="00096052">
        <w:rPr>
          <w:lang w:val="cs-CZ"/>
        </w:rPr>
        <w:t>a</w:t>
      </w:r>
      <w:r w:rsidR="00DA2199">
        <w:rPr>
          <w:lang w:val="cs-CZ"/>
        </w:rPr>
        <w:t> </w:t>
      </w:r>
      <w:r w:rsidR="006A6FF3" w:rsidRPr="00096052">
        <w:rPr>
          <w:lang w:val="cs-CZ"/>
        </w:rPr>
        <w:t>případné</w:t>
      </w:r>
      <w:r w:rsidR="00E116DD" w:rsidRPr="00096052">
        <w:rPr>
          <w:lang w:val="cs-CZ"/>
        </w:rPr>
        <w:t>m</w:t>
      </w:r>
      <w:r w:rsidRPr="00096052">
        <w:rPr>
          <w:lang w:val="cs-CZ"/>
        </w:rPr>
        <w:t xml:space="preserve"> spuštění postupu při nadměrném schodku bude nutné schodek snižovat z titulu našich závazků jako člen</w:t>
      </w:r>
      <w:r w:rsidR="00E116DD" w:rsidRPr="00096052">
        <w:rPr>
          <w:lang w:val="cs-CZ"/>
        </w:rPr>
        <w:t>a</w:t>
      </w:r>
      <w:r w:rsidRPr="00096052">
        <w:rPr>
          <w:lang w:val="cs-CZ"/>
        </w:rPr>
        <w:t xml:space="preserve"> EU. Z tabulky </w:t>
      </w:r>
      <w:r w:rsidR="00DA2199" w:rsidRPr="00096052">
        <w:rPr>
          <w:lang w:val="cs-CZ"/>
        </w:rPr>
        <w:t>1</w:t>
      </w:r>
      <w:r w:rsidR="00DA2199">
        <w:rPr>
          <w:lang w:val="cs-CZ"/>
        </w:rPr>
        <w:t> </w:t>
      </w:r>
      <w:r w:rsidRPr="00096052">
        <w:rPr>
          <w:lang w:val="cs-CZ"/>
        </w:rPr>
        <w:t xml:space="preserve">je patrné, že strukturální nerovnováha veřejných financí, jež by měla být eliminována, se pohybuje kolem </w:t>
      </w:r>
      <w:r w:rsidR="00DA2199" w:rsidRPr="00096052">
        <w:rPr>
          <w:lang w:val="cs-CZ"/>
        </w:rPr>
        <w:t>2</w:t>
      </w:r>
      <w:r w:rsidR="00DA2199">
        <w:rPr>
          <w:lang w:val="cs-CZ"/>
        </w:rPr>
        <w:t> </w:t>
      </w:r>
      <w:r w:rsidRPr="00096052">
        <w:rPr>
          <w:lang w:val="cs-CZ"/>
        </w:rPr>
        <w:t>procentních bodů HDP, tedy zhruba 140 mld. Kč.</w:t>
      </w:r>
    </w:p>
    <w:p w14:paraId="4E072658" w14:textId="5BEA1A5C" w:rsidR="00245CC7" w:rsidRPr="00096052" w:rsidRDefault="00245CC7" w:rsidP="00F25EB8">
      <w:pPr>
        <w:rPr>
          <w:lang w:val="cs-CZ"/>
        </w:rPr>
      </w:pPr>
      <w:r w:rsidRPr="00096052">
        <w:rPr>
          <w:lang w:val="cs-CZ"/>
        </w:rPr>
        <w:t xml:space="preserve">Celý problém se strukturální nerovnováhou dále zhoršují budoucí tlaky na výdajovou stranu sektoru vládních institucí, ať už jde </w:t>
      </w:r>
      <w:r w:rsidR="00DA2199" w:rsidRPr="00096052">
        <w:rPr>
          <w:lang w:val="cs-CZ"/>
        </w:rPr>
        <w:t>o</w:t>
      </w:r>
      <w:r w:rsidR="00DA2199">
        <w:rPr>
          <w:lang w:val="cs-CZ"/>
        </w:rPr>
        <w:t> </w:t>
      </w:r>
      <w:r w:rsidRPr="00096052">
        <w:rPr>
          <w:lang w:val="cs-CZ"/>
        </w:rPr>
        <w:t>transformaci ekonomiky směrem k</w:t>
      </w:r>
      <w:r w:rsidR="009F2B0C" w:rsidRPr="00096052">
        <w:rPr>
          <w:lang w:val="cs-CZ"/>
        </w:rPr>
        <w:t xml:space="preserve">e klimaticky neutrální EU, </w:t>
      </w:r>
      <w:r w:rsidRPr="00096052">
        <w:rPr>
          <w:lang w:val="cs-CZ"/>
        </w:rPr>
        <w:t>stárnutí populace</w:t>
      </w:r>
      <w:r w:rsidR="004206E2" w:rsidRPr="00096052">
        <w:rPr>
          <w:lang w:val="cs-CZ"/>
        </w:rPr>
        <w:t xml:space="preserve"> </w:t>
      </w:r>
      <w:r w:rsidR="00DA2199" w:rsidRPr="00096052">
        <w:rPr>
          <w:lang w:val="cs-CZ"/>
        </w:rPr>
        <w:t>i</w:t>
      </w:r>
      <w:r w:rsidR="00DA2199">
        <w:rPr>
          <w:lang w:val="cs-CZ"/>
        </w:rPr>
        <w:t> </w:t>
      </w:r>
      <w:r w:rsidR="00A44D0A" w:rsidRPr="00096052">
        <w:rPr>
          <w:lang w:val="cs-CZ"/>
        </w:rPr>
        <w:t xml:space="preserve">důsledky ruské agrese pro energetickou </w:t>
      </w:r>
      <w:r w:rsidR="00C8377B" w:rsidRPr="00096052">
        <w:rPr>
          <w:lang w:val="cs-CZ"/>
        </w:rPr>
        <w:t>soběstačnost</w:t>
      </w:r>
      <w:r w:rsidR="00CE2F69" w:rsidRPr="00096052">
        <w:rPr>
          <w:lang w:val="cs-CZ"/>
        </w:rPr>
        <w:t xml:space="preserve"> EU </w:t>
      </w:r>
      <w:r w:rsidR="00DA2199" w:rsidRPr="00096052">
        <w:rPr>
          <w:lang w:val="cs-CZ"/>
        </w:rPr>
        <w:t>a</w:t>
      </w:r>
      <w:r w:rsidR="00DA2199">
        <w:rPr>
          <w:lang w:val="cs-CZ"/>
        </w:rPr>
        <w:t> </w:t>
      </w:r>
      <w:r w:rsidR="00CE2F69" w:rsidRPr="00096052">
        <w:rPr>
          <w:lang w:val="cs-CZ"/>
        </w:rPr>
        <w:t>obranyschopnost</w:t>
      </w:r>
      <w:r w:rsidR="00BA2931" w:rsidRPr="00096052">
        <w:rPr>
          <w:lang w:val="cs-CZ"/>
        </w:rPr>
        <w:t xml:space="preserve"> (</w:t>
      </w:r>
      <w:r w:rsidR="00305003" w:rsidRPr="00096052">
        <w:rPr>
          <w:lang w:val="cs-CZ"/>
        </w:rPr>
        <w:t xml:space="preserve">tj. </w:t>
      </w:r>
      <w:r w:rsidR="00BA2931" w:rsidRPr="00096052">
        <w:rPr>
          <w:lang w:val="cs-CZ"/>
        </w:rPr>
        <w:t>naplňování závazku ČR vůči Severoatlantické alianci)</w:t>
      </w:r>
      <w:r w:rsidRPr="00096052">
        <w:rPr>
          <w:lang w:val="cs-CZ"/>
        </w:rPr>
        <w:t xml:space="preserve">. </w:t>
      </w:r>
      <w:r w:rsidR="00430782" w:rsidRPr="00096052">
        <w:rPr>
          <w:lang w:val="cs-CZ"/>
        </w:rPr>
        <w:t xml:space="preserve">Například </w:t>
      </w:r>
      <w:r w:rsidR="00B52375" w:rsidRPr="00096052">
        <w:rPr>
          <w:lang w:val="cs-CZ"/>
        </w:rPr>
        <w:t xml:space="preserve">bez </w:t>
      </w:r>
      <w:r w:rsidRPr="00096052">
        <w:rPr>
          <w:lang w:val="cs-CZ"/>
        </w:rPr>
        <w:t xml:space="preserve">reforem v oblasti dlouhodobých výdajů </w:t>
      </w:r>
      <w:r w:rsidR="00DA2199" w:rsidRPr="00096052">
        <w:rPr>
          <w:lang w:val="cs-CZ"/>
        </w:rPr>
        <w:t>a</w:t>
      </w:r>
      <w:r w:rsidR="00DA2199">
        <w:rPr>
          <w:lang w:val="cs-CZ"/>
        </w:rPr>
        <w:t> </w:t>
      </w:r>
      <w:r w:rsidRPr="00096052">
        <w:rPr>
          <w:lang w:val="cs-CZ"/>
        </w:rPr>
        <w:t xml:space="preserve">zároveň fiskální konsolidace v blízké budoucnosti nebude možné financovat systémy důchodů, zdravotnictví, dlouhodobé péče nebo vzdělávání ani zdaleka v takových standardech, jaké dnešní společnost v ČR považuje za nezbytné. V dlouhodobém horizontu by měly tyto výdaje narůst </w:t>
      </w:r>
      <w:r w:rsidR="00DA2199" w:rsidRPr="00096052">
        <w:rPr>
          <w:lang w:val="cs-CZ"/>
        </w:rPr>
        <w:t>o</w:t>
      </w:r>
      <w:r w:rsidR="00DA2199">
        <w:rPr>
          <w:lang w:val="cs-CZ"/>
        </w:rPr>
        <w:t> </w:t>
      </w:r>
      <w:r w:rsidRPr="00096052">
        <w:rPr>
          <w:lang w:val="cs-CZ"/>
        </w:rPr>
        <w:t xml:space="preserve">zhruba </w:t>
      </w:r>
      <w:r w:rsidR="00DA2199" w:rsidRPr="00096052">
        <w:rPr>
          <w:lang w:val="cs-CZ"/>
        </w:rPr>
        <w:t>5</w:t>
      </w:r>
      <w:r w:rsidR="00DA2199">
        <w:rPr>
          <w:lang w:val="cs-CZ"/>
        </w:rPr>
        <w:t> </w:t>
      </w:r>
      <w:r w:rsidRPr="00096052">
        <w:rPr>
          <w:lang w:val="cs-CZ"/>
        </w:rPr>
        <w:t>procentních bodů HDP</w:t>
      </w:r>
      <w:r w:rsidR="00DA1EDB" w:rsidRPr="0045534A">
        <w:rPr>
          <w:rStyle w:val="StylZnakapoznpodarouLatinkaArial"/>
        </w:rPr>
        <w:footnoteReference w:id="4"/>
      </w:r>
      <w:r w:rsidRPr="00096052">
        <w:rPr>
          <w:lang w:val="cs-CZ"/>
        </w:rPr>
        <w:t>, což představuje v dnešních cenách sumu přibližně 350 mld. Kč ročně navíc oproti situaci v roce 2020.</w:t>
      </w:r>
    </w:p>
    <w:p w14:paraId="0356DC88" w14:textId="7C0BDF9D" w:rsidR="00245CC7" w:rsidRPr="00096052" w:rsidRDefault="00245CC7" w:rsidP="00F25EB8">
      <w:pPr>
        <w:rPr>
          <w:lang w:val="cs-CZ"/>
        </w:rPr>
      </w:pPr>
      <w:r w:rsidRPr="00096052">
        <w:rPr>
          <w:lang w:val="cs-CZ"/>
        </w:rPr>
        <w:t xml:space="preserve">Vláda ČR je navíc povinna provést konsolidaci </w:t>
      </w:r>
      <w:r w:rsidR="00DA2199" w:rsidRPr="00096052">
        <w:rPr>
          <w:lang w:val="cs-CZ"/>
        </w:rPr>
        <w:t>i</w:t>
      </w:r>
      <w:r w:rsidR="00DA2199">
        <w:rPr>
          <w:lang w:val="cs-CZ"/>
        </w:rPr>
        <w:t> </w:t>
      </w:r>
      <w:r w:rsidRPr="00096052">
        <w:rPr>
          <w:lang w:val="cs-CZ"/>
        </w:rPr>
        <w:t>dle platné legislativy, konkrétně zákona č</w:t>
      </w:r>
      <w:r w:rsidR="00D77016" w:rsidRPr="00096052">
        <w:rPr>
          <w:lang w:val="cs-CZ"/>
        </w:rPr>
        <w:t>. </w:t>
      </w:r>
      <w:r w:rsidRPr="00096052">
        <w:rPr>
          <w:lang w:val="cs-CZ"/>
        </w:rPr>
        <w:t xml:space="preserve">23/2017 Sb., </w:t>
      </w:r>
      <w:r w:rsidR="00DA2199" w:rsidRPr="00096052">
        <w:rPr>
          <w:lang w:val="cs-CZ"/>
        </w:rPr>
        <w:t>o</w:t>
      </w:r>
      <w:r w:rsidR="00DA2199">
        <w:rPr>
          <w:lang w:val="cs-CZ"/>
        </w:rPr>
        <w:t> </w:t>
      </w:r>
      <w:r w:rsidRPr="00096052">
        <w:rPr>
          <w:lang w:val="cs-CZ"/>
        </w:rPr>
        <w:t xml:space="preserve">pravidlech rozpočtové odpovědnosti, ve znění pozdějších předpisů. Ten mimo jiné stanovuje tempo minimální konsolidace </w:t>
      </w:r>
      <w:r w:rsidR="00DA2199" w:rsidRPr="00096052">
        <w:rPr>
          <w:lang w:val="cs-CZ"/>
        </w:rPr>
        <w:t>o</w:t>
      </w:r>
      <w:r w:rsidR="00DA2199">
        <w:rPr>
          <w:lang w:val="cs-CZ"/>
        </w:rPr>
        <w:t> </w:t>
      </w:r>
      <w:r w:rsidRPr="00096052">
        <w:rPr>
          <w:lang w:val="cs-CZ"/>
        </w:rPr>
        <w:t>0,</w:t>
      </w:r>
      <w:r w:rsidR="00DA2199" w:rsidRPr="00096052">
        <w:rPr>
          <w:lang w:val="cs-CZ"/>
        </w:rPr>
        <w:t>5</w:t>
      </w:r>
      <w:r w:rsidR="00DA2199">
        <w:rPr>
          <w:lang w:val="cs-CZ"/>
        </w:rPr>
        <w:t> </w:t>
      </w:r>
      <w:r w:rsidRPr="00096052">
        <w:rPr>
          <w:lang w:val="cs-CZ"/>
        </w:rPr>
        <w:t xml:space="preserve">procentního bodu ročně. Soubor opatření v rámci tohoto zákona na tuto povinnost vlády reaguje </w:t>
      </w:r>
      <w:r w:rsidR="00DA2199" w:rsidRPr="00096052">
        <w:rPr>
          <w:lang w:val="cs-CZ"/>
        </w:rPr>
        <w:t>a</w:t>
      </w:r>
      <w:r w:rsidR="00DA2199">
        <w:rPr>
          <w:lang w:val="cs-CZ"/>
        </w:rPr>
        <w:t> </w:t>
      </w:r>
      <w:r w:rsidRPr="00096052">
        <w:rPr>
          <w:lang w:val="cs-CZ"/>
        </w:rPr>
        <w:t>konsolidační úsilí provádí.</w:t>
      </w:r>
    </w:p>
    <w:p w14:paraId="365709B9" w14:textId="10D45044" w:rsidR="00245CC7" w:rsidRPr="00096052" w:rsidRDefault="00245CC7" w:rsidP="00F25EB8">
      <w:pPr>
        <w:rPr>
          <w:lang w:val="cs-CZ"/>
        </w:rPr>
      </w:pPr>
      <w:r w:rsidRPr="00096052">
        <w:rPr>
          <w:lang w:val="cs-CZ"/>
        </w:rPr>
        <w:t xml:space="preserve">Strukturální nerovnováha </w:t>
      </w:r>
      <w:r w:rsidR="00DA2199" w:rsidRPr="00096052">
        <w:rPr>
          <w:lang w:val="cs-CZ"/>
        </w:rPr>
        <w:t>a</w:t>
      </w:r>
      <w:r w:rsidR="00DA2199">
        <w:rPr>
          <w:lang w:val="cs-CZ"/>
        </w:rPr>
        <w:t> </w:t>
      </w:r>
      <w:r w:rsidRPr="00096052">
        <w:rPr>
          <w:lang w:val="cs-CZ"/>
        </w:rPr>
        <w:t xml:space="preserve">neudržitelný stav veřejných financí je však velkým problémem pro každou zemi sám </w:t>
      </w:r>
      <w:r w:rsidR="00DA2199" w:rsidRPr="00096052">
        <w:rPr>
          <w:lang w:val="cs-CZ"/>
        </w:rPr>
        <w:t>o</w:t>
      </w:r>
      <w:r w:rsidR="00DA2199">
        <w:rPr>
          <w:lang w:val="cs-CZ"/>
        </w:rPr>
        <w:t> </w:t>
      </w:r>
      <w:r w:rsidRPr="00096052">
        <w:rPr>
          <w:lang w:val="cs-CZ"/>
        </w:rPr>
        <w:t xml:space="preserve">sobě, bez ohledu na formální pravidla. Riziko postupného vytlačování nemandatorních výdajů mandatorními vede ke ztrátě suverenity země nad nejdůležitější částí hospodářsko-politického mixu. Jinými slovy, vláda může zcela ztratit kontrolu nad zmírňováním důsledků ekonomického cyklu skrze fiskální politiku. Vysoké deficity zbavují suverenity zemi </w:t>
      </w:r>
      <w:r w:rsidR="00DA2199" w:rsidRPr="00096052">
        <w:rPr>
          <w:lang w:val="cs-CZ"/>
        </w:rPr>
        <w:t>i</w:t>
      </w:r>
      <w:r w:rsidR="00DA2199">
        <w:rPr>
          <w:lang w:val="cs-CZ"/>
        </w:rPr>
        <w:t> </w:t>
      </w:r>
      <w:r w:rsidRPr="00096052">
        <w:rPr>
          <w:lang w:val="cs-CZ"/>
        </w:rPr>
        <w:t xml:space="preserve">v oblasti financování vlastních výdajových programů </w:t>
      </w:r>
      <w:r w:rsidR="00DA2199" w:rsidRPr="00096052">
        <w:rPr>
          <w:lang w:val="cs-CZ"/>
        </w:rPr>
        <w:t>a</w:t>
      </w:r>
      <w:r w:rsidR="00DA2199">
        <w:rPr>
          <w:lang w:val="cs-CZ"/>
        </w:rPr>
        <w:t> </w:t>
      </w:r>
      <w:r w:rsidRPr="00096052">
        <w:rPr>
          <w:lang w:val="cs-CZ"/>
        </w:rPr>
        <w:t>nechávají</w:t>
      </w:r>
      <w:r w:rsidR="00AD3523" w:rsidRPr="00096052">
        <w:rPr>
          <w:lang w:val="cs-CZ"/>
        </w:rPr>
        <w:t xml:space="preserve"> jejich</w:t>
      </w:r>
      <w:r w:rsidRPr="00096052">
        <w:rPr>
          <w:lang w:val="cs-CZ"/>
        </w:rPr>
        <w:t xml:space="preserve"> realizaci na benevolenci finančních trhů, jež </w:t>
      </w:r>
      <w:r w:rsidR="000D0074" w:rsidRPr="00096052">
        <w:rPr>
          <w:lang w:val="cs-CZ"/>
        </w:rPr>
        <w:t>pak</w:t>
      </w:r>
      <w:r w:rsidRPr="00096052">
        <w:rPr>
          <w:lang w:val="cs-CZ"/>
        </w:rPr>
        <w:t xml:space="preserve"> zpravidla </w:t>
      </w:r>
      <w:r w:rsidR="000D0074" w:rsidRPr="00096052">
        <w:rPr>
          <w:lang w:val="cs-CZ"/>
        </w:rPr>
        <w:t xml:space="preserve">žádají </w:t>
      </w:r>
      <w:r w:rsidRPr="00096052">
        <w:rPr>
          <w:lang w:val="cs-CZ"/>
        </w:rPr>
        <w:t>vysoké rizikov</w:t>
      </w:r>
      <w:r w:rsidR="00305003" w:rsidRPr="00096052">
        <w:rPr>
          <w:lang w:val="cs-CZ"/>
        </w:rPr>
        <w:t>é přiráž</w:t>
      </w:r>
      <w:r w:rsidRPr="00096052">
        <w:rPr>
          <w:lang w:val="cs-CZ"/>
        </w:rPr>
        <w:t>k</w:t>
      </w:r>
      <w:r w:rsidR="00305003" w:rsidRPr="00096052">
        <w:rPr>
          <w:lang w:val="cs-CZ"/>
        </w:rPr>
        <w:t>y</w:t>
      </w:r>
      <w:r w:rsidRPr="00096052">
        <w:rPr>
          <w:lang w:val="cs-CZ"/>
        </w:rPr>
        <w:t xml:space="preserve">. Vysoké deficity samy </w:t>
      </w:r>
      <w:r w:rsidR="00DA2199" w:rsidRPr="00096052">
        <w:rPr>
          <w:lang w:val="cs-CZ"/>
        </w:rPr>
        <w:t>o</w:t>
      </w:r>
      <w:r w:rsidR="00DA2199">
        <w:rPr>
          <w:lang w:val="cs-CZ"/>
        </w:rPr>
        <w:t> </w:t>
      </w:r>
      <w:r w:rsidRPr="00096052">
        <w:rPr>
          <w:lang w:val="cs-CZ"/>
        </w:rPr>
        <w:t xml:space="preserve">sobě </w:t>
      </w:r>
      <w:r w:rsidR="00DA2199" w:rsidRPr="00096052">
        <w:rPr>
          <w:lang w:val="cs-CZ"/>
        </w:rPr>
        <w:t>i</w:t>
      </w:r>
      <w:r w:rsidR="00DA2199">
        <w:rPr>
          <w:lang w:val="cs-CZ"/>
        </w:rPr>
        <w:t> </w:t>
      </w:r>
      <w:r w:rsidRPr="00096052">
        <w:rPr>
          <w:lang w:val="cs-CZ"/>
        </w:rPr>
        <w:t xml:space="preserve">v důsledku vyšších úrokových měr </w:t>
      </w:r>
      <w:r w:rsidR="00305003" w:rsidRPr="00096052">
        <w:rPr>
          <w:lang w:val="cs-CZ"/>
        </w:rPr>
        <w:t>ztěžují realizaci</w:t>
      </w:r>
      <w:r w:rsidRPr="00096052">
        <w:rPr>
          <w:lang w:val="cs-CZ"/>
        </w:rPr>
        <w:t xml:space="preserve"> veřejn</w:t>
      </w:r>
      <w:r w:rsidR="00305003" w:rsidRPr="00096052">
        <w:rPr>
          <w:lang w:val="cs-CZ"/>
        </w:rPr>
        <w:t>ých</w:t>
      </w:r>
      <w:r w:rsidRPr="00096052">
        <w:rPr>
          <w:lang w:val="cs-CZ"/>
        </w:rPr>
        <w:t xml:space="preserve"> </w:t>
      </w:r>
      <w:r w:rsidR="00DA2199" w:rsidRPr="00096052">
        <w:rPr>
          <w:lang w:val="cs-CZ"/>
        </w:rPr>
        <w:t>i</w:t>
      </w:r>
      <w:r w:rsidR="00DA2199">
        <w:rPr>
          <w:lang w:val="cs-CZ"/>
        </w:rPr>
        <w:t> </w:t>
      </w:r>
      <w:r w:rsidRPr="00096052">
        <w:rPr>
          <w:lang w:val="cs-CZ"/>
        </w:rPr>
        <w:t>soukrom</w:t>
      </w:r>
      <w:r w:rsidR="00305003" w:rsidRPr="00096052">
        <w:rPr>
          <w:lang w:val="cs-CZ"/>
        </w:rPr>
        <w:t>ých</w:t>
      </w:r>
      <w:r w:rsidRPr="00096052">
        <w:rPr>
          <w:lang w:val="cs-CZ"/>
        </w:rPr>
        <w:t xml:space="preserve"> investic. Tím negativně působí jak na současný ekonomický růst, tak na nabídkovou stranu ekonomiky v delším horizontu. Konečně pak </w:t>
      </w:r>
      <w:r w:rsidR="00532268" w:rsidRPr="00096052">
        <w:rPr>
          <w:lang w:val="cs-CZ"/>
        </w:rPr>
        <w:t xml:space="preserve">neřešené </w:t>
      </w:r>
      <w:r w:rsidRPr="00096052">
        <w:rPr>
          <w:lang w:val="cs-CZ"/>
        </w:rPr>
        <w:t xml:space="preserve">vysoké deficity </w:t>
      </w:r>
      <w:r w:rsidR="00532268" w:rsidRPr="00096052">
        <w:rPr>
          <w:lang w:val="cs-CZ"/>
        </w:rPr>
        <w:t>„dnes“</w:t>
      </w:r>
      <w:r w:rsidRPr="00096052">
        <w:rPr>
          <w:lang w:val="cs-CZ"/>
        </w:rPr>
        <w:t xml:space="preserve"> poved</w:t>
      </w:r>
      <w:r w:rsidR="008267D7" w:rsidRPr="00096052">
        <w:rPr>
          <w:lang w:val="cs-CZ"/>
        </w:rPr>
        <w:t>ou</w:t>
      </w:r>
      <w:r w:rsidRPr="00096052">
        <w:rPr>
          <w:lang w:val="cs-CZ"/>
        </w:rPr>
        <w:t xml:space="preserve"> k nutnosti </w:t>
      </w:r>
      <w:r w:rsidR="008267D7" w:rsidRPr="00096052">
        <w:rPr>
          <w:lang w:val="cs-CZ"/>
        </w:rPr>
        <w:t>ještě vy</w:t>
      </w:r>
      <w:r w:rsidR="003E1F37" w:rsidRPr="00096052">
        <w:rPr>
          <w:lang w:val="cs-CZ"/>
        </w:rPr>
        <w:t>šších škrtů v budoucnosti, potenciálním</w:t>
      </w:r>
      <w:r w:rsidR="00AF3670" w:rsidRPr="00096052">
        <w:rPr>
          <w:lang w:val="cs-CZ"/>
        </w:rPr>
        <w:t>u omezení</w:t>
      </w:r>
      <w:r w:rsidRPr="00096052">
        <w:rPr>
          <w:lang w:val="cs-CZ"/>
        </w:rPr>
        <w:t xml:space="preserve"> v</w:t>
      </w:r>
      <w:r w:rsidR="00305003" w:rsidRPr="00096052">
        <w:rPr>
          <w:lang w:val="cs-CZ"/>
        </w:rPr>
        <w:t> </w:t>
      </w:r>
      <w:r w:rsidRPr="00096052">
        <w:rPr>
          <w:lang w:val="cs-CZ"/>
        </w:rPr>
        <w:t>oblasti</w:t>
      </w:r>
      <w:r w:rsidR="00305003" w:rsidRPr="00096052">
        <w:rPr>
          <w:lang w:val="cs-CZ"/>
        </w:rPr>
        <w:t xml:space="preserve"> sociálních transferů,</w:t>
      </w:r>
      <w:r w:rsidRPr="00096052">
        <w:rPr>
          <w:lang w:val="cs-CZ"/>
        </w:rPr>
        <w:t xml:space="preserve"> </w:t>
      </w:r>
      <w:r w:rsidR="00A4663B" w:rsidRPr="00096052">
        <w:rPr>
          <w:lang w:val="cs-CZ"/>
        </w:rPr>
        <w:t xml:space="preserve">zdravotnictví, investic </w:t>
      </w:r>
      <w:r w:rsidRPr="00096052">
        <w:rPr>
          <w:lang w:val="cs-CZ"/>
        </w:rPr>
        <w:t>a/nebo k</w:t>
      </w:r>
      <w:r w:rsidR="00D77016" w:rsidRPr="00096052">
        <w:rPr>
          <w:lang w:val="cs-CZ"/>
        </w:rPr>
        <w:t>e</w:t>
      </w:r>
      <w:r w:rsidRPr="00096052">
        <w:rPr>
          <w:lang w:val="cs-CZ"/>
        </w:rPr>
        <w:t> zvyšování daní</w:t>
      </w:r>
      <w:r w:rsidR="00AF3670" w:rsidRPr="00096052">
        <w:rPr>
          <w:lang w:val="cs-CZ"/>
        </w:rPr>
        <w:t xml:space="preserve">. Tedy </w:t>
      </w:r>
      <w:r w:rsidR="00DA2199" w:rsidRPr="00096052">
        <w:rPr>
          <w:lang w:val="cs-CZ"/>
        </w:rPr>
        <w:t>k</w:t>
      </w:r>
      <w:r w:rsidR="00DA2199">
        <w:rPr>
          <w:lang w:val="cs-CZ"/>
        </w:rPr>
        <w:t> </w:t>
      </w:r>
      <w:r w:rsidRPr="00096052">
        <w:rPr>
          <w:lang w:val="cs-CZ"/>
        </w:rPr>
        <w:t>výraznému snížení životní úrovně obyvatel.</w:t>
      </w:r>
      <w:r w:rsidR="0041058F" w:rsidRPr="00096052">
        <w:rPr>
          <w:lang w:val="cs-CZ"/>
        </w:rPr>
        <w:t xml:space="preserve"> </w:t>
      </w:r>
      <w:r w:rsidR="00461A6A" w:rsidRPr="00096052">
        <w:rPr>
          <w:lang w:val="cs-CZ"/>
        </w:rPr>
        <w:t>Těmito kanály pak vysoký</w:t>
      </w:r>
      <w:r w:rsidRPr="00096052">
        <w:rPr>
          <w:lang w:val="cs-CZ"/>
        </w:rPr>
        <w:t xml:space="preserve"> veřejný dluh ovlivňuje </w:t>
      </w:r>
      <w:r w:rsidR="00DA2199" w:rsidRPr="00096052">
        <w:rPr>
          <w:lang w:val="cs-CZ"/>
        </w:rPr>
        <w:t>i</w:t>
      </w:r>
      <w:r w:rsidR="00DA2199">
        <w:rPr>
          <w:lang w:val="cs-CZ"/>
        </w:rPr>
        <w:t> </w:t>
      </w:r>
      <w:r w:rsidRPr="00096052">
        <w:rPr>
          <w:lang w:val="cs-CZ"/>
        </w:rPr>
        <w:t>růst</w:t>
      </w:r>
      <w:r w:rsidR="00461A6A" w:rsidRPr="00096052">
        <w:rPr>
          <w:lang w:val="cs-CZ"/>
        </w:rPr>
        <w:t xml:space="preserve"> ekonomiky</w:t>
      </w:r>
      <w:r w:rsidRPr="00096052">
        <w:rPr>
          <w:lang w:val="cs-CZ"/>
        </w:rPr>
        <w:t>.</w:t>
      </w:r>
    </w:p>
    <w:p w14:paraId="441CE083" w14:textId="185DB545" w:rsidR="00245CC7" w:rsidRPr="00096052" w:rsidRDefault="00245CC7" w:rsidP="00F25EB8">
      <w:pPr>
        <w:rPr>
          <w:lang w:val="cs-CZ"/>
        </w:rPr>
      </w:pPr>
      <w:r w:rsidRPr="00096052">
        <w:rPr>
          <w:lang w:val="cs-CZ"/>
        </w:rPr>
        <w:t xml:space="preserve">Z těchto důvodů je nutné co nejdříve započít s konsolidací veřejných financí, zastavit nárůst zadlužování </w:t>
      </w:r>
      <w:r w:rsidR="00DA2199" w:rsidRPr="00096052">
        <w:rPr>
          <w:lang w:val="cs-CZ"/>
        </w:rPr>
        <w:t>a</w:t>
      </w:r>
      <w:r w:rsidR="00DA2199">
        <w:rPr>
          <w:lang w:val="cs-CZ"/>
        </w:rPr>
        <w:t> </w:t>
      </w:r>
      <w:r w:rsidRPr="00096052">
        <w:rPr>
          <w:lang w:val="cs-CZ"/>
        </w:rPr>
        <w:t xml:space="preserve">naopak zvrátit jeho trend, aby postupně klesalo. Ke zmírnění fiskální nerovnováhy jsou nutná opatření buď na příjmové straně, nebo na výdajové, případně kombinace obou. K tomu je však zapotřebí přistoupit k legislativním úpravám v dotčených oblastech, ať už se jedná </w:t>
      </w:r>
      <w:r w:rsidR="00DA2199" w:rsidRPr="00096052">
        <w:rPr>
          <w:lang w:val="cs-CZ"/>
        </w:rPr>
        <w:t>o</w:t>
      </w:r>
      <w:r w:rsidR="00DA2199">
        <w:rPr>
          <w:lang w:val="cs-CZ"/>
        </w:rPr>
        <w:t> </w:t>
      </w:r>
      <w:r w:rsidRPr="00096052">
        <w:rPr>
          <w:lang w:val="cs-CZ"/>
        </w:rPr>
        <w:t>daňové normy nebo mandatorní výdaje.</w:t>
      </w:r>
    </w:p>
    <w:p w14:paraId="3603C7F1" w14:textId="62CE205F" w:rsidR="00245CC7" w:rsidRPr="00096052" w:rsidRDefault="00245CC7" w:rsidP="00F25EB8">
      <w:pPr>
        <w:pStyle w:val="Nadpis2"/>
        <w:rPr>
          <w:rFonts w:eastAsia="MS Mincho"/>
          <w:lang w:val="cs-CZ"/>
        </w:rPr>
      </w:pPr>
      <w:bookmarkStart w:id="5" w:name="_Toc135651285"/>
      <w:r w:rsidRPr="00096052">
        <w:rPr>
          <w:rFonts w:eastAsia="MS Mincho"/>
          <w:lang w:val="cs-CZ"/>
        </w:rPr>
        <w:lastRenderedPageBreak/>
        <w:t xml:space="preserve">Popis existujícího právního stavu </w:t>
      </w:r>
      <w:r w:rsidR="00DA2199" w:rsidRPr="00096052">
        <w:rPr>
          <w:rFonts w:eastAsia="MS Mincho"/>
          <w:lang w:val="cs-CZ"/>
        </w:rPr>
        <w:t>v</w:t>
      </w:r>
      <w:r w:rsidR="00DA2199">
        <w:rPr>
          <w:rFonts w:eastAsia="MS Mincho"/>
          <w:lang w:val="cs-CZ"/>
        </w:rPr>
        <w:t> </w:t>
      </w:r>
      <w:r w:rsidRPr="00096052">
        <w:rPr>
          <w:rFonts w:eastAsia="MS Mincho"/>
          <w:lang w:val="cs-CZ"/>
        </w:rPr>
        <w:t>dané oblasti</w:t>
      </w:r>
      <w:bookmarkEnd w:id="5"/>
    </w:p>
    <w:p w14:paraId="4A1A3ABF" w14:textId="3D71283C" w:rsidR="00141F36" w:rsidRPr="00096052" w:rsidRDefault="00141F36" w:rsidP="00F25EB8">
      <w:pPr>
        <w:rPr>
          <w:lang w:val="cs-CZ"/>
        </w:rPr>
      </w:pPr>
      <w:r w:rsidRPr="00096052">
        <w:rPr>
          <w:lang w:val="cs-CZ"/>
        </w:rPr>
        <w:t xml:space="preserve">Každá členská země EU je vázána evropskou legislativou týkající se udržitelných veřejných financí, které se berou jako základní předpoklad pro fungování hospodářské </w:t>
      </w:r>
      <w:r w:rsidR="00DA2199" w:rsidRPr="00096052">
        <w:rPr>
          <w:lang w:val="cs-CZ"/>
        </w:rPr>
        <w:t>a</w:t>
      </w:r>
      <w:r w:rsidR="00DA2199">
        <w:rPr>
          <w:lang w:val="cs-CZ"/>
        </w:rPr>
        <w:t> </w:t>
      </w:r>
      <w:r w:rsidRPr="00096052">
        <w:rPr>
          <w:lang w:val="cs-CZ"/>
        </w:rPr>
        <w:t>měnové unie. Z tohoto důvodu je sice větší tlak na vynucování těchto pravidel kladen na členské státy eurozóny, vzhledem k propojenosti jednotného evropského trhu však pravidla platí pro všechny členské státy EU.</w:t>
      </w:r>
    </w:p>
    <w:p w14:paraId="6B4C9530" w14:textId="05ED3428" w:rsidR="00141F36" w:rsidRPr="00096052" w:rsidRDefault="00141F36" w:rsidP="00F25EB8">
      <w:pPr>
        <w:rPr>
          <w:lang w:val="cs-CZ"/>
        </w:rPr>
      </w:pPr>
      <w:r w:rsidRPr="00096052">
        <w:rPr>
          <w:lang w:val="cs-CZ"/>
        </w:rPr>
        <w:t xml:space="preserve">Základ pro fiskální disciplínu v EU tvoří Smlouva </w:t>
      </w:r>
      <w:r w:rsidR="00DA2199" w:rsidRPr="00096052">
        <w:rPr>
          <w:lang w:val="cs-CZ"/>
        </w:rPr>
        <w:t>o</w:t>
      </w:r>
      <w:r w:rsidR="00DA2199">
        <w:rPr>
          <w:lang w:val="cs-CZ"/>
        </w:rPr>
        <w:t> </w:t>
      </w:r>
      <w:r w:rsidRPr="00096052">
        <w:rPr>
          <w:lang w:val="cs-CZ"/>
        </w:rPr>
        <w:t xml:space="preserve">fungování Evropské unie </w:t>
      </w:r>
      <w:r w:rsidR="00DA2199" w:rsidRPr="00096052">
        <w:rPr>
          <w:lang w:val="cs-CZ"/>
        </w:rPr>
        <w:t>a</w:t>
      </w:r>
      <w:r w:rsidR="00DA2199">
        <w:rPr>
          <w:lang w:val="cs-CZ"/>
        </w:rPr>
        <w:t> </w:t>
      </w:r>
      <w:r w:rsidRPr="00096052">
        <w:rPr>
          <w:lang w:val="cs-CZ"/>
        </w:rPr>
        <w:t xml:space="preserve">Pakt </w:t>
      </w:r>
      <w:r w:rsidR="00DA2199" w:rsidRPr="00096052">
        <w:rPr>
          <w:lang w:val="cs-CZ"/>
        </w:rPr>
        <w:t>o</w:t>
      </w:r>
      <w:r w:rsidR="00DA2199">
        <w:rPr>
          <w:lang w:val="cs-CZ"/>
        </w:rPr>
        <w:t> </w:t>
      </w:r>
      <w:r w:rsidRPr="00096052">
        <w:rPr>
          <w:lang w:val="cs-CZ"/>
        </w:rPr>
        <w:t xml:space="preserve">stabilitě </w:t>
      </w:r>
      <w:r w:rsidR="00DA2199" w:rsidRPr="00096052">
        <w:rPr>
          <w:lang w:val="cs-CZ"/>
        </w:rPr>
        <w:t>a</w:t>
      </w:r>
      <w:r w:rsidR="00DA2199">
        <w:rPr>
          <w:lang w:val="cs-CZ"/>
        </w:rPr>
        <w:t> </w:t>
      </w:r>
      <w:r w:rsidRPr="00096052">
        <w:rPr>
          <w:lang w:val="cs-CZ"/>
        </w:rPr>
        <w:t xml:space="preserve">růstu, posílený </w:t>
      </w:r>
      <w:r w:rsidR="00DA2199" w:rsidRPr="00096052">
        <w:rPr>
          <w:lang w:val="cs-CZ"/>
        </w:rPr>
        <w:t>o</w:t>
      </w:r>
      <w:r w:rsidR="00DA2199">
        <w:rPr>
          <w:lang w:val="cs-CZ"/>
        </w:rPr>
        <w:t> </w:t>
      </w:r>
      <w:r w:rsidRPr="00096052">
        <w:rPr>
          <w:lang w:val="cs-CZ"/>
        </w:rPr>
        <w:t xml:space="preserve">soubor nařízení </w:t>
      </w:r>
      <w:r w:rsidR="00DA2199" w:rsidRPr="00096052">
        <w:rPr>
          <w:lang w:val="cs-CZ"/>
        </w:rPr>
        <w:t>a</w:t>
      </w:r>
      <w:r w:rsidR="00DA2199">
        <w:rPr>
          <w:lang w:val="cs-CZ"/>
        </w:rPr>
        <w:t> </w:t>
      </w:r>
      <w:r w:rsidRPr="00096052">
        <w:rPr>
          <w:lang w:val="cs-CZ"/>
        </w:rPr>
        <w:t xml:space="preserve">jedné směrnice v rámci tzv. 6-pack </w:t>
      </w:r>
      <w:r w:rsidR="00DA2199" w:rsidRPr="00096052">
        <w:rPr>
          <w:lang w:val="cs-CZ"/>
        </w:rPr>
        <w:t>a</w:t>
      </w:r>
      <w:r w:rsidR="00DA2199">
        <w:rPr>
          <w:lang w:val="cs-CZ"/>
        </w:rPr>
        <w:t> </w:t>
      </w:r>
      <w:r w:rsidRPr="00096052">
        <w:rPr>
          <w:lang w:val="cs-CZ"/>
        </w:rPr>
        <w:t xml:space="preserve">2-pack, jež byly reakcí na krizi z roku 2009. Pakt je tedy součástí souboru legislativních norem vztahujících se </w:t>
      </w:r>
      <w:r w:rsidR="00DA2199" w:rsidRPr="00096052">
        <w:rPr>
          <w:lang w:val="cs-CZ"/>
        </w:rPr>
        <w:t>k</w:t>
      </w:r>
      <w:r w:rsidR="00DA2199">
        <w:rPr>
          <w:lang w:val="cs-CZ"/>
        </w:rPr>
        <w:t> </w:t>
      </w:r>
      <w:r w:rsidRPr="00096052">
        <w:rPr>
          <w:lang w:val="cs-CZ"/>
        </w:rPr>
        <w:t xml:space="preserve">rozpočtům </w:t>
      </w:r>
      <w:r w:rsidR="00DA2199" w:rsidRPr="00096052">
        <w:rPr>
          <w:lang w:val="cs-CZ"/>
        </w:rPr>
        <w:t>a</w:t>
      </w:r>
      <w:r w:rsidR="00DA2199">
        <w:rPr>
          <w:lang w:val="cs-CZ"/>
        </w:rPr>
        <w:t> </w:t>
      </w:r>
      <w:r w:rsidRPr="00096052">
        <w:rPr>
          <w:lang w:val="cs-CZ"/>
        </w:rPr>
        <w:t>rozpočtové kázni. Konkrétní normy jsou uvedeny níže:</w:t>
      </w:r>
    </w:p>
    <w:p w14:paraId="7404508A" w14:textId="7B297780" w:rsidR="00141F36" w:rsidRPr="00F25EB8" w:rsidRDefault="00141F36" w:rsidP="00F25EB8">
      <w:pPr>
        <w:pStyle w:val="Odstavecseseznamem"/>
        <w:numPr>
          <w:ilvl w:val="0"/>
          <w:numId w:val="5"/>
        </w:numPr>
        <w:rPr>
          <w:lang w:val="cs-CZ"/>
        </w:rPr>
      </w:pPr>
      <w:r w:rsidRPr="00F25EB8">
        <w:rPr>
          <w:lang w:val="cs-CZ"/>
        </w:rPr>
        <w:t xml:space="preserve">Smlouva </w:t>
      </w:r>
      <w:r w:rsidR="00DA2199" w:rsidRPr="00F25EB8">
        <w:rPr>
          <w:lang w:val="cs-CZ"/>
        </w:rPr>
        <w:t>o</w:t>
      </w:r>
      <w:r w:rsidR="00DA2199">
        <w:rPr>
          <w:lang w:val="cs-CZ"/>
        </w:rPr>
        <w:t> </w:t>
      </w:r>
      <w:r w:rsidRPr="00F25EB8">
        <w:rPr>
          <w:lang w:val="cs-CZ"/>
        </w:rPr>
        <w:t xml:space="preserve">fungování Evropské unie, konkrétně články 119, 120, 121, 126, 136 </w:t>
      </w:r>
      <w:r w:rsidR="00DA2199" w:rsidRPr="00F25EB8">
        <w:rPr>
          <w:lang w:val="cs-CZ"/>
        </w:rPr>
        <w:t>a</w:t>
      </w:r>
      <w:r w:rsidR="00DA2199">
        <w:rPr>
          <w:lang w:val="cs-CZ"/>
        </w:rPr>
        <w:t> </w:t>
      </w:r>
      <w:r w:rsidRPr="00F25EB8">
        <w:rPr>
          <w:lang w:val="cs-CZ"/>
        </w:rPr>
        <w:t xml:space="preserve">Protokol </w:t>
      </w:r>
      <w:r w:rsidR="00DA2199" w:rsidRPr="00F25EB8">
        <w:rPr>
          <w:lang w:val="cs-CZ"/>
        </w:rPr>
        <w:t>č.</w:t>
      </w:r>
      <w:r w:rsidR="00DA2199">
        <w:rPr>
          <w:lang w:val="cs-CZ"/>
        </w:rPr>
        <w:t> </w:t>
      </w:r>
      <w:r w:rsidRPr="00F25EB8">
        <w:rPr>
          <w:lang w:val="cs-CZ"/>
        </w:rPr>
        <w:t>12</w:t>
      </w:r>
    </w:p>
    <w:p w14:paraId="6492B2F2" w14:textId="034E4178" w:rsidR="00141F36" w:rsidRPr="00F25EB8" w:rsidRDefault="00141F36" w:rsidP="00F25EB8">
      <w:pPr>
        <w:pStyle w:val="Odstavecseseznamem"/>
        <w:numPr>
          <w:ilvl w:val="0"/>
          <w:numId w:val="5"/>
        </w:numPr>
        <w:rPr>
          <w:lang w:val="cs-CZ"/>
        </w:rPr>
      </w:pPr>
      <w:r w:rsidRPr="00F25EB8">
        <w:rPr>
          <w:lang w:val="cs-CZ"/>
        </w:rPr>
        <w:t xml:space="preserve">Smlouva </w:t>
      </w:r>
      <w:r w:rsidR="00DA2199" w:rsidRPr="00F25EB8">
        <w:rPr>
          <w:lang w:val="cs-CZ"/>
        </w:rPr>
        <w:t>o</w:t>
      </w:r>
      <w:r w:rsidR="00DA2199">
        <w:rPr>
          <w:lang w:val="cs-CZ"/>
        </w:rPr>
        <w:t> </w:t>
      </w:r>
      <w:r w:rsidRPr="00F25EB8">
        <w:rPr>
          <w:lang w:val="cs-CZ"/>
        </w:rPr>
        <w:t>Evropské unii, konkrétně článek 3</w:t>
      </w:r>
    </w:p>
    <w:p w14:paraId="6AE7CEA5" w14:textId="67BA1B94" w:rsidR="00141F36" w:rsidRPr="00F25EB8" w:rsidRDefault="00141F36" w:rsidP="00F25EB8">
      <w:pPr>
        <w:pStyle w:val="Odstavecseseznamem"/>
        <w:numPr>
          <w:ilvl w:val="0"/>
          <w:numId w:val="5"/>
        </w:numPr>
        <w:rPr>
          <w:lang w:val="cs-CZ"/>
        </w:rPr>
      </w:pPr>
      <w:r w:rsidRPr="00F25EB8">
        <w:rPr>
          <w:lang w:val="cs-CZ"/>
        </w:rPr>
        <w:t xml:space="preserve">Nařízení Rady (ES) </w:t>
      </w:r>
      <w:r w:rsidR="00DA2199" w:rsidRPr="00F25EB8">
        <w:rPr>
          <w:lang w:val="cs-CZ"/>
        </w:rPr>
        <w:t>č.</w:t>
      </w:r>
      <w:r w:rsidR="00DA2199">
        <w:rPr>
          <w:lang w:val="cs-CZ"/>
        </w:rPr>
        <w:t> </w:t>
      </w:r>
      <w:r w:rsidRPr="00F25EB8">
        <w:rPr>
          <w:lang w:val="cs-CZ"/>
        </w:rPr>
        <w:t xml:space="preserve">1466/97 </w:t>
      </w:r>
      <w:r w:rsidR="00DA2199" w:rsidRPr="00F25EB8">
        <w:rPr>
          <w:lang w:val="cs-CZ"/>
        </w:rPr>
        <w:t>o</w:t>
      </w:r>
      <w:r w:rsidR="00DA2199">
        <w:rPr>
          <w:lang w:val="cs-CZ"/>
        </w:rPr>
        <w:t> </w:t>
      </w:r>
      <w:r w:rsidRPr="00F25EB8">
        <w:rPr>
          <w:lang w:val="cs-CZ"/>
        </w:rPr>
        <w:t xml:space="preserve">posílení dohledu nad stavy rozpočtů </w:t>
      </w:r>
      <w:r w:rsidR="00DA2199" w:rsidRPr="00F25EB8">
        <w:rPr>
          <w:lang w:val="cs-CZ"/>
        </w:rPr>
        <w:t>a</w:t>
      </w:r>
      <w:r w:rsidR="00DA2199">
        <w:rPr>
          <w:lang w:val="cs-CZ"/>
        </w:rPr>
        <w:t> </w:t>
      </w:r>
      <w:r w:rsidRPr="00F25EB8">
        <w:rPr>
          <w:lang w:val="cs-CZ"/>
        </w:rPr>
        <w:t xml:space="preserve">nad hospodářskými politikami </w:t>
      </w:r>
      <w:r w:rsidR="00DA2199" w:rsidRPr="00F25EB8">
        <w:rPr>
          <w:lang w:val="cs-CZ"/>
        </w:rPr>
        <w:t>a</w:t>
      </w:r>
      <w:r w:rsidR="00DA2199">
        <w:rPr>
          <w:lang w:val="cs-CZ"/>
        </w:rPr>
        <w:t> </w:t>
      </w:r>
      <w:r w:rsidR="00DA2199" w:rsidRPr="00F25EB8">
        <w:rPr>
          <w:lang w:val="cs-CZ"/>
        </w:rPr>
        <w:t>o</w:t>
      </w:r>
      <w:r w:rsidR="00DA2199">
        <w:rPr>
          <w:lang w:val="cs-CZ"/>
        </w:rPr>
        <w:t> </w:t>
      </w:r>
      <w:r w:rsidRPr="00F25EB8">
        <w:rPr>
          <w:lang w:val="cs-CZ"/>
        </w:rPr>
        <w:t>posílení koordinace hospodářských politik</w:t>
      </w:r>
    </w:p>
    <w:p w14:paraId="59EF7CE3" w14:textId="4DD58CF7" w:rsidR="00141F36" w:rsidRPr="00F25EB8" w:rsidRDefault="00141F36" w:rsidP="00F25EB8">
      <w:pPr>
        <w:pStyle w:val="Odstavecseseznamem"/>
        <w:numPr>
          <w:ilvl w:val="0"/>
          <w:numId w:val="5"/>
        </w:numPr>
        <w:rPr>
          <w:lang w:val="cs-CZ"/>
        </w:rPr>
      </w:pPr>
      <w:r w:rsidRPr="00F25EB8">
        <w:rPr>
          <w:lang w:val="cs-CZ"/>
        </w:rPr>
        <w:t xml:space="preserve">Nařízení Rady (ES) </w:t>
      </w:r>
      <w:r w:rsidR="00DA2199" w:rsidRPr="00F25EB8">
        <w:rPr>
          <w:lang w:val="cs-CZ"/>
        </w:rPr>
        <w:t>č.</w:t>
      </w:r>
      <w:r w:rsidR="00DA2199">
        <w:rPr>
          <w:lang w:val="cs-CZ"/>
        </w:rPr>
        <w:t> </w:t>
      </w:r>
      <w:r w:rsidRPr="00F25EB8">
        <w:rPr>
          <w:lang w:val="cs-CZ"/>
        </w:rPr>
        <w:t xml:space="preserve">1467/97 </w:t>
      </w:r>
      <w:r w:rsidR="00DA2199" w:rsidRPr="00F25EB8">
        <w:rPr>
          <w:lang w:val="cs-CZ"/>
        </w:rPr>
        <w:t>o</w:t>
      </w:r>
      <w:r w:rsidR="00DA2199">
        <w:rPr>
          <w:lang w:val="cs-CZ"/>
        </w:rPr>
        <w:t> </w:t>
      </w:r>
      <w:r w:rsidRPr="00F25EB8">
        <w:rPr>
          <w:lang w:val="cs-CZ"/>
        </w:rPr>
        <w:t xml:space="preserve">urychlení </w:t>
      </w:r>
      <w:r w:rsidR="00DA2199" w:rsidRPr="00F25EB8">
        <w:rPr>
          <w:lang w:val="cs-CZ"/>
        </w:rPr>
        <w:t>a</w:t>
      </w:r>
      <w:r w:rsidR="00DA2199">
        <w:rPr>
          <w:lang w:val="cs-CZ"/>
        </w:rPr>
        <w:t> </w:t>
      </w:r>
      <w:r w:rsidRPr="00F25EB8">
        <w:rPr>
          <w:lang w:val="cs-CZ"/>
        </w:rPr>
        <w:t>vyjasnění postupu při nadměrném schodku</w:t>
      </w:r>
    </w:p>
    <w:p w14:paraId="5396EE80" w14:textId="0A5E7BF4" w:rsidR="00141F36" w:rsidRPr="00F25EB8" w:rsidRDefault="00141F36" w:rsidP="00F25EB8">
      <w:pPr>
        <w:pStyle w:val="Odstavecseseznamem"/>
        <w:numPr>
          <w:ilvl w:val="0"/>
          <w:numId w:val="5"/>
        </w:numPr>
        <w:rPr>
          <w:lang w:val="cs-CZ"/>
        </w:rPr>
      </w:pPr>
      <w:r w:rsidRPr="00F25EB8">
        <w:rPr>
          <w:lang w:val="cs-CZ"/>
        </w:rPr>
        <w:t xml:space="preserve">Nařízení Rady (ES) </w:t>
      </w:r>
      <w:r w:rsidR="00DA2199" w:rsidRPr="00F25EB8">
        <w:rPr>
          <w:lang w:val="cs-CZ"/>
        </w:rPr>
        <w:t>č.</w:t>
      </w:r>
      <w:r w:rsidR="00DA2199">
        <w:rPr>
          <w:lang w:val="cs-CZ"/>
        </w:rPr>
        <w:t> </w:t>
      </w:r>
      <w:r w:rsidRPr="00F25EB8">
        <w:rPr>
          <w:lang w:val="cs-CZ"/>
        </w:rPr>
        <w:t xml:space="preserve">479/2009 </w:t>
      </w:r>
      <w:r w:rsidR="00DA2199" w:rsidRPr="00F25EB8">
        <w:rPr>
          <w:lang w:val="cs-CZ"/>
        </w:rPr>
        <w:t>o</w:t>
      </w:r>
      <w:r w:rsidR="00DA2199">
        <w:rPr>
          <w:lang w:val="cs-CZ"/>
        </w:rPr>
        <w:t> </w:t>
      </w:r>
      <w:r w:rsidRPr="00F25EB8">
        <w:rPr>
          <w:lang w:val="cs-CZ"/>
        </w:rPr>
        <w:t xml:space="preserve">použití Protokolu </w:t>
      </w:r>
      <w:r w:rsidR="00DA2199" w:rsidRPr="00F25EB8">
        <w:rPr>
          <w:lang w:val="cs-CZ"/>
        </w:rPr>
        <w:t>o</w:t>
      </w:r>
      <w:r w:rsidR="00DA2199">
        <w:rPr>
          <w:lang w:val="cs-CZ"/>
        </w:rPr>
        <w:t> </w:t>
      </w:r>
      <w:r w:rsidRPr="00F25EB8">
        <w:rPr>
          <w:lang w:val="cs-CZ"/>
        </w:rPr>
        <w:t xml:space="preserve">postupu při nadměrném schodku, připojeného ke Smlouvě </w:t>
      </w:r>
      <w:r w:rsidR="00DA2199" w:rsidRPr="00F25EB8">
        <w:rPr>
          <w:lang w:val="cs-CZ"/>
        </w:rPr>
        <w:t>o</w:t>
      </w:r>
      <w:r w:rsidR="00DA2199">
        <w:rPr>
          <w:lang w:val="cs-CZ"/>
        </w:rPr>
        <w:t> </w:t>
      </w:r>
      <w:r w:rsidRPr="00F25EB8">
        <w:rPr>
          <w:lang w:val="cs-CZ"/>
        </w:rPr>
        <w:t>založení Evropského společenství</w:t>
      </w:r>
    </w:p>
    <w:p w14:paraId="60487CC4" w14:textId="65CDC488" w:rsidR="00141F36" w:rsidRPr="00F25EB8" w:rsidRDefault="00141F36" w:rsidP="00F25EB8">
      <w:pPr>
        <w:pStyle w:val="Odstavecseseznamem"/>
        <w:numPr>
          <w:ilvl w:val="0"/>
          <w:numId w:val="5"/>
        </w:numPr>
        <w:rPr>
          <w:lang w:val="cs-CZ"/>
        </w:rPr>
      </w:pPr>
      <w:r w:rsidRPr="00F25EB8">
        <w:rPr>
          <w:lang w:val="cs-CZ"/>
        </w:rPr>
        <w:t xml:space="preserve">Nařízení EU </w:t>
      </w:r>
      <w:r w:rsidR="00DA2199" w:rsidRPr="00F25EB8">
        <w:rPr>
          <w:lang w:val="cs-CZ"/>
        </w:rPr>
        <w:t>č.</w:t>
      </w:r>
      <w:r w:rsidR="00DA2199">
        <w:rPr>
          <w:lang w:val="cs-CZ"/>
        </w:rPr>
        <w:t> </w:t>
      </w:r>
      <w:r w:rsidRPr="00F25EB8">
        <w:rPr>
          <w:lang w:val="cs-CZ"/>
        </w:rPr>
        <w:t xml:space="preserve">1173/2011 </w:t>
      </w:r>
      <w:r w:rsidR="00DA2199" w:rsidRPr="00F25EB8">
        <w:rPr>
          <w:lang w:val="cs-CZ"/>
        </w:rPr>
        <w:t>o</w:t>
      </w:r>
      <w:r w:rsidR="00DA2199">
        <w:rPr>
          <w:lang w:val="cs-CZ"/>
        </w:rPr>
        <w:t> </w:t>
      </w:r>
      <w:r w:rsidRPr="00F25EB8">
        <w:rPr>
          <w:lang w:val="cs-CZ"/>
        </w:rPr>
        <w:t xml:space="preserve">účinném prosazování rozpočtového dohledu </w:t>
      </w:r>
      <w:r w:rsidR="00DA2199" w:rsidRPr="00F25EB8">
        <w:rPr>
          <w:lang w:val="cs-CZ"/>
        </w:rPr>
        <w:t>v</w:t>
      </w:r>
      <w:r w:rsidR="00DA2199">
        <w:rPr>
          <w:lang w:val="cs-CZ"/>
        </w:rPr>
        <w:t> </w:t>
      </w:r>
      <w:r w:rsidRPr="00F25EB8">
        <w:rPr>
          <w:lang w:val="cs-CZ"/>
        </w:rPr>
        <w:t>eurozóně</w:t>
      </w:r>
    </w:p>
    <w:p w14:paraId="57E743FE" w14:textId="2D8FC443" w:rsidR="00141F36" w:rsidRPr="00F25EB8" w:rsidRDefault="00141F36" w:rsidP="00F25EB8">
      <w:pPr>
        <w:pStyle w:val="Odstavecseseznamem"/>
        <w:numPr>
          <w:ilvl w:val="0"/>
          <w:numId w:val="5"/>
        </w:numPr>
        <w:rPr>
          <w:lang w:val="cs-CZ"/>
        </w:rPr>
      </w:pPr>
      <w:r w:rsidRPr="00F25EB8">
        <w:rPr>
          <w:lang w:val="cs-CZ"/>
        </w:rPr>
        <w:t xml:space="preserve">Nařízení EU </w:t>
      </w:r>
      <w:r w:rsidR="00DA2199" w:rsidRPr="00F25EB8">
        <w:rPr>
          <w:lang w:val="cs-CZ"/>
        </w:rPr>
        <w:t>č.</w:t>
      </w:r>
      <w:r w:rsidR="00DA2199">
        <w:rPr>
          <w:lang w:val="cs-CZ"/>
        </w:rPr>
        <w:t> </w:t>
      </w:r>
      <w:r w:rsidRPr="00F25EB8">
        <w:rPr>
          <w:lang w:val="cs-CZ"/>
        </w:rPr>
        <w:t xml:space="preserve">1174/2011 </w:t>
      </w:r>
      <w:r w:rsidR="00DA2199" w:rsidRPr="00F25EB8">
        <w:rPr>
          <w:lang w:val="cs-CZ"/>
        </w:rPr>
        <w:t>o</w:t>
      </w:r>
      <w:r w:rsidR="00DA2199">
        <w:rPr>
          <w:lang w:val="cs-CZ"/>
        </w:rPr>
        <w:t> </w:t>
      </w:r>
      <w:r w:rsidRPr="00F25EB8">
        <w:rPr>
          <w:lang w:val="cs-CZ"/>
        </w:rPr>
        <w:t xml:space="preserve">donucovacích opatřeních </w:t>
      </w:r>
      <w:r w:rsidR="00DA2199" w:rsidRPr="00F25EB8">
        <w:rPr>
          <w:lang w:val="cs-CZ"/>
        </w:rPr>
        <w:t>k</w:t>
      </w:r>
      <w:r w:rsidR="00DA2199">
        <w:rPr>
          <w:lang w:val="cs-CZ"/>
        </w:rPr>
        <w:t> </w:t>
      </w:r>
      <w:r w:rsidRPr="00F25EB8">
        <w:rPr>
          <w:lang w:val="cs-CZ"/>
        </w:rPr>
        <w:t xml:space="preserve">nápravě nadměrné makroekonomické nerovnováhy </w:t>
      </w:r>
      <w:r w:rsidR="00DA2199" w:rsidRPr="00F25EB8">
        <w:rPr>
          <w:lang w:val="cs-CZ"/>
        </w:rPr>
        <w:t>v</w:t>
      </w:r>
      <w:r w:rsidR="00DA2199">
        <w:rPr>
          <w:lang w:val="cs-CZ"/>
        </w:rPr>
        <w:t> </w:t>
      </w:r>
      <w:r w:rsidRPr="00F25EB8">
        <w:rPr>
          <w:lang w:val="cs-CZ"/>
        </w:rPr>
        <w:t xml:space="preserve">eurozóně </w:t>
      </w:r>
    </w:p>
    <w:p w14:paraId="5E284A7A" w14:textId="07974AEC" w:rsidR="00141F36" w:rsidRPr="00F25EB8" w:rsidRDefault="00141F36" w:rsidP="00F25EB8">
      <w:pPr>
        <w:pStyle w:val="Odstavecseseznamem"/>
        <w:numPr>
          <w:ilvl w:val="0"/>
          <w:numId w:val="5"/>
        </w:numPr>
        <w:rPr>
          <w:lang w:val="cs-CZ"/>
        </w:rPr>
      </w:pPr>
      <w:r w:rsidRPr="00F25EB8">
        <w:rPr>
          <w:lang w:val="cs-CZ"/>
        </w:rPr>
        <w:t xml:space="preserve">Nařízení EU </w:t>
      </w:r>
      <w:r w:rsidR="00DA2199" w:rsidRPr="00F25EB8">
        <w:rPr>
          <w:lang w:val="cs-CZ"/>
        </w:rPr>
        <w:t>č.</w:t>
      </w:r>
      <w:r w:rsidR="00DA2199">
        <w:rPr>
          <w:lang w:val="cs-CZ"/>
        </w:rPr>
        <w:t> </w:t>
      </w:r>
      <w:r w:rsidRPr="00F25EB8">
        <w:rPr>
          <w:lang w:val="cs-CZ"/>
        </w:rPr>
        <w:t xml:space="preserve">1175/2011, kterým se mění nařízení Rady (ES) </w:t>
      </w:r>
      <w:r w:rsidR="00DA2199" w:rsidRPr="00F25EB8">
        <w:rPr>
          <w:lang w:val="cs-CZ"/>
        </w:rPr>
        <w:t>č.</w:t>
      </w:r>
      <w:r w:rsidR="00DA2199">
        <w:rPr>
          <w:lang w:val="cs-CZ"/>
        </w:rPr>
        <w:t> </w:t>
      </w:r>
      <w:r w:rsidRPr="00F25EB8">
        <w:rPr>
          <w:lang w:val="cs-CZ"/>
        </w:rPr>
        <w:t xml:space="preserve">1466/97 </w:t>
      </w:r>
      <w:r w:rsidR="00DA2199" w:rsidRPr="00F25EB8">
        <w:rPr>
          <w:lang w:val="cs-CZ"/>
        </w:rPr>
        <w:t>o</w:t>
      </w:r>
      <w:r w:rsidR="00DA2199">
        <w:rPr>
          <w:lang w:val="cs-CZ"/>
        </w:rPr>
        <w:t> </w:t>
      </w:r>
      <w:r w:rsidRPr="00F25EB8">
        <w:rPr>
          <w:lang w:val="cs-CZ"/>
        </w:rPr>
        <w:t xml:space="preserve">posílení dohledu nad stavy rozpočtů </w:t>
      </w:r>
      <w:r w:rsidR="00DA2199" w:rsidRPr="00F25EB8">
        <w:rPr>
          <w:lang w:val="cs-CZ"/>
        </w:rPr>
        <w:t>a</w:t>
      </w:r>
      <w:r w:rsidR="00DA2199">
        <w:rPr>
          <w:lang w:val="cs-CZ"/>
        </w:rPr>
        <w:t> </w:t>
      </w:r>
      <w:r w:rsidRPr="00F25EB8">
        <w:rPr>
          <w:lang w:val="cs-CZ"/>
        </w:rPr>
        <w:t xml:space="preserve">nad hospodářskými politikami </w:t>
      </w:r>
      <w:r w:rsidR="00DA2199" w:rsidRPr="00F25EB8">
        <w:rPr>
          <w:lang w:val="cs-CZ"/>
        </w:rPr>
        <w:t>a</w:t>
      </w:r>
      <w:r w:rsidR="00DA2199">
        <w:rPr>
          <w:lang w:val="cs-CZ"/>
        </w:rPr>
        <w:t> </w:t>
      </w:r>
      <w:r w:rsidR="00DA2199" w:rsidRPr="00F25EB8">
        <w:rPr>
          <w:lang w:val="cs-CZ"/>
        </w:rPr>
        <w:t>o</w:t>
      </w:r>
      <w:r w:rsidR="00DA2199">
        <w:rPr>
          <w:lang w:val="cs-CZ"/>
        </w:rPr>
        <w:t> </w:t>
      </w:r>
      <w:r w:rsidRPr="00F25EB8">
        <w:rPr>
          <w:lang w:val="cs-CZ"/>
        </w:rPr>
        <w:t>posílení koordinace hospodářských politik</w:t>
      </w:r>
    </w:p>
    <w:p w14:paraId="4ABE170A" w14:textId="4449B181" w:rsidR="00141F36" w:rsidRPr="00F25EB8" w:rsidRDefault="00141F36" w:rsidP="00F25EB8">
      <w:pPr>
        <w:pStyle w:val="Odstavecseseznamem"/>
        <w:numPr>
          <w:ilvl w:val="0"/>
          <w:numId w:val="5"/>
        </w:numPr>
        <w:rPr>
          <w:lang w:val="cs-CZ"/>
        </w:rPr>
      </w:pPr>
      <w:r w:rsidRPr="00F25EB8">
        <w:rPr>
          <w:lang w:val="cs-CZ"/>
        </w:rPr>
        <w:t xml:space="preserve">Nařízení EU </w:t>
      </w:r>
      <w:r w:rsidR="00DA2199" w:rsidRPr="00F25EB8">
        <w:rPr>
          <w:lang w:val="cs-CZ"/>
        </w:rPr>
        <w:t>č.</w:t>
      </w:r>
      <w:r w:rsidR="00DA2199">
        <w:rPr>
          <w:lang w:val="cs-CZ"/>
        </w:rPr>
        <w:t> </w:t>
      </w:r>
      <w:r w:rsidRPr="00F25EB8">
        <w:rPr>
          <w:lang w:val="cs-CZ"/>
        </w:rPr>
        <w:t xml:space="preserve">1176/2011 </w:t>
      </w:r>
      <w:r w:rsidR="00DA2199" w:rsidRPr="00F25EB8">
        <w:rPr>
          <w:lang w:val="cs-CZ"/>
        </w:rPr>
        <w:t>o</w:t>
      </w:r>
      <w:r w:rsidR="00DA2199">
        <w:rPr>
          <w:lang w:val="cs-CZ"/>
        </w:rPr>
        <w:t> </w:t>
      </w:r>
      <w:r w:rsidRPr="00F25EB8">
        <w:rPr>
          <w:lang w:val="cs-CZ"/>
        </w:rPr>
        <w:t xml:space="preserve">prevenci </w:t>
      </w:r>
      <w:r w:rsidR="00DA2199" w:rsidRPr="00F25EB8">
        <w:rPr>
          <w:lang w:val="cs-CZ"/>
        </w:rPr>
        <w:t>a</w:t>
      </w:r>
      <w:r w:rsidR="00DA2199">
        <w:rPr>
          <w:lang w:val="cs-CZ"/>
        </w:rPr>
        <w:t> </w:t>
      </w:r>
      <w:r w:rsidRPr="00F25EB8">
        <w:rPr>
          <w:lang w:val="cs-CZ"/>
        </w:rPr>
        <w:t>nápravě makroekonomické nerovnováhy</w:t>
      </w:r>
    </w:p>
    <w:p w14:paraId="7986C9F9" w14:textId="7DF7F399" w:rsidR="00141F36" w:rsidRPr="00F25EB8" w:rsidRDefault="00141F36" w:rsidP="00F25EB8">
      <w:pPr>
        <w:pStyle w:val="Odstavecseseznamem"/>
        <w:numPr>
          <w:ilvl w:val="0"/>
          <w:numId w:val="5"/>
        </w:numPr>
        <w:rPr>
          <w:lang w:val="cs-CZ"/>
        </w:rPr>
      </w:pPr>
      <w:r w:rsidRPr="00F25EB8">
        <w:rPr>
          <w:lang w:val="cs-CZ"/>
        </w:rPr>
        <w:t xml:space="preserve">Nařízení Rady (EU) </w:t>
      </w:r>
      <w:r w:rsidR="00DA2199" w:rsidRPr="00F25EB8">
        <w:rPr>
          <w:lang w:val="cs-CZ"/>
        </w:rPr>
        <w:t>č.</w:t>
      </w:r>
      <w:r w:rsidR="00DA2199">
        <w:rPr>
          <w:lang w:val="cs-CZ"/>
        </w:rPr>
        <w:t> </w:t>
      </w:r>
      <w:r w:rsidRPr="00F25EB8">
        <w:rPr>
          <w:lang w:val="cs-CZ"/>
        </w:rPr>
        <w:t xml:space="preserve">1177/2011, kterým se mění nařízení (ES) </w:t>
      </w:r>
      <w:r w:rsidR="00DA2199" w:rsidRPr="00F25EB8">
        <w:rPr>
          <w:lang w:val="cs-CZ"/>
        </w:rPr>
        <w:t>č.</w:t>
      </w:r>
      <w:r w:rsidR="00DA2199">
        <w:rPr>
          <w:lang w:val="cs-CZ"/>
        </w:rPr>
        <w:t> </w:t>
      </w:r>
      <w:r w:rsidRPr="00F25EB8">
        <w:rPr>
          <w:lang w:val="cs-CZ"/>
        </w:rPr>
        <w:t xml:space="preserve">1467/97 </w:t>
      </w:r>
      <w:r w:rsidR="00DA2199" w:rsidRPr="00F25EB8">
        <w:rPr>
          <w:lang w:val="cs-CZ"/>
        </w:rPr>
        <w:t>o</w:t>
      </w:r>
      <w:r w:rsidR="00DA2199">
        <w:rPr>
          <w:lang w:val="cs-CZ"/>
        </w:rPr>
        <w:t> </w:t>
      </w:r>
      <w:r w:rsidRPr="00F25EB8">
        <w:rPr>
          <w:lang w:val="cs-CZ"/>
        </w:rPr>
        <w:t xml:space="preserve">urychlení </w:t>
      </w:r>
      <w:r w:rsidR="00DA2199" w:rsidRPr="00F25EB8">
        <w:rPr>
          <w:lang w:val="cs-CZ"/>
        </w:rPr>
        <w:t>a</w:t>
      </w:r>
      <w:r w:rsidR="00DA2199">
        <w:rPr>
          <w:lang w:val="cs-CZ"/>
        </w:rPr>
        <w:t> </w:t>
      </w:r>
      <w:r w:rsidRPr="00F25EB8">
        <w:rPr>
          <w:lang w:val="cs-CZ"/>
        </w:rPr>
        <w:t>vyjasnění postupu při nadměrném schodku</w:t>
      </w:r>
    </w:p>
    <w:p w14:paraId="42FF5283" w14:textId="05CBEE41" w:rsidR="00141F36" w:rsidRPr="00F25EB8" w:rsidRDefault="00141F36" w:rsidP="00F25EB8">
      <w:pPr>
        <w:pStyle w:val="Odstavecseseznamem"/>
        <w:numPr>
          <w:ilvl w:val="0"/>
          <w:numId w:val="5"/>
        </w:numPr>
        <w:rPr>
          <w:lang w:val="cs-CZ"/>
        </w:rPr>
      </w:pPr>
      <w:r w:rsidRPr="00F25EB8">
        <w:rPr>
          <w:lang w:val="cs-CZ"/>
        </w:rPr>
        <w:t xml:space="preserve">Směrnice Rady EU </w:t>
      </w:r>
      <w:r w:rsidR="00DA2199" w:rsidRPr="00F25EB8">
        <w:rPr>
          <w:lang w:val="cs-CZ"/>
        </w:rPr>
        <w:t>č.</w:t>
      </w:r>
      <w:r w:rsidR="00DA2199">
        <w:rPr>
          <w:lang w:val="cs-CZ"/>
        </w:rPr>
        <w:t> </w:t>
      </w:r>
      <w:r w:rsidRPr="00F25EB8">
        <w:rPr>
          <w:lang w:val="cs-CZ"/>
        </w:rPr>
        <w:t xml:space="preserve">2011/85/EU </w:t>
      </w:r>
      <w:r w:rsidR="00DA2199" w:rsidRPr="00F25EB8">
        <w:rPr>
          <w:lang w:val="cs-CZ"/>
        </w:rPr>
        <w:t>o</w:t>
      </w:r>
      <w:r w:rsidR="00DA2199">
        <w:rPr>
          <w:lang w:val="cs-CZ"/>
        </w:rPr>
        <w:t> </w:t>
      </w:r>
      <w:r w:rsidRPr="00F25EB8">
        <w:rPr>
          <w:lang w:val="cs-CZ"/>
        </w:rPr>
        <w:t>požadavcích na rozpočtové rámce členských států</w:t>
      </w:r>
    </w:p>
    <w:p w14:paraId="580D4B92" w14:textId="6FCED173" w:rsidR="00141F36" w:rsidRPr="00F25EB8" w:rsidRDefault="00141F36" w:rsidP="00F25EB8">
      <w:pPr>
        <w:pStyle w:val="Odstavecseseznamem"/>
        <w:numPr>
          <w:ilvl w:val="0"/>
          <w:numId w:val="5"/>
        </w:numPr>
        <w:rPr>
          <w:lang w:val="cs-CZ"/>
        </w:rPr>
      </w:pPr>
      <w:r w:rsidRPr="00F25EB8">
        <w:rPr>
          <w:lang w:val="cs-CZ"/>
        </w:rPr>
        <w:t xml:space="preserve">Nařízení EU </w:t>
      </w:r>
      <w:r w:rsidR="00DA2199" w:rsidRPr="00F25EB8">
        <w:rPr>
          <w:lang w:val="cs-CZ"/>
        </w:rPr>
        <w:t>č.</w:t>
      </w:r>
      <w:r w:rsidR="00DA2199">
        <w:rPr>
          <w:lang w:val="cs-CZ"/>
        </w:rPr>
        <w:t> </w:t>
      </w:r>
      <w:r w:rsidRPr="00F25EB8">
        <w:rPr>
          <w:lang w:val="cs-CZ"/>
        </w:rPr>
        <w:t xml:space="preserve">472/2013 </w:t>
      </w:r>
      <w:r w:rsidR="00DA2199" w:rsidRPr="00F25EB8">
        <w:rPr>
          <w:lang w:val="cs-CZ"/>
        </w:rPr>
        <w:t>o</w:t>
      </w:r>
      <w:r w:rsidR="00DA2199">
        <w:rPr>
          <w:lang w:val="cs-CZ"/>
        </w:rPr>
        <w:t> </w:t>
      </w:r>
      <w:r w:rsidRPr="00F25EB8">
        <w:rPr>
          <w:lang w:val="cs-CZ"/>
        </w:rPr>
        <w:t xml:space="preserve">posílení hospodářského </w:t>
      </w:r>
      <w:r w:rsidR="00DA2199" w:rsidRPr="00F25EB8">
        <w:rPr>
          <w:lang w:val="cs-CZ"/>
        </w:rPr>
        <w:t>a</w:t>
      </w:r>
      <w:r w:rsidR="00DA2199">
        <w:rPr>
          <w:lang w:val="cs-CZ"/>
        </w:rPr>
        <w:t> </w:t>
      </w:r>
      <w:r w:rsidRPr="00F25EB8">
        <w:rPr>
          <w:lang w:val="cs-CZ"/>
        </w:rPr>
        <w:t>rozpočtového dohledu nad členskými státy eurozóny, jejichž finanční stabilita je postižena či ohrožena závažnými obtížemi</w:t>
      </w:r>
    </w:p>
    <w:p w14:paraId="11191408" w14:textId="4214342E" w:rsidR="00141F36" w:rsidRPr="00F25EB8" w:rsidRDefault="00141F36" w:rsidP="00F25EB8">
      <w:pPr>
        <w:pStyle w:val="Odstavecseseznamem"/>
        <w:numPr>
          <w:ilvl w:val="0"/>
          <w:numId w:val="5"/>
        </w:numPr>
        <w:rPr>
          <w:lang w:val="cs-CZ"/>
        </w:rPr>
      </w:pPr>
      <w:r w:rsidRPr="00F25EB8">
        <w:rPr>
          <w:lang w:val="cs-CZ"/>
        </w:rPr>
        <w:t xml:space="preserve">Nařízení EU </w:t>
      </w:r>
      <w:r w:rsidR="00DA2199" w:rsidRPr="00F25EB8">
        <w:rPr>
          <w:lang w:val="cs-CZ"/>
        </w:rPr>
        <w:t>č.</w:t>
      </w:r>
      <w:r w:rsidR="00DA2199">
        <w:rPr>
          <w:lang w:val="cs-CZ"/>
        </w:rPr>
        <w:t> </w:t>
      </w:r>
      <w:r w:rsidRPr="00F25EB8">
        <w:rPr>
          <w:lang w:val="cs-CZ"/>
        </w:rPr>
        <w:t xml:space="preserve">473/2013 </w:t>
      </w:r>
      <w:r w:rsidR="00DA2199" w:rsidRPr="00F25EB8">
        <w:rPr>
          <w:lang w:val="cs-CZ"/>
        </w:rPr>
        <w:t>o</w:t>
      </w:r>
      <w:r w:rsidR="00DA2199">
        <w:rPr>
          <w:lang w:val="cs-CZ"/>
        </w:rPr>
        <w:t> </w:t>
      </w:r>
      <w:r w:rsidRPr="00F25EB8">
        <w:rPr>
          <w:lang w:val="cs-CZ"/>
        </w:rPr>
        <w:t xml:space="preserve">společných ustanoveních týkajících se sledování </w:t>
      </w:r>
      <w:r w:rsidR="00DA2199" w:rsidRPr="00F25EB8">
        <w:rPr>
          <w:lang w:val="cs-CZ"/>
        </w:rPr>
        <w:t>a</w:t>
      </w:r>
      <w:r w:rsidR="00DA2199">
        <w:rPr>
          <w:lang w:val="cs-CZ"/>
        </w:rPr>
        <w:t> </w:t>
      </w:r>
      <w:r w:rsidRPr="00F25EB8">
        <w:rPr>
          <w:lang w:val="cs-CZ"/>
        </w:rPr>
        <w:t xml:space="preserve">posuzování návrhů rozpočtových plánů </w:t>
      </w:r>
      <w:r w:rsidR="00DA2199" w:rsidRPr="00F25EB8">
        <w:rPr>
          <w:lang w:val="cs-CZ"/>
        </w:rPr>
        <w:t>a</w:t>
      </w:r>
      <w:r w:rsidR="00DA2199">
        <w:rPr>
          <w:lang w:val="cs-CZ"/>
        </w:rPr>
        <w:t> </w:t>
      </w:r>
      <w:r w:rsidRPr="00F25EB8">
        <w:rPr>
          <w:lang w:val="cs-CZ"/>
        </w:rPr>
        <w:t xml:space="preserve">zajišťování nápravy nadměrného schodku členských států </w:t>
      </w:r>
      <w:r w:rsidR="00DA2199" w:rsidRPr="00F25EB8">
        <w:rPr>
          <w:lang w:val="cs-CZ"/>
        </w:rPr>
        <w:t>v</w:t>
      </w:r>
      <w:r w:rsidR="00DA2199">
        <w:rPr>
          <w:lang w:val="cs-CZ"/>
        </w:rPr>
        <w:t> </w:t>
      </w:r>
      <w:r w:rsidRPr="00F25EB8">
        <w:rPr>
          <w:lang w:val="cs-CZ"/>
        </w:rPr>
        <w:t>eurozóně</w:t>
      </w:r>
    </w:p>
    <w:p w14:paraId="5CC93760" w14:textId="2D21214B" w:rsidR="00141F36" w:rsidRPr="00096052" w:rsidRDefault="00141F36" w:rsidP="00F25EB8">
      <w:pPr>
        <w:rPr>
          <w:lang w:val="cs-CZ"/>
        </w:rPr>
      </w:pPr>
      <w:r w:rsidRPr="00096052">
        <w:rPr>
          <w:lang w:val="cs-CZ"/>
        </w:rPr>
        <w:t xml:space="preserve">Na národní úrovni jde pak </w:t>
      </w:r>
      <w:r w:rsidR="00DA2199" w:rsidRPr="00096052">
        <w:rPr>
          <w:lang w:val="cs-CZ"/>
        </w:rPr>
        <w:t>o</w:t>
      </w:r>
      <w:r w:rsidR="00DA2199">
        <w:rPr>
          <w:lang w:val="cs-CZ"/>
        </w:rPr>
        <w:t> </w:t>
      </w:r>
      <w:r w:rsidRPr="00096052">
        <w:rPr>
          <w:lang w:val="cs-CZ"/>
        </w:rPr>
        <w:t xml:space="preserve">zákon </w:t>
      </w:r>
      <w:r w:rsidR="00DA2199" w:rsidRPr="00096052">
        <w:rPr>
          <w:lang w:val="cs-CZ"/>
        </w:rPr>
        <w:t>č.</w:t>
      </w:r>
      <w:r w:rsidR="00DA2199">
        <w:rPr>
          <w:lang w:val="cs-CZ"/>
        </w:rPr>
        <w:t> </w:t>
      </w:r>
      <w:r w:rsidRPr="00096052">
        <w:rPr>
          <w:lang w:val="cs-CZ"/>
        </w:rPr>
        <w:t xml:space="preserve">23/2017 Sb., </w:t>
      </w:r>
      <w:r w:rsidR="00DA2199" w:rsidRPr="00096052">
        <w:rPr>
          <w:lang w:val="cs-CZ"/>
        </w:rPr>
        <w:t>o</w:t>
      </w:r>
      <w:r w:rsidR="00DA2199">
        <w:rPr>
          <w:lang w:val="cs-CZ"/>
        </w:rPr>
        <w:t> </w:t>
      </w:r>
      <w:r w:rsidRPr="00096052">
        <w:rPr>
          <w:lang w:val="cs-CZ"/>
        </w:rPr>
        <w:t>pravidlech rozpočtové odpovědnosti, ve znění pozdějších předpisů.</w:t>
      </w:r>
    </w:p>
    <w:p w14:paraId="2E5E3BC3" w14:textId="5B3D9DC6" w:rsidR="00141F36" w:rsidRPr="00096052" w:rsidRDefault="00141F36" w:rsidP="00F25EB8">
      <w:pPr>
        <w:rPr>
          <w:lang w:val="cs-CZ"/>
        </w:rPr>
      </w:pPr>
      <w:r w:rsidRPr="00096052">
        <w:rPr>
          <w:lang w:val="cs-CZ"/>
        </w:rPr>
        <w:t xml:space="preserve">Smlouva </w:t>
      </w:r>
      <w:r w:rsidR="00DA2199" w:rsidRPr="00096052">
        <w:rPr>
          <w:lang w:val="cs-CZ"/>
        </w:rPr>
        <w:t>o</w:t>
      </w:r>
      <w:r w:rsidR="00DA2199">
        <w:rPr>
          <w:lang w:val="cs-CZ"/>
        </w:rPr>
        <w:t> </w:t>
      </w:r>
      <w:r w:rsidRPr="00096052">
        <w:rPr>
          <w:lang w:val="cs-CZ"/>
        </w:rPr>
        <w:t xml:space="preserve">fungování EU v předmětných ustanoveních deklaruje zásady mnohostranného dohledu nad hospodářskými politikami v členských státech </w:t>
      </w:r>
      <w:r w:rsidR="00DA2199" w:rsidRPr="00096052">
        <w:rPr>
          <w:lang w:val="cs-CZ"/>
        </w:rPr>
        <w:t>a</w:t>
      </w:r>
      <w:r w:rsidR="00DA2199">
        <w:rPr>
          <w:lang w:val="cs-CZ"/>
        </w:rPr>
        <w:t> </w:t>
      </w:r>
      <w:r w:rsidRPr="00096052">
        <w:rPr>
          <w:lang w:val="cs-CZ"/>
        </w:rPr>
        <w:t xml:space="preserve">postupy v případě zjištění nežádoucího směřování, které může být hrozbou pro fungování hospodářské </w:t>
      </w:r>
      <w:r w:rsidR="00DA2199" w:rsidRPr="00096052">
        <w:rPr>
          <w:lang w:val="cs-CZ"/>
        </w:rPr>
        <w:t>a</w:t>
      </w:r>
      <w:r w:rsidR="00DA2199">
        <w:rPr>
          <w:lang w:val="cs-CZ"/>
        </w:rPr>
        <w:t> </w:t>
      </w:r>
      <w:r w:rsidRPr="00096052">
        <w:rPr>
          <w:lang w:val="cs-CZ"/>
        </w:rPr>
        <w:t xml:space="preserve">měnové unie. V případě, že země poruší stanovená kritéria deficitu </w:t>
      </w:r>
      <w:r w:rsidR="00DA2199" w:rsidRPr="00096052">
        <w:rPr>
          <w:lang w:val="cs-CZ"/>
        </w:rPr>
        <w:t>a</w:t>
      </w:r>
      <w:r w:rsidR="00DA2199">
        <w:rPr>
          <w:lang w:val="cs-CZ"/>
        </w:rPr>
        <w:t> </w:t>
      </w:r>
      <w:r w:rsidRPr="00096052">
        <w:rPr>
          <w:lang w:val="cs-CZ"/>
        </w:rPr>
        <w:t xml:space="preserve">dluhu sektoru vládních institucí, definují se postupy pro nápravu nadměrného schodku. Postup při nadměrném schodku je podrobněji popsán </w:t>
      </w:r>
      <w:r w:rsidR="00DA2199" w:rsidRPr="00096052">
        <w:rPr>
          <w:lang w:val="cs-CZ"/>
        </w:rPr>
        <w:t>v</w:t>
      </w:r>
      <w:r w:rsidR="00DA2199">
        <w:rPr>
          <w:lang w:val="cs-CZ"/>
        </w:rPr>
        <w:t> </w:t>
      </w:r>
      <w:r w:rsidRPr="00096052">
        <w:rPr>
          <w:lang w:val="cs-CZ"/>
        </w:rPr>
        <w:t xml:space="preserve">nařízení Rady </w:t>
      </w:r>
      <w:r w:rsidR="00DA2199" w:rsidRPr="00096052">
        <w:rPr>
          <w:lang w:val="cs-CZ"/>
        </w:rPr>
        <w:t>č.</w:t>
      </w:r>
      <w:r w:rsidR="00DA2199">
        <w:rPr>
          <w:lang w:val="cs-CZ"/>
        </w:rPr>
        <w:t> </w:t>
      </w:r>
      <w:r w:rsidRPr="00096052">
        <w:rPr>
          <w:lang w:val="cs-CZ"/>
        </w:rPr>
        <w:t xml:space="preserve">1467/97 </w:t>
      </w:r>
      <w:r w:rsidR="00DA2199" w:rsidRPr="00096052">
        <w:rPr>
          <w:lang w:val="cs-CZ"/>
        </w:rPr>
        <w:t>o</w:t>
      </w:r>
      <w:r w:rsidR="00DA2199">
        <w:rPr>
          <w:lang w:val="cs-CZ"/>
        </w:rPr>
        <w:t> </w:t>
      </w:r>
      <w:r w:rsidRPr="00096052">
        <w:rPr>
          <w:lang w:val="cs-CZ"/>
        </w:rPr>
        <w:t xml:space="preserve">urychlení </w:t>
      </w:r>
      <w:r w:rsidR="00DA2199" w:rsidRPr="00096052">
        <w:rPr>
          <w:lang w:val="cs-CZ"/>
        </w:rPr>
        <w:t>a</w:t>
      </w:r>
      <w:r w:rsidR="00DA2199">
        <w:rPr>
          <w:lang w:val="cs-CZ"/>
        </w:rPr>
        <w:t> </w:t>
      </w:r>
      <w:r w:rsidRPr="00096052">
        <w:rPr>
          <w:lang w:val="cs-CZ"/>
        </w:rPr>
        <w:t xml:space="preserve">vyjasnění postupu při nadměrném schodku, který tvoří tzv. nápravnou složku Paktu </w:t>
      </w:r>
      <w:r w:rsidR="00DA2199" w:rsidRPr="00096052">
        <w:rPr>
          <w:lang w:val="cs-CZ"/>
        </w:rPr>
        <w:t>o</w:t>
      </w:r>
      <w:r w:rsidR="00DA2199">
        <w:rPr>
          <w:lang w:val="cs-CZ"/>
        </w:rPr>
        <w:t> </w:t>
      </w:r>
      <w:r w:rsidRPr="00096052">
        <w:rPr>
          <w:lang w:val="cs-CZ"/>
        </w:rPr>
        <w:t xml:space="preserve">stabilitě </w:t>
      </w:r>
      <w:r w:rsidR="00DA2199" w:rsidRPr="00096052">
        <w:rPr>
          <w:lang w:val="cs-CZ"/>
        </w:rPr>
        <w:t>a</w:t>
      </w:r>
      <w:r w:rsidR="00DA2199">
        <w:rPr>
          <w:lang w:val="cs-CZ"/>
        </w:rPr>
        <w:t> </w:t>
      </w:r>
      <w:r w:rsidRPr="00096052">
        <w:rPr>
          <w:lang w:val="cs-CZ"/>
        </w:rPr>
        <w:t xml:space="preserve">růstu. Datovou základnu pro postup při nadměrném schodku včetně struktury </w:t>
      </w:r>
      <w:r w:rsidR="00DA2199" w:rsidRPr="00096052">
        <w:rPr>
          <w:lang w:val="cs-CZ"/>
        </w:rPr>
        <w:t>a</w:t>
      </w:r>
      <w:r w:rsidR="00DA2199">
        <w:rPr>
          <w:lang w:val="cs-CZ"/>
        </w:rPr>
        <w:t> </w:t>
      </w:r>
      <w:r w:rsidRPr="00096052">
        <w:rPr>
          <w:lang w:val="cs-CZ"/>
        </w:rPr>
        <w:t xml:space="preserve">kvalitativních charakteristik, stejně jako úlohu Eurostatu v této oblasti pak determinuje nařízení Rady </w:t>
      </w:r>
      <w:r w:rsidR="00DA2199" w:rsidRPr="00096052">
        <w:rPr>
          <w:lang w:val="cs-CZ"/>
        </w:rPr>
        <w:t>č.</w:t>
      </w:r>
      <w:r w:rsidR="00DA2199">
        <w:rPr>
          <w:lang w:val="cs-CZ"/>
        </w:rPr>
        <w:t> </w:t>
      </w:r>
      <w:r w:rsidRPr="00096052">
        <w:rPr>
          <w:lang w:val="cs-CZ"/>
        </w:rPr>
        <w:t>479/2009.</w:t>
      </w:r>
    </w:p>
    <w:p w14:paraId="7027722B" w14:textId="79C58FF7" w:rsidR="00141F36" w:rsidRPr="00096052" w:rsidRDefault="00141F36" w:rsidP="00F25EB8">
      <w:pPr>
        <w:rPr>
          <w:lang w:val="cs-CZ"/>
        </w:rPr>
      </w:pPr>
      <w:r w:rsidRPr="00096052">
        <w:rPr>
          <w:lang w:val="cs-CZ"/>
        </w:rPr>
        <w:t xml:space="preserve">Nařízení </w:t>
      </w:r>
      <w:r w:rsidR="00DA2199" w:rsidRPr="00096052">
        <w:rPr>
          <w:lang w:val="cs-CZ"/>
        </w:rPr>
        <w:t>č.</w:t>
      </w:r>
      <w:r w:rsidR="00DA2199">
        <w:rPr>
          <w:lang w:val="cs-CZ"/>
        </w:rPr>
        <w:t> </w:t>
      </w:r>
      <w:r w:rsidRPr="00096052">
        <w:rPr>
          <w:lang w:val="cs-CZ"/>
        </w:rPr>
        <w:t xml:space="preserve">1466/97 tvoří tzv. preventivní část Paktu </w:t>
      </w:r>
      <w:r w:rsidR="00DA2199" w:rsidRPr="00096052">
        <w:rPr>
          <w:lang w:val="cs-CZ"/>
        </w:rPr>
        <w:t>a</w:t>
      </w:r>
      <w:r w:rsidR="00DA2199">
        <w:rPr>
          <w:lang w:val="cs-CZ"/>
        </w:rPr>
        <w:t> </w:t>
      </w:r>
      <w:r w:rsidRPr="00096052">
        <w:rPr>
          <w:lang w:val="cs-CZ"/>
        </w:rPr>
        <w:t xml:space="preserve">definuje soubor požadavků, které by měly být členským státem splněny. Mimo jiné definuje </w:t>
      </w:r>
      <w:r w:rsidR="00DA2199" w:rsidRPr="00096052">
        <w:rPr>
          <w:lang w:val="cs-CZ"/>
        </w:rPr>
        <w:t>i</w:t>
      </w:r>
      <w:r w:rsidR="00DA2199">
        <w:rPr>
          <w:lang w:val="cs-CZ"/>
        </w:rPr>
        <w:t> </w:t>
      </w:r>
      <w:r w:rsidRPr="00096052">
        <w:rPr>
          <w:lang w:val="cs-CZ"/>
        </w:rPr>
        <w:t xml:space="preserve">tzv. střednědobý rozpočtový cíl. Střednědobé rozpočtové cíle zajišťují udržitelnost veřejných financí či rychlý pokrok směrem </w:t>
      </w:r>
      <w:r w:rsidR="00DA2199" w:rsidRPr="00096052">
        <w:rPr>
          <w:lang w:val="cs-CZ"/>
        </w:rPr>
        <w:lastRenderedPageBreak/>
        <w:t>k</w:t>
      </w:r>
      <w:r w:rsidR="00DA2199">
        <w:rPr>
          <w:lang w:val="cs-CZ"/>
        </w:rPr>
        <w:t> </w:t>
      </w:r>
      <w:r w:rsidRPr="00096052">
        <w:rPr>
          <w:lang w:val="cs-CZ"/>
        </w:rPr>
        <w:t xml:space="preserve">jejich udržitelnosti, přičemž umožňují volnější nakládání </w:t>
      </w:r>
      <w:r w:rsidR="00DA2199" w:rsidRPr="00096052">
        <w:rPr>
          <w:lang w:val="cs-CZ"/>
        </w:rPr>
        <w:t>s</w:t>
      </w:r>
      <w:r w:rsidR="00DA2199">
        <w:rPr>
          <w:lang w:val="cs-CZ"/>
        </w:rPr>
        <w:t> </w:t>
      </w:r>
      <w:r w:rsidRPr="00096052">
        <w:rPr>
          <w:lang w:val="cs-CZ"/>
        </w:rPr>
        <w:t xml:space="preserve">rozpočtem, především pokud jde </w:t>
      </w:r>
      <w:r w:rsidR="00DA2199" w:rsidRPr="00096052">
        <w:rPr>
          <w:lang w:val="cs-CZ"/>
        </w:rPr>
        <w:t>o</w:t>
      </w:r>
      <w:r w:rsidR="00DA2199">
        <w:rPr>
          <w:lang w:val="cs-CZ"/>
        </w:rPr>
        <w:t> </w:t>
      </w:r>
      <w:r w:rsidRPr="00096052">
        <w:rPr>
          <w:lang w:val="cs-CZ"/>
        </w:rPr>
        <w:t xml:space="preserve">potřeby veřejných investic. Jedná se </w:t>
      </w:r>
      <w:r w:rsidR="00DA2199" w:rsidRPr="00096052">
        <w:rPr>
          <w:lang w:val="cs-CZ"/>
        </w:rPr>
        <w:t>o</w:t>
      </w:r>
      <w:r w:rsidR="00DA2199">
        <w:rPr>
          <w:lang w:val="cs-CZ"/>
        </w:rPr>
        <w:t> </w:t>
      </w:r>
      <w:r w:rsidRPr="00096052">
        <w:rPr>
          <w:lang w:val="cs-CZ"/>
        </w:rPr>
        <w:t xml:space="preserve">tzv. strukturální salda (tedy salda očištěná </w:t>
      </w:r>
      <w:r w:rsidR="00DA2199" w:rsidRPr="00096052">
        <w:rPr>
          <w:lang w:val="cs-CZ"/>
        </w:rPr>
        <w:t>o</w:t>
      </w:r>
      <w:r w:rsidR="00DA2199">
        <w:rPr>
          <w:lang w:val="cs-CZ"/>
        </w:rPr>
        <w:t> </w:t>
      </w:r>
      <w:r w:rsidRPr="00096052">
        <w:rPr>
          <w:lang w:val="cs-CZ"/>
        </w:rPr>
        <w:t xml:space="preserve">vliv hospodářského cyklu </w:t>
      </w:r>
      <w:r w:rsidR="00DA2199" w:rsidRPr="00096052">
        <w:rPr>
          <w:lang w:val="cs-CZ"/>
        </w:rPr>
        <w:t>a</w:t>
      </w:r>
      <w:r w:rsidR="00DA2199">
        <w:rPr>
          <w:lang w:val="cs-CZ"/>
        </w:rPr>
        <w:t> </w:t>
      </w:r>
      <w:r w:rsidRPr="00096052">
        <w:rPr>
          <w:lang w:val="cs-CZ"/>
        </w:rPr>
        <w:t xml:space="preserve">vliv jednorázových či jiných přechodných opatření) sektoru vládních institucí. Dodržování střednědobého rozpočtového cíle je zahrnuto do vnitrostátních střednědobých rozpočtových rámců </w:t>
      </w:r>
      <w:r w:rsidR="00DA2199" w:rsidRPr="00096052">
        <w:rPr>
          <w:lang w:val="cs-CZ"/>
        </w:rPr>
        <w:t>v</w:t>
      </w:r>
      <w:r w:rsidR="00DA2199">
        <w:rPr>
          <w:lang w:val="cs-CZ"/>
        </w:rPr>
        <w:t> </w:t>
      </w:r>
      <w:r w:rsidRPr="00096052">
        <w:rPr>
          <w:lang w:val="cs-CZ"/>
        </w:rPr>
        <w:t xml:space="preserve">souladu </w:t>
      </w:r>
      <w:r w:rsidR="00DA2199" w:rsidRPr="00096052">
        <w:rPr>
          <w:lang w:val="cs-CZ"/>
        </w:rPr>
        <w:t>s</w:t>
      </w:r>
      <w:r w:rsidR="00DA2199">
        <w:rPr>
          <w:lang w:val="cs-CZ"/>
        </w:rPr>
        <w:t> </w:t>
      </w:r>
      <w:r w:rsidRPr="00096052">
        <w:rPr>
          <w:lang w:val="cs-CZ"/>
        </w:rPr>
        <w:t xml:space="preserve">kapitolou IV směrnice Rady 2011/85/EU </w:t>
      </w:r>
      <w:r w:rsidR="00DA2199" w:rsidRPr="00096052">
        <w:rPr>
          <w:lang w:val="cs-CZ"/>
        </w:rPr>
        <w:t>o</w:t>
      </w:r>
      <w:r w:rsidR="00DA2199">
        <w:rPr>
          <w:lang w:val="cs-CZ"/>
        </w:rPr>
        <w:t> </w:t>
      </w:r>
      <w:r w:rsidRPr="00096052">
        <w:rPr>
          <w:lang w:val="cs-CZ"/>
        </w:rPr>
        <w:t xml:space="preserve">požadavcích na rozpočtové rámce členských států. Směrnici Rady 2011/85/EU v oblasti fiskálních pravidel transponoval zákon </w:t>
      </w:r>
      <w:r w:rsidR="00DA2199" w:rsidRPr="00096052">
        <w:rPr>
          <w:lang w:val="cs-CZ"/>
        </w:rPr>
        <w:t>č.</w:t>
      </w:r>
      <w:r w:rsidR="00DA2199">
        <w:rPr>
          <w:lang w:val="cs-CZ"/>
        </w:rPr>
        <w:t> </w:t>
      </w:r>
      <w:r w:rsidRPr="00096052">
        <w:rPr>
          <w:lang w:val="cs-CZ"/>
        </w:rPr>
        <w:t xml:space="preserve">23/2017 Sb., </w:t>
      </w:r>
      <w:r w:rsidR="00DA2199" w:rsidRPr="00096052">
        <w:rPr>
          <w:lang w:val="cs-CZ"/>
        </w:rPr>
        <w:t>o</w:t>
      </w:r>
      <w:r w:rsidR="00DA2199">
        <w:rPr>
          <w:lang w:val="cs-CZ"/>
        </w:rPr>
        <w:t> </w:t>
      </w:r>
      <w:r w:rsidRPr="00096052">
        <w:rPr>
          <w:lang w:val="cs-CZ"/>
        </w:rPr>
        <w:t>pravidlech rozpočtové odpovědnosti. Ten v sobě zahrnuje několik fiskálních pravidel včetně minimálně stanoveného tempa konsolidace.</w:t>
      </w:r>
    </w:p>
    <w:p w14:paraId="3453BCA7" w14:textId="244CC203" w:rsidR="00245CC7" w:rsidRPr="00096052" w:rsidRDefault="00245CC7" w:rsidP="00F25EB8">
      <w:pPr>
        <w:rPr>
          <w:lang w:val="cs-CZ"/>
        </w:rPr>
      </w:pPr>
      <w:r w:rsidRPr="00096052">
        <w:rPr>
          <w:lang w:val="cs-CZ"/>
        </w:rPr>
        <w:t>Pro ČR je aktuální hodnota střednědobého rozpočtového cíle stanovena na −0,75 % HDP, tedy 1,5–</w:t>
      </w:r>
      <w:r w:rsidR="00DA2199" w:rsidRPr="00096052">
        <w:rPr>
          <w:lang w:val="cs-CZ"/>
        </w:rPr>
        <w:t>2</w:t>
      </w:r>
      <w:r w:rsidR="00DA2199">
        <w:rPr>
          <w:lang w:val="cs-CZ"/>
        </w:rPr>
        <w:t> </w:t>
      </w:r>
      <w:r w:rsidRPr="00096052">
        <w:rPr>
          <w:lang w:val="cs-CZ"/>
        </w:rPr>
        <w:t xml:space="preserve">procentní body výše, než je </w:t>
      </w:r>
      <w:r w:rsidR="009F12BD" w:rsidRPr="00096052">
        <w:rPr>
          <w:lang w:val="cs-CZ"/>
        </w:rPr>
        <w:t>predikované</w:t>
      </w:r>
      <w:r w:rsidRPr="00096052">
        <w:rPr>
          <w:lang w:val="cs-CZ"/>
        </w:rPr>
        <w:t xml:space="preserve"> strukturální saldo</w:t>
      </w:r>
      <w:r w:rsidR="009F12BD" w:rsidRPr="00096052">
        <w:rPr>
          <w:lang w:val="cs-CZ"/>
        </w:rPr>
        <w:t xml:space="preserve"> v období 2024</w:t>
      </w:r>
      <w:r w:rsidR="00545352" w:rsidRPr="00096052">
        <w:rPr>
          <w:lang w:val="cs-CZ"/>
        </w:rPr>
        <w:t>–</w:t>
      </w:r>
      <w:r w:rsidR="009F12BD" w:rsidRPr="00096052">
        <w:rPr>
          <w:lang w:val="cs-CZ"/>
        </w:rPr>
        <w:t>2026</w:t>
      </w:r>
      <w:r w:rsidRPr="00096052">
        <w:rPr>
          <w:lang w:val="cs-CZ"/>
        </w:rPr>
        <w:t xml:space="preserve">. Po ukončení platnosti všeobecné únikové klauzule na úrovni EU </w:t>
      </w:r>
      <w:r w:rsidR="00DA2199" w:rsidRPr="00096052">
        <w:rPr>
          <w:lang w:val="cs-CZ"/>
        </w:rPr>
        <w:t>a</w:t>
      </w:r>
      <w:r w:rsidR="00DA2199">
        <w:rPr>
          <w:lang w:val="cs-CZ"/>
        </w:rPr>
        <w:t> </w:t>
      </w:r>
      <w:r w:rsidRPr="00096052">
        <w:rPr>
          <w:lang w:val="cs-CZ"/>
        </w:rPr>
        <w:t xml:space="preserve">spuštění postupu při nadměrném schodku bude muset ČR v každém případě konsolidovat své veřejné finance tak, aby ve stanoveném čase dosáhla svého střednědobého rozpočtového cíle. Dle propočtů Evropské komise patří </w:t>
      </w:r>
      <w:r w:rsidR="00545352" w:rsidRPr="00096052">
        <w:rPr>
          <w:lang w:val="cs-CZ"/>
        </w:rPr>
        <w:t xml:space="preserve">ČR </w:t>
      </w:r>
      <w:r w:rsidRPr="00096052">
        <w:rPr>
          <w:lang w:val="cs-CZ"/>
        </w:rPr>
        <w:t>z hlediska stochastické analýzy dluhové udržitelnosti mezi země se středním rizikem,</w:t>
      </w:r>
      <w:r w:rsidR="001B0D1B" w:rsidRPr="0045534A">
        <w:rPr>
          <w:rStyle w:val="StylZnakapoznpodarouLatinkaArial"/>
        </w:rPr>
        <w:footnoteReference w:id="5"/>
      </w:r>
      <w:r w:rsidRPr="00096052">
        <w:rPr>
          <w:lang w:val="cs-CZ"/>
        </w:rPr>
        <w:t xml:space="preserve"> což znamená, že bez ohledu na dluh pod </w:t>
      </w:r>
      <w:r w:rsidR="00F1137D" w:rsidRPr="00096052">
        <w:rPr>
          <w:lang w:val="cs-CZ"/>
        </w:rPr>
        <w:t>referenční</w:t>
      </w:r>
      <w:r w:rsidRPr="00096052">
        <w:rPr>
          <w:lang w:val="cs-CZ"/>
        </w:rPr>
        <w:t xml:space="preserve"> </w:t>
      </w:r>
      <w:r w:rsidR="000165B4" w:rsidRPr="00096052">
        <w:rPr>
          <w:lang w:val="cs-CZ"/>
        </w:rPr>
        <w:t xml:space="preserve">úrovní </w:t>
      </w:r>
      <w:r w:rsidRPr="00096052">
        <w:rPr>
          <w:lang w:val="cs-CZ"/>
        </w:rPr>
        <w:t xml:space="preserve">60 % HDP, bude muset </w:t>
      </w:r>
      <w:r w:rsidR="00545352" w:rsidRPr="00096052">
        <w:rPr>
          <w:lang w:val="cs-CZ"/>
        </w:rPr>
        <w:t xml:space="preserve">ČR </w:t>
      </w:r>
      <w:r w:rsidRPr="00096052">
        <w:rPr>
          <w:lang w:val="cs-CZ"/>
        </w:rPr>
        <w:t>přistoupit ke konsolidaci.</w:t>
      </w:r>
    </w:p>
    <w:p w14:paraId="0B793534" w14:textId="1C6B6D1C" w:rsidR="00245CC7" w:rsidRPr="00096052" w:rsidRDefault="00245CC7" w:rsidP="00F25EB8">
      <w:pPr>
        <w:rPr>
          <w:lang w:val="cs-CZ"/>
        </w:rPr>
      </w:pPr>
      <w:r w:rsidRPr="00096052">
        <w:rPr>
          <w:lang w:val="cs-CZ"/>
        </w:rPr>
        <w:t xml:space="preserve">Existují ale důvody k přípravě konsolidačních opatření co nejdříve </w:t>
      </w:r>
      <w:r w:rsidR="00DA2199" w:rsidRPr="00096052">
        <w:rPr>
          <w:lang w:val="cs-CZ"/>
        </w:rPr>
        <w:t>i</w:t>
      </w:r>
      <w:r w:rsidR="00DA2199">
        <w:rPr>
          <w:lang w:val="cs-CZ"/>
        </w:rPr>
        <w:t> </w:t>
      </w:r>
      <w:r w:rsidRPr="00096052">
        <w:rPr>
          <w:lang w:val="cs-CZ"/>
        </w:rPr>
        <w:t xml:space="preserve">bez formálního spuštění postupu při nadměrném schodku. Prvním z nich je větší flexibilita v intenzitě konsolidace. Čím nižší schodek budou veřejné finance vykazovat v době formálního spuštění postupu při nadměrném schodku, tím menší intenzita bude nutná k návratu ke střednědobému rozpočtovému cíli. To se pak pozitivně projeví </w:t>
      </w:r>
      <w:r w:rsidR="00DA2199" w:rsidRPr="00096052">
        <w:rPr>
          <w:lang w:val="cs-CZ"/>
        </w:rPr>
        <w:t>i</w:t>
      </w:r>
      <w:r w:rsidR="00DA2199">
        <w:rPr>
          <w:lang w:val="cs-CZ"/>
        </w:rPr>
        <w:t> </w:t>
      </w:r>
      <w:r w:rsidRPr="00096052">
        <w:rPr>
          <w:lang w:val="cs-CZ"/>
        </w:rPr>
        <w:t>v nižším riziku způsobeného hospodářského zpomalení ekonomiky ČR.</w:t>
      </w:r>
    </w:p>
    <w:p w14:paraId="43FAB9E6" w14:textId="1A18A3A3" w:rsidR="00245CC7" w:rsidRPr="00096052" w:rsidRDefault="00245CC7" w:rsidP="00F25EB8">
      <w:pPr>
        <w:rPr>
          <w:lang w:val="cs-CZ"/>
        </w:rPr>
      </w:pPr>
      <w:r w:rsidRPr="00096052">
        <w:rPr>
          <w:lang w:val="cs-CZ"/>
        </w:rPr>
        <w:t xml:space="preserve">Druhým silným důvodem je hrozba snížení ratingového hodnocení ČR s přímým důsledkem vyšší rizikové přirážky na české státní dluhopisy </w:t>
      </w:r>
      <w:r w:rsidR="00DA2199" w:rsidRPr="00096052">
        <w:rPr>
          <w:lang w:val="cs-CZ"/>
        </w:rPr>
        <w:t>a</w:t>
      </w:r>
      <w:r w:rsidR="00DA2199">
        <w:rPr>
          <w:lang w:val="cs-CZ"/>
        </w:rPr>
        <w:t> </w:t>
      </w:r>
      <w:r w:rsidRPr="00096052">
        <w:rPr>
          <w:lang w:val="cs-CZ"/>
        </w:rPr>
        <w:t xml:space="preserve">potažmo </w:t>
      </w:r>
      <w:r w:rsidR="00DA2199" w:rsidRPr="00096052">
        <w:rPr>
          <w:lang w:val="cs-CZ"/>
        </w:rPr>
        <w:t>i</w:t>
      </w:r>
      <w:r w:rsidR="00DA2199">
        <w:rPr>
          <w:lang w:val="cs-CZ"/>
        </w:rPr>
        <w:t> </w:t>
      </w:r>
      <w:r w:rsidRPr="00096052">
        <w:rPr>
          <w:lang w:val="cs-CZ"/>
        </w:rPr>
        <w:t>na dluhopisy soukromých subjektů. Hrozba snížení ratingu je ze zpráv ratingových agentur zcela zřejmá:</w:t>
      </w:r>
    </w:p>
    <w:p w14:paraId="04BA7444" w14:textId="7137E5D8" w:rsidR="00245CC7" w:rsidRPr="00096052" w:rsidRDefault="00245CC7" w:rsidP="00F25EB8">
      <w:pPr>
        <w:rPr>
          <w:lang w:val="cs-CZ"/>
        </w:rPr>
      </w:pPr>
      <w:r w:rsidRPr="00096052">
        <w:rPr>
          <w:lang w:val="cs-CZ"/>
        </w:rPr>
        <w:t xml:space="preserve">Moody’s (10. srpna 2021): </w:t>
      </w:r>
      <w:r w:rsidRPr="00096052">
        <w:rPr>
          <w:i/>
          <w:lang w:val="cs-CZ"/>
        </w:rPr>
        <w:t xml:space="preserve">Zhoršení fiskální situace nad rámec současného základního scénáře vývoje by mělo negativní dopad na úvěry </w:t>
      </w:r>
      <w:r w:rsidR="00DA2199" w:rsidRPr="00096052">
        <w:rPr>
          <w:i/>
          <w:lang w:val="cs-CZ"/>
        </w:rPr>
        <w:t>a</w:t>
      </w:r>
      <w:r w:rsidR="00DA2199">
        <w:rPr>
          <w:i/>
          <w:lang w:val="cs-CZ"/>
        </w:rPr>
        <w:t> </w:t>
      </w:r>
      <w:r w:rsidRPr="00096052">
        <w:rPr>
          <w:i/>
          <w:lang w:val="cs-CZ"/>
        </w:rPr>
        <w:t>mohlo by vést ke změně výhledu ze stabilního na negativní.</w:t>
      </w:r>
    </w:p>
    <w:p w14:paraId="000B01AA" w14:textId="22D0E3A5" w:rsidR="00245CC7" w:rsidRPr="00096052" w:rsidRDefault="00245CC7" w:rsidP="00F25EB8">
      <w:pPr>
        <w:rPr>
          <w:i/>
          <w:lang w:val="cs-CZ"/>
        </w:rPr>
      </w:pPr>
      <w:r w:rsidRPr="00096052">
        <w:rPr>
          <w:lang w:val="cs-CZ"/>
        </w:rPr>
        <w:t>S</w:t>
      </w:r>
      <w:r w:rsidRPr="001741CC">
        <w:t>&amp;</w:t>
      </w:r>
      <w:r w:rsidR="00DA2199" w:rsidRPr="001741CC">
        <w:t>P</w:t>
      </w:r>
      <w:r w:rsidR="00DA2199">
        <w:t> </w:t>
      </w:r>
      <w:r w:rsidRPr="00096052">
        <w:rPr>
          <w:lang w:val="cs-CZ"/>
        </w:rPr>
        <w:t xml:space="preserve">(14. října 2022): </w:t>
      </w:r>
      <w:r w:rsidRPr="00096052">
        <w:rPr>
          <w:i/>
          <w:lang w:val="cs-CZ"/>
        </w:rPr>
        <w:t xml:space="preserve">Riziko pro snížení ratingu: Negativní dopad konfliktu na Ukrajině se ukáže být závažnější, než </w:t>
      </w:r>
      <w:r w:rsidR="00DA2199" w:rsidRPr="00096052">
        <w:rPr>
          <w:i/>
          <w:lang w:val="cs-CZ"/>
        </w:rPr>
        <w:t>v</w:t>
      </w:r>
      <w:r w:rsidR="00DA2199">
        <w:rPr>
          <w:i/>
          <w:lang w:val="cs-CZ"/>
        </w:rPr>
        <w:t> </w:t>
      </w:r>
      <w:r w:rsidRPr="00096052">
        <w:rPr>
          <w:i/>
          <w:lang w:val="cs-CZ"/>
        </w:rPr>
        <w:t xml:space="preserve">současnosti očekáváme, </w:t>
      </w:r>
      <w:r w:rsidR="00DA2199" w:rsidRPr="00096052">
        <w:rPr>
          <w:i/>
          <w:lang w:val="cs-CZ"/>
        </w:rPr>
        <w:t>a</w:t>
      </w:r>
      <w:r w:rsidR="00DA2199">
        <w:rPr>
          <w:i/>
          <w:lang w:val="cs-CZ"/>
        </w:rPr>
        <w:t> </w:t>
      </w:r>
      <w:r w:rsidRPr="00096052">
        <w:rPr>
          <w:i/>
          <w:lang w:val="cs-CZ"/>
        </w:rPr>
        <w:t xml:space="preserve">poškodí ekonomickou produkci, přičemž rozpočtové deficity </w:t>
      </w:r>
      <w:r w:rsidR="00DA2199" w:rsidRPr="00096052">
        <w:rPr>
          <w:i/>
          <w:lang w:val="cs-CZ"/>
        </w:rPr>
        <w:t>a</w:t>
      </w:r>
      <w:r w:rsidR="00DA2199">
        <w:rPr>
          <w:i/>
          <w:lang w:val="cs-CZ"/>
        </w:rPr>
        <w:t> </w:t>
      </w:r>
      <w:r w:rsidRPr="00096052">
        <w:rPr>
          <w:i/>
          <w:lang w:val="cs-CZ"/>
        </w:rPr>
        <w:t>vládní dluh vzrostou nad naše současné očekávání.</w:t>
      </w:r>
      <w:r w:rsidRPr="00096052">
        <w:rPr>
          <w:i/>
          <w:vertAlign w:val="superscript"/>
          <w:lang w:val="cs-CZ"/>
        </w:rPr>
        <w:footnoteReference w:id="6"/>
      </w:r>
    </w:p>
    <w:p w14:paraId="414B89A2" w14:textId="10952D99" w:rsidR="000D6A6A" w:rsidRPr="005D05D2" w:rsidRDefault="000D6A6A" w:rsidP="0045534A">
      <w:pPr>
        <w:rPr>
          <w:rFonts w:eastAsia="MS Mincho" w:cs="Arial"/>
          <w:szCs w:val="24"/>
          <w:lang w:val="cs-CZ"/>
        </w:rPr>
      </w:pPr>
      <w:r w:rsidRPr="005D05D2">
        <w:rPr>
          <w:rFonts w:eastAsia="MS Mincho" w:cs="Arial"/>
          <w:szCs w:val="24"/>
          <w:lang w:val="cs-CZ"/>
        </w:rPr>
        <w:t>Poslední aktualizace zprávy agentury S</w:t>
      </w:r>
      <w:r w:rsidRPr="005D05D2">
        <w:rPr>
          <w:lang w:val="cs-CZ"/>
        </w:rPr>
        <w:t>&amp;</w:t>
      </w:r>
      <w:r w:rsidR="00DA2199" w:rsidRPr="005D05D2">
        <w:rPr>
          <w:lang w:val="cs-CZ"/>
        </w:rPr>
        <w:t>P </w:t>
      </w:r>
      <w:r w:rsidRPr="005D05D2">
        <w:rPr>
          <w:lang w:val="cs-CZ"/>
        </w:rPr>
        <w:t xml:space="preserve">(17. dubna 2023) uvádí totožnou formulaci: </w:t>
      </w:r>
      <w:r w:rsidR="00E17566" w:rsidRPr="005D05D2">
        <w:rPr>
          <w:rFonts w:eastAsia="MS Mincho" w:cs="Arial"/>
          <w:szCs w:val="24"/>
          <w:lang w:val="cs-CZ"/>
        </w:rPr>
        <w:t xml:space="preserve">Riziko pro snížení ratingu: </w:t>
      </w:r>
      <w:r w:rsidRPr="005D05D2">
        <w:rPr>
          <w:lang w:val="cs-CZ"/>
        </w:rPr>
        <w:t xml:space="preserve">Negativní dopad konfliktu na Ukrajině se ukáže jako závažnější nebo dlouhodobější, než </w:t>
      </w:r>
      <w:r w:rsidR="00DA2199" w:rsidRPr="005D05D2">
        <w:rPr>
          <w:lang w:val="cs-CZ"/>
        </w:rPr>
        <w:t>v </w:t>
      </w:r>
      <w:r w:rsidRPr="005D05D2">
        <w:rPr>
          <w:lang w:val="cs-CZ"/>
        </w:rPr>
        <w:t xml:space="preserve">současnosti očekáváme, </w:t>
      </w:r>
      <w:r w:rsidR="00DA2199" w:rsidRPr="005D05D2">
        <w:rPr>
          <w:lang w:val="cs-CZ"/>
        </w:rPr>
        <w:t>a </w:t>
      </w:r>
      <w:r w:rsidRPr="005D05D2">
        <w:rPr>
          <w:lang w:val="cs-CZ"/>
        </w:rPr>
        <w:t xml:space="preserve">poškodí hospodářskou produkci, přičemž rozpočtové deficity </w:t>
      </w:r>
      <w:r w:rsidR="00DA2199" w:rsidRPr="005D05D2">
        <w:rPr>
          <w:lang w:val="cs-CZ"/>
        </w:rPr>
        <w:t>a </w:t>
      </w:r>
      <w:r w:rsidRPr="005D05D2">
        <w:rPr>
          <w:lang w:val="cs-CZ"/>
        </w:rPr>
        <w:t>vládní dluh vzrostou nad naše současná očekávání.</w:t>
      </w:r>
      <w:r w:rsidR="00E17566" w:rsidRPr="005D05D2">
        <w:rPr>
          <w:rStyle w:val="Znakapoznpodarou"/>
          <w:rFonts w:ascii="Arial" w:hAnsi="Arial"/>
          <w:i/>
          <w:lang w:val="cs-CZ"/>
        </w:rPr>
        <w:footnoteReference w:id="7"/>
      </w:r>
    </w:p>
    <w:p w14:paraId="09EBF282" w14:textId="180C352F" w:rsidR="00245CC7" w:rsidRPr="00096052" w:rsidRDefault="00245CC7" w:rsidP="0045534A">
      <w:pPr>
        <w:rPr>
          <w:rFonts w:eastAsia="MS Mincho" w:cs="Arial"/>
          <w:szCs w:val="24"/>
          <w:lang w:val="cs-CZ"/>
        </w:rPr>
      </w:pPr>
      <w:r w:rsidRPr="00096052">
        <w:rPr>
          <w:rFonts w:eastAsia="MS Mincho" w:cs="Arial"/>
          <w:szCs w:val="24"/>
          <w:lang w:val="cs-CZ"/>
        </w:rPr>
        <w:t xml:space="preserve">Fitch (20. října 2022): Negativní výhled: Negativní výhled odráží rizika, která pro ekonomickou </w:t>
      </w:r>
      <w:r w:rsidR="00DA2199" w:rsidRPr="00096052">
        <w:rPr>
          <w:rFonts w:eastAsia="MS Mincho" w:cs="Arial"/>
          <w:szCs w:val="24"/>
          <w:lang w:val="cs-CZ"/>
        </w:rPr>
        <w:t>a</w:t>
      </w:r>
      <w:r w:rsidR="00DA2199">
        <w:rPr>
          <w:rFonts w:eastAsia="MS Mincho" w:cs="Arial"/>
          <w:szCs w:val="24"/>
          <w:lang w:val="cs-CZ"/>
        </w:rPr>
        <w:t> </w:t>
      </w:r>
      <w:r w:rsidRPr="00096052">
        <w:rPr>
          <w:rFonts w:eastAsia="MS Mincho" w:cs="Arial"/>
          <w:szCs w:val="24"/>
          <w:lang w:val="cs-CZ"/>
        </w:rPr>
        <w:t xml:space="preserve">fiskální výkonnost České republiky představuje evropská energetická krize. Exogenní šok pro růst </w:t>
      </w:r>
      <w:r w:rsidR="00DA2199" w:rsidRPr="00096052">
        <w:rPr>
          <w:rFonts w:eastAsia="MS Mincho" w:cs="Arial"/>
          <w:szCs w:val="24"/>
          <w:lang w:val="cs-CZ"/>
        </w:rPr>
        <w:t>a</w:t>
      </w:r>
      <w:r w:rsidR="00DA2199">
        <w:rPr>
          <w:rFonts w:eastAsia="MS Mincho" w:cs="Arial"/>
          <w:szCs w:val="24"/>
          <w:lang w:val="cs-CZ"/>
        </w:rPr>
        <w:t> </w:t>
      </w:r>
      <w:r w:rsidRPr="00096052">
        <w:rPr>
          <w:rFonts w:eastAsia="MS Mincho" w:cs="Arial"/>
          <w:szCs w:val="24"/>
          <w:lang w:val="cs-CZ"/>
        </w:rPr>
        <w:t xml:space="preserve">vládní protiinflační fiskální balíčky zasáhnou veřejné finance, což povede </w:t>
      </w:r>
      <w:r w:rsidR="00DA2199" w:rsidRPr="00096052">
        <w:rPr>
          <w:rFonts w:eastAsia="MS Mincho" w:cs="Arial"/>
          <w:szCs w:val="24"/>
          <w:lang w:val="cs-CZ"/>
        </w:rPr>
        <w:t>k</w:t>
      </w:r>
      <w:r w:rsidR="00DA2199">
        <w:rPr>
          <w:rFonts w:eastAsia="MS Mincho" w:cs="Arial"/>
          <w:szCs w:val="24"/>
          <w:lang w:val="cs-CZ"/>
        </w:rPr>
        <w:t> </w:t>
      </w:r>
      <w:r w:rsidRPr="00096052">
        <w:rPr>
          <w:rFonts w:eastAsia="MS Mincho" w:cs="Arial"/>
          <w:szCs w:val="24"/>
          <w:lang w:val="cs-CZ"/>
        </w:rPr>
        <w:t xml:space="preserve">tomu, že poměr veřejného dluhu </w:t>
      </w:r>
      <w:r w:rsidR="00DA2199" w:rsidRPr="00096052">
        <w:rPr>
          <w:rFonts w:eastAsia="MS Mincho" w:cs="Arial"/>
          <w:szCs w:val="24"/>
          <w:lang w:val="cs-CZ"/>
        </w:rPr>
        <w:t>k</w:t>
      </w:r>
      <w:r w:rsidR="00DA2199">
        <w:rPr>
          <w:rFonts w:eastAsia="MS Mincho" w:cs="Arial"/>
          <w:szCs w:val="24"/>
          <w:lang w:val="cs-CZ"/>
        </w:rPr>
        <w:t> </w:t>
      </w:r>
      <w:r w:rsidRPr="00096052">
        <w:rPr>
          <w:rFonts w:eastAsia="MS Mincho" w:cs="Arial"/>
          <w:szCs w:val="24"/>
          <w:lang w:val="cs-CZ"/>
        </w:rPr>
        <w:t xml:space="preserve">HDP zůstane </w:t>
      </w:r>
      <w:r w:rsidR="00DA2199" w:rsidRPr="00096052">
        <w:rPr>
          <w:rFonts w:eastAsia="MS Mincho" w:cs="Arial"/>
          <w:szCs w:val="24"/>
          <w:lang w:val="cs-CZ"/>
        </w:rPr>
        <w:t>v</w:t>
      </w:r>
      <w:r w:rsidR="00DA2199">
        <w:rPr>
          <w:rFonts w:eastAsia="MS Mincho" w:cs="Arial"/>
          <w:szCs w:val="24"/>
          <w:lang w:val="cs-CZ"/>
        </w:rPr>
        <w:t> </w:t>
      </w:r>
      <w:r w:rsidRPr="00096052">
        <w:rPr>
          <w:rFonts w:eastAsia="MS Mincho" w:cs="Arial"/>
          <w:szCs w:val="24"/>
          <w:lang w:val="cs-CZ"/>
        </w:rPr>
        <w:t xml:space="preserve">letech 2022-2024 na rostoucí trajektorii. Odráží také </w:t>
      </w:r>
      <w:r w:rsidRPr="00096052">
        <w:rPr>
          <w:rFonts w:eastAsia="MS Mincho" w:cs="Arial"/>
          <w:szCs w:val="24"/>
          <w:lang w:val="cs-CZ"/>
        </w:rPr>
        <w:lastRenderedPageBreak/>
        <w:t>nejistotu ohledně strukturální fiskální nerovnováhy ve střednědobém horizontu.</w:t>
      </w:r>
    </w:p>
    <w:p w14:paraId="3BC3207F" w14:textId="73F8560D" w:rsidR="00245CC7" w:rsidRPr="00096052" w:rsidRDefault="00245CC7" w:rsidP="0045534A">
      <w:pPr>
        <w:rPr>
          <w:rFonts w:eastAsia="MS Mincho" w:cs="Arial"/>
          <w:szCs w:val="24"/>
          <w:lang w:val="cs-CZ"/>
        </w:rPr>
      </w:pPr>
      <w:r w:rsidRPr="00096052">
        <w:rPr>
          <w:rFonts w:eastAsia="MS Mincho" w:cs="Arial"/>
          <w:szCs w:val="24"/>
          <w:lang w:val="cs-CZ"/>
        </w:rPr>
        <w:t xml:space="preserve">Podobně </w:t>
      </w:r>
      <w:r w:rsidR="00DA2199" w:rsidRPr="00096052">
        <w:rPr>
          <w:rFonts w:eastAsia="MS Mincho" w:cs="Arial"/>
          <w:szCs w:val="24"/>
          <w:lang w:val="cs-CZ"/>
        </w:rPr>
        <w:t>u</w:t>
      </w:r>
      <w:r w:rsidR="00DA2199">
        <w:rPr>
          <w:rFonts w:eastAsia="MS Mincho" w:cs="Arial"/>
          <w:szCs w:val="24"/>
          <w:lang w:val="cs-CZ"/>
        </w:rPr>
        <w:t> </w:t>
      </w:r>
      <w:r w:rsidRPr="00096052">
        <w:rPr>
          <w:rFonts w:eastAsia="MS Mincho" w:cs="Arial"/>
          <w:szCs w:val="24"/>
          <w:lang w:val="cs-CZ"/>
        </w:rPr>
        <w:t xml:space="preserve">agentury Fitch mluví </w:t>
      </w:r>
      <w:r w:rsidR="00DA2199" w:rsidRPr="00096052">
        <w:rPr>
          <w:rFonts w:eastAsia="MS Mincho" w:cs="Arial"/>
          <w:szCs w:val="24"/>
          <w:lang w:val="cs-CZ"/>
        </w:rPr>
        <w:t>i</w:t>
      </w:r>
      <w:r w:rsidR="00DA2199">
        <w:rPr>
          <w:rFonts w:eastAsia="MS Mincho" w:cs="Arial"/>
          <w:szCs w:val="24"/>
          <w:lang w:val="cs-CZ"/>
        </w:rPr>
        <w:t> </w:t>
      </w:r>
      <w:r w:rsidRPr="00096052">
        <w:rPr>
          <w:rFonts w:eastAsia="MS Mincho" w:cs="Arial"/>
          <w:szCs w:val="24"/>
          <w:lang w:val="cs-CZ"/>
        </w:rPr>
        <w:t xml:space="preserve">poslední zpráva, viz Fitch (3. března 2023): Faktory pro snížení ratingu: Chybějící důvěryhodná fiskální konsolidace, která by vedla </w:t>
      </w:r>
      <w:r w:rsidR="00DA2199" w:rsidRPr="00096052">
        <w:rPr>
          <w:rFonts w:eastAsia="MS Mincho" w:cs="Arial"/>
          <w:szCs w:val="24"/>
          <w:lang w:val="cs-CZ"/>
        </w:rPr>
        <w:t>k</w:t>
      </w:r>
      <w:r w:rsidR="00DA2199">
        <w:rPr>
          <w:rFonts w:eastAsia="MS Mincho" w:cs="Arial"/>
          <w:szCs w:val="24"/>
          <w:lang w:val="cs-CZ"/>
        </w:rPr>
        <w:t> </w:t>
      </w:r>
      <w:r w:rsidRPr="00096052">
        <w:rPr>
          <w:rFonts w:eastAsia="MS Mincho" w:cs="Arial"/>
          <w:szCs w:val="24"/>
          <w:lang w:val="cs-CZ"/>
        </w:rPr>
        <w:t xml:space="preserve">trvalému fiskálnímu deficitu </w:t>
      </w:r>
      <w:r w:rsidR="00DA2199" w:rsidRPr="00096052">
        <w:rPr>
          <w:rFonts w:eastAsia="MS Mincho" w:cs="Arial"/>
          <w:szCs w:val="24"/>
          <w:lang w:val="cs-CZ"/>
        </w:rPr>
        <w:t>a</w:t>
      </w:r>
      <w:r w:rsidR="00DA2199">
        <w:rPr>
          <w:rFonts w:eastAsia="MS Mincho" w:cs="Arial"/>
          <w:szCs w:val="24"/>
          <w:lang w:val="cs-CZ"/>
        </w:rPr>
        <w:t> </w:t>
      </w:r>
      <w:r w:rsidRPr="00096052">
        <w:rPr>
          <w:rFonts w:eastAsia="MS Mincho" w:cs="Arial"/>
          <w:szCs w:val="24"/>
          <w:lang w:val="cs-CZ"/>
        </w:rPr>
        <w:t xml:space="preserve">trvalé zvyšování dluhu veřejných financí </w:t>
      </w:r>
      <w:r w:rsidR="00DA2199" w:rsidRPr="00096052">
        <w:rPr>
          <w:rFonts w:eastAsia="MS Mincho" w:cs="Arial"/>
          <w:szCs w:val="24"/>
          <w:lang w:val="cs-CZ"/>
        </w:rPr>
        <w:t>v</w:t>
      </w:r>
      <w:r w:rsidR="00DA2199">
        <w:rPr>
          <w:rFonts w:eastAsia="MS Mincho" w:cs="Arial"/>
          <w:szCs w:val="24"/>
          <w:lang w:val="cs-CZ"/>
        </w:rPr>
        <w:t> </w:t>
      </w:r>
      <w:r w:rsidRPr="00096052">
        <w:rPr>
          <w:rFonts w:eastAsia="MS Mincho" w:cs="Arial"/>
          <w:szCs w:val="24"/>
          <w:lang w:val="cs-CZ"/>
        </w:rPr>
        <w:t>poměru k HDP; Faktory pro pozitivní změnu ratingu: Důvěra ve stabilizaci nebo klesající trajektorii veřejného zadlužení prostřednictvím provádění strategie fiskální konsolidace nebo zlepšení vyhlídek ekonomického růstu.</w:t>
      </w:r>
    </w:p>
    <w:p w14:paraId="47C2759D" w14:textId="42CA5365" w:rsidR="00245CC7" w:rsidRPr="00096052" w:rsidRDefault="00245CC7" w:rsidP="0045534A">
      <w:pPr>
        <w:rPr>
          <w:rFonts w:eastAsia="MS Mincho" w:cs="Arial"/>
          <w:szCs w:val="24"/>
          <w:lang w:val="cs-CZ"/>
        </w:rPr>
      </w:pPr>
      <w:r w:rsidRPr="00096052">
        <w:rPr>
          <w:rFonts w:eastAsia="MS Mincho" w:cs="Arial"/>
          <w:szCs w:val="24"/>
          <w:lang w:val="cs-CZ"/>
        </w:rPr>
        <w:t xml:space="preserve">Scope Ratings (2. prosince 2022): Ratingy by mohly být sníženy, pokud se jednotlivě nebo společně: i) vyhlídky růstu zhorší více, než se očekávalo, a/nebo ii) </w:t>
      </w:r>
      <w:r w:rsidR="00122A5A">
        <w:rPr>
          <w:rFonts w:eastAsia="MS Mincho" w:cs="Arial"/>
          <w:szCs w:val="24"/>
          <w:lang w:val="cs-CZ"/>
        </w:rPr>
        <w:t xml:space="preserve">agentura </w:t>
      </w:r>
      <w:r w:rsidRPr="00096052">
        <w:rPr>
          <w:rFonts w:eastAsia="MS Mincho" w:cs="Arial"/>
          <w:szCs w:val="24"/>
          <w:lang w:val="cs-CZ"/>
        </w:rPr>
        <w:t xml:space="preserve">Scope zaznamená podstatně vyšší fiskální deficity a/nebo poměry dluhu, než se předpokládalo. </w:t>
      </w:r>
    </w:p>
    <w:p w14:paraId="0FA5EC35" w14:textId="69207C72" w:rsidR="00245CC7" w:rsidRPr="00096052" w:rsidRDefault="00245CC7" w:rsidP="0045534A">
      <w:pPr>
        <w:rPr>
          <w:lang w:val="cs-CZ"/>
        </w:rPr>
      </w:pPr>
      <w:r w:rsidRPr="00096052">
        <w:rPr>
          <w:lang w:val="cs-CZ"/>
        </w:rPr>
        <w:t xml:space="preserve">Vyšší úrokové míry </w:t>
      </w:r>
      <w:r w:rsidR="00DA2199" w:rsidRPr="00096052">
        <w:rPr>
          <w:lang w:val="cs-CZ"/>
        </w:rPr>
        <w:t>a</w:t>
      </w:r>
      <w:r w:rsidR="00DA2199">
        <w:rPr>
          <w:lang w:val="cs-CZ"/>
        </w:rPr>
        <w:t> </w:t>
      </w:r>
      <w:r w:rsidRPr="00096052">
        <w:rPr>
          <w:lang w:val="cs-CZ"/>
        </w:rPr>
        <w:t xml:space="preserve">zdražení kapitálu by mělo negativní důsledky na investice </w:t>
      </w:r>
      <w:r w:rsidR="00DA2199" w:rsidRPr="00096052">
        <w:rPr>
          <w:lang w:val="cs-CZ"/>
        </w:rPr>
        <w:t>a</w:t>
      </w:r>
      <w:r w:rsidR="00DA2199">
        <w:rPr>
          <w:lang w:val="cs-CZ"/>
        </w:rPr>
        <w:t> </w:t>
      </w:r>
      <w:r w:rsidRPr="00096052">
        <w:rPr>
          <w:lang w:val="cs-CZ"/>
        </w:rPr>
        <w:t xml:space="preserve">spotřebu </w:t>
      </w:r>
      <w:r w:rsidR="00DA2199" w:rsidRPr="00096052">
        <w:rPr>
          <w:lang w:val="cs-CZ"/>
        </w:rPr>
        <w:t>a</w:t>
      </w:r>
      <w:r w:rsidR="00DA2199">
        <w:rPr>
          <w:lang w:val="cs-CZ"/>
        </w:rPr>
        <w:t> </w:t>
      </w:r>
      <w:r w:rsidRPr="00096052">
        <w:rPr>
          <w:lang w:val="cs-CZ"/>
        </w:rPr>
        <w:t xml:space="preserve">vedlo přímo (skrze vyšší obsluhu dluhu) </w:t>
      </w:r>
      <w:r w:rsidR="00DA2199" w:rsidRPr="00096052">
        <w:rPr>
          <w:lang w:val="cs-CZ"/>
        </w:rPr>
        <w:t>i</w:t>
      </w:r>
      <w:r w:rsidR="00DA2199">
        <w:rPr>
          <w:lang w:val="cs-CZ"/>
        </w:rPr>
        <w:t> </w:t>
      </w:r>
      <w:r w:rsidRPr="00096052">
        <w:rPr>
          <w:lang w:val="cs-CZ"/>
        </w:rPr>
        <w:t>nepřímo (horší makroekonomický vývoj) k další erozi stavu veřejných financí.</w:t>
      </w:r>
    </w:p>
    <w:p w14:paraId="6B636406" w14:textId="2076B516" w:rsidR="00245CC7" w:rsidRPr="00096052" w:rsidRDefault="00245CC7" w:rsidP="0045534A">
      <w:pPr>
        <w:rPr>
          <w:lang w:val="cs-CZ"/>
        </w:rPr>
      </w:pPr>
      <w:r w:rsidRPr="00096052">
        <w:rPr>
          <w:lang w:val="cs-CZ"/>
        </w:rPr>
        <w:t>Aktuální právní úprava v oblasti sociálních výdajů pak povede ve středním až dlouhém časovém horizontu k autonomnímu nárůstu veřejných výdajů, které výrazně zatíží veřejné finance ČR. Současná konsolidace tak rovněž vytvoří prostor pro absorpci těchto budoucích tlaků. Proto je nutné chápat střednědobou konsolidaci jako první krok k celkovému ozdravení veřejných financí.</w:t>
      </w:r>
    </w:p>
    <w:p w14:paraId="4BE4C209" w14:textId="534BEF41" w:rsidR="00245CC7" w:rsidRPr="00096052" w:rsidRDefault="00245CC7" w:rsidP="0045534A">
      <w:pPr>
        <w:pStyle w:val="Nadpis2"/>
        <w:rPr>
          <w:rFonts w:eastAsia="MS Mincho"/>
          <w:lang w:val="cs-CZ"/>
        </w:rPr>
      </w:pPr>
      <w:bookmarkStart w:id="6" w:name="_Toc135651286"/>
      <w:r w:rsidRPr="00096052">
        <w:rPr>
          <w:rFonts w:eastAsia="MS Mincho"/>
          <w:lang w:val="cs-CZ"/>
        </w:rPr>
        <w:t>Identifikace dotčených subjektů</w:t>
      </w:r>
      <w:bookmarkEnd w:id="6"/>
      <w:r w:rsidRPr="00096052">
        <w:rPr>
          <w:rFonts w:eastAsia="MS Mincho"/>
          <w:lang w:val="cs-CZ"/>
        </w:rPr>
        <w:t xml:space="preserve"> </w:t>
      </w:r>
    </w:p>
    <w:p w14:paraId="21F4BFEB" w14:textId="77777777" w:rsidR="00245CC7" w:rsidRPr="00096052" w:rsidRDefault="00245CC7" w:rsidP="0045534A">
      <w:pPr>
        <w:rPr>
          <w:lang w:val="cs-CZ"/>
        </w:rPr>
      </w:pPr>
      <w:r w:rsidRPr="00096052">
        <w:rPr>
          <w:lang w:val="cs-CZ"/>
        </w:rPr>
        <w:t>Dotčené subjekty vyplývají z konkrétního nastavení jednotlivých konsolidačních opatření.</w:t>
      </w:r>
    </w:p>
    <w:p w14:paraId="45735C62" w14:textId="294E786E" w:rsidR="00A04DCD" w:rsidRPr="00096052" w:rsidRDefault="00A04DCD" w:rsidP="0045534A">
      <w:pPr>
        <w:pStyle w:val="Nadpis3"/>
        <w:rPr>
          <w:rFonts w:eastAsia="MS Mincho"/>
          <w:lang w:val="cs-CZ"/>
        </w:rPr>
      </w:pPr>
      <w:bookmarkStart w:id="7" w:name="_Toc135651287"/>
      <w:r w:rsidRPr="00096052">
        <w:rPr>
          <w:rFonts w:eastAsia="MS Mincho"/>
          <w:lang w:val="cs-CZ"/>
        </w:rPr>
        <w:t>Stát</w:t>
      </w:r>
      <w:r w:rsidR="00B726E9" w:rsidRPr="00096052">
        <w:rPr>
          <w:rFonts w:eastAsia="MS Mincho"/>
          <w:lang w:val="cs-CZ"/>
        </w:rPr>
        <w:t>,</w:t>
      </w:r>
      <w:r w:rsidRPr="00096052">
        <w:rPr>
          <w:rFonts w:eastAsia="MS Mincho"/>
          <w:lang w:val="cs-CZ"/>
        </w:rPr>
        <w:t xml:space="preserve"> resp. sektor vládních institucí</w:t>
      </w:r>
      <w:bookmarkEnd w:id="7"/>
    </w:p>
    <w:p w14:paraId="75ABF669" w14:textId="557C25C9" w:rsidR="00A04DCD" w:rsidRPr="00096052" w:rsidRDefault="00A04DCD" w:rsidP="0045534A">
      <w:pPr>
        <w:rPr>
          <w:lang w:val="cs-CZ"/>
        </w:rPr>
      </w:pPr>
      <w:r w:rsidRPr="00096052">
        <w:rPr>
          <w:lang w:val="cs-CZ"/>
        </w:rPr>
        <w:t xml:space="preserve">Fiskální konsolidace má za cíl zmírnit či odstranit nerovnováhu mezi příjmy </w:t>
      </w:r>
      <w:r w:rsidR="00DA2199" w:rsidRPr="00096052">
        <w:rPr>
          <w:lang w:val="cs-CZ"/>
        </w:rPr>
        <w:t>a</w:t>
      </w:r>
      <w:r w:rsidR="00DA2199">
        <w:rPr>
          <w:lang w:val="cs-CZ"/>
        </w:rPr>
        <w:t> </w:t>
      </w:r>
      <w:r w:rsidRPr="00096052">
        <w:rPr>
          <w:lang w:val="cs-CZ"/>
        </w:rPr>
        <w:t xml:space="preserve">výdaji veřejných financí </w:t>
      </w:r>
      <w:r w:rsidR="00DA2199" w:rsidRPr="00096052">
        <w:rPr>
          <w:lang w:val="cs-CZ"/>
        </w:rPr>
        <w:t>a</w:t>
      </w:r>
      <w:r w:rsidR="00DA2199">
        <w:rPr>
          <w:lang w:val="cs-CZ"/>
        </w:rPr>
        <w:t> </w:t>
      </w:r>
      <w:r w:rsidRPr="00096052">
        <w:rPr>
          <w:lang w:val="cs-CZ"/>
        </w:rPr>
        <w:t xml:space="preserve">zajistit </w:t>
      </w:r>
      <w:r w:rsidR="00D0377A" w:rsidRPr="00096052">
        <w:rPr>
          <w:lang w:val="cs-CZ"/>
        </w:rPr>
        <w:t xml:space="preserve">jejich </w:t>
      </w:r>
      <w:r w:rsidRPr="00096052">
        <w:rPr>
          <w:lang w:val="cs-CZ"/>
        </w:rPr>
        <w:t>dlouhodobou udržitelnost. K tomu přispívá jak zvyšování příjmů, tak snižování výdajů. V akruálním pojetí odhadujeme zlepšení hospodaření sektoru vládních institucí</w:t>
      </w:r>
      <w:r w:rsidR="00C723E8" w:rsidRPr="00096052">
        <w:rPr>
          <w:lang w:val="cs-CZ"/>
        </w:rPr>
        <w:t xml:space="preserve"> od roku 2024</w:t>
      </w:r>
      <w:r w:rsidRPr="00096052">
        <w:rPr>
          <w:lang w:val="cs-CZ"/>
        </w:rPr>
        <w:t xml:space="preserve"> </w:t>
      </w:r>
      <w:r w:rsidR="00DA2199" w:rsidRPr="00096052">
        <w:rPr>
          <w:lang w:val="cs-CZ"/>
        </w:rPr>
        <w:t>o</w:t>
      </w:r>
      <w:r w:rsidR="00DA2199">
        <w:rPr>
          <w:lang w:val="cs-CZ"/>
        </w:rPr>
        <w:t> </w:t>
      </w:r>
      <w:r w:rsidRPr="00096052">
        <w:rPr>
          <w:lang w:val="cs-CZ"/>
        </w:rPr>
        <w:t xml:space="preserve">více než </w:t>
      </w:r>
      <w:r w:rsidR="00DA2199" w:rsidRPr="00096052">
        <w:rPr>
          <w:lang w:val="cs-CZ"/>
        </w:rPr>
        <w:t>1</w:t>
      </w:r>
      <w:r w:rsidR="00DA2199">
        <w:rPr>
          <w:lang w:val="cs-CZ"/>
        </w:rPr>
        <w:t> </w:t>
      </w:r>
      <w:r w:rsidRPr="00096052">
        <w:rPr>
          <w:lang w:val="cs-CZ"/>
        </w:rPr>
        <w:t>procentní bod</w:t>
      </w:r>
      <w:r w:rsidR="00046621" w:rsidRPr="00096052">
        <w:rPr>
          <w:lang w:val="cs-CZ"/>
        </w:rPr>
        <w:t xml:space="preserve"> oproti autonomní predikci (Konvergenční program</w:t>
      </w:r>
      <w:r w:rsidR="00D0377A" w:rsidRPr="00096052">
        <w:rPr>
          <w:lang w:val="cs-CZ"/>
        </w:rPr>
        <w:t>,</w:t>
      </w:r>
      <w:r w:rsidR="00046621" w:rsidRPr="00096052">
        <w:rPr>
          <w:lang w:val="cs-CZ"/>
        </w:rPr>
        <w:t xml:space="preserve"> duben 2023). Adekvátně</w:t>
      </w:r>
      <w:r w:rsidR="00046621">
        <w:rPr>
          <w:noProof/>
          <w:lang w:val="cs-CZ"/>
        </w:rPr>
        <w:t xml:space="preserve"> </w:t>
      </w:r>
      <w:r w:rsidR="00DA2199">
        <w:rPr>
          <w:noProof/>
          <w:lang w:val="cs-CZ"/>
        </w:rPr>
        <w:t>k </w:t>
      </w:r>
      <w:r w:rsidR="00046621" w:rsidRPr="00096052">
        <w:rPr>
          <w:lang w:val="cs-CZ"/>
        </w:rPr>
        <w:t xml:space="preserve">poklesu deficitů by mělo v horizontu výhledu postupně klesat </w:t>
      </w:r>
      <w:r w:rsidR="00DA2199" w:rsidRPr="00096052">
        <w:rPr>
          <w:lang w:val="cs-CZ"/>
        </w:rPr>
        <w:t>i</w:t>
      </w:r>
      <w:r w:rsidR="00DA2199">
        <w:rPr>
          <w:lang w:val="cs-CZ"/>
        </w:rPr>
        <w:t> </w:t>
      </w:r>
      <w:r w:rsidR="00046621" w:rsidRPr="00096052">
        <w:rPr>
          <w:lang w:val="cs-CZ"/>
        </w:rPr>
        <w:t>zadlužení sektoru vládních institucí.</w:t>
      </w:r>
    </w:p>
    <w:p w14:paraId="6119200A" w14:textId="3B566171" w:rsidR="004D4420" w:rsidRPr="00096052" w:rsidRDefault="004D4420" w:rsidP="0045534A">
      <w:pPr>
        <w:rPr>
          <w:lang w:val="cs-CZ"/>
        </w:rPr>
      </w:pPr>
      <w:r w:rsidRPr="00096052">
        <w:rPr>
          <w:lang w:val="cs-CZ"/>
        </w:rPr>
        <w:t xml:space="preserve">V rámci sektoru vládních institucí pak dochází k některým přesunům, které ovlivní jednotlivé složky. Zacílení opatření ovlivňuje především státní rozpočet </w:t>
      </w:r>
      <w:r w:rsidR="00DA2199" w:rsidRPr="00096052">
        <w:rPr>
          <w:lang w:val="cs-CZ"/>
        </w:rPr>
        <w:t>a</w:t>
      </w:r>
      <w:r w:rsidR="00DA2199">
        <w:rPr>
          <w:lang w:val="cs-CZ"/>
        </w:rPr>
        <w:t> </w:t>
      </w:r>
      <w:r w:rsidRPr="00096052">
        <w:rPr>
          <w:lang w:val="cs-CZ"/>
        </w:rPr>
        <w:t xml:space="preserve">místní rozpočty. V prvním případě je změna salda </w:t>
      </w:r>
      <w:r w:rsidR="000D4FBE" w:rsidRPr="00096052">
        <w:rPr>
          <w:lang w:val="cs-CZ"/>
        </w:rPr>
        <w:t xml:space="preserve">vyšší než </w:t>
      </w:r>
      <w:r w:rsidR="00DA2199" w:rsidRPr="00096052">
        <w:rPr>
          <w:lang w:val="cs-CZ"/>
        </w:rPr>
        <w:t>u</w:t>
      </w:r>
      <w:r w:rsidR="00DA2199">
        <w:rPr>
          <w:lang w:val="cs-CZ"/>
        </w:rPr>
        <w:t> </w:t>
      </w:r>
      <w:r w:rsidR="000D4FBE" w:rsidRPr="00096052">
        <w:rPr>
          <w:lang w:val="cs-CZ"/>
        </w:rPr>
        <w:t xml:space="preserve">celého sektoru vládních institucí, neboť část úspor pro státní rozpočet negativně dopadá na obce </w:t>
      </w:r>
      <w:r w:rsidR="00DA2199" w:rsidRPr="00096052">
        <w:rPr>
          <w:lang w:val="cs-CZ"/>
        </w:rPr>
        <w:t>a</w:t>
      </w:r>
      <w:r w:rsidR="00DA2199">
        <w:rPr>
          <w:lang w:val="cs-CZ"/>
        </w:rPr>
        <w:t> </w:t>
      </w:r>
      <w:r w:rsidR="000D4FBE" w:rsidRPr="00096052">
        <w:rPr>
          <w:lang w:val="cs-CZ"/>
        </w:rPr>
        <w:t>kraje.</w:t>
      </w:r>
      <w:r w:rsidR="00A8709D" w:rsidRPr="00096052">
        <w:rPr>
          <w:lang w:val="cs-CZ"/>
        </w:rPr>
        <w:t xml:space="preserve"> To se týká zejména úprav v dani z přidané hodnoty, daně </w:t>
      </w:r>
      <w:r w:rsidR="00DA2199" w:rsidRPr="00096052">
        <w:rPr>
          <w:lang w:val="cs-CZ"/>
        </w:rPr>
        <w:t>z</w:t>
      </w:r>
      <w:r w:rsidR="00DA2199">
        <w:rPr>
          <w:lang w:val="cs-CZ"/>
        </w:rPr>
        <w:t> </w:t>
      </w:r>
      <w:r w:rsidR="00A8709D" w:rsidRPr="00096052">
        <w:rPr>
          <w:lang w:val="cs-CZ"/>
        </w:rPr>
        <w:t xml:space="preserve">hazardu </w:t>
      </w:r>
      <w:r w:rsidR="00DA2199" w:rsidRPr="00096052">
        <w:rPr>
          <w:lang w:val="cs-CZ"/>
        </w:rPr>
        <w:t>a</w:t>
      </w:r>
      <w:r w:rsidR="00DA2199">
        <w:rPr>
          <w:lang w:val="cs-CZ"/>
        </w:rPr>
        <w:t> </w:t>
      </w:r>
      <w:r w:rsidR="00A8709D" w:rsidRPr="00096052">
        <w:rPr>
          <w:lang w:val="cs-CZ"/>
        </w:rPr>
        <w:t xml:space="preserve">snížení národních dotací. Naproti tomu zrušení vybraných daňových výjimek či úprava progrese </w:t>
      </w:r>
      <w:r w:rsidR="00DA2199" w:rsidRPr="00096052">
        <w:rPr>
          <w:lang w:val="cs-CZ"/>
        </w:rPr>
        <w:t>u</w:t>
      </w:r>
      <w:r w:rsidR="00DA2199">
        <w:rPr>
          <w:lang w:val="cs-CZ"/>
        </w:rPr>
        <w:t> </w:t>
      </w:r>
      <w:r w:rsidR="00A8709D" w:rsidRPr="00096052">
        <w:rPr>
          <w:lang w:val="cs-CZ"/>
        </w:rPr>
        <w:t>daně z příjmu fyzických osob mají pozi</w:t>
      </w:r>
      <w:r w:rsidR="00D0377A" w:rsidRPr="00096052">
        <w:rPr>
          <w:lang w:val="cs-CZ"/>
        </w:rPr>
        <w:t>t</w:t>
      </w:r>
      <w:r w:rsidR="00A8709D" w:rsidRPr="00096052">
        <w:rPr>
          <w:lang w:val="cs-CZ"/>
        </w:rPr>
        <w:t xml:space="preserve">ivní dopad jak na státní rozpočet, tak na obce </w:t>
      </w:r>
      <w:r w:rsidR="00DA2199" w:rsidRPr="00096052">
        <w:rPr>
          <w:lang w:val="cs-CZ"/>
        </w:rPr>
        <w:t>a</w:t>
      </w:r>
      <w:r w:rsidR="00DA2199">
        <w:rPr>
          <w:lang w:val="cs-CZ"/>
        </w:rPr>
        <w:t> </w:t>
      </w:r>
      <w:r w:rsidR="00A8709D" w:rsidRPr="00096052">
        <w:rPr>
          <w:lang w:val="cs-CZ"/>
        </w:rPr>
        <w:t xml:space="preserve">kraje. Mírně pozitivní efekt by měl nastat </w:t>
      </w:r>
      <w:r w:rsidR="00DA2199" w:rsidRPr="00096052">
        <w:rPr>
          <w:lang w:val="cs-CZ"/>
        </w:rPr>
        <w:t>i</w:t>
      </w:r>
      <w:r w:rsidR="00DA2199">
        <w:rPr>
          <w:lang w:val="cs-CZ"/>
        </w:rPr>
        <w:t> </w:t>
      </w:r>
      <w:r w:rsidR="00DA2199" w:rsidRPr="00096052">
        <w:rPr>
          <w:lang w:val="cs-CZ"/>
        </w:rPr>
        <w:t>u</w:t>
      </w:r>
      <w:r w:rsidR="00DA2199">
        <w:rPr>
          <w:lang w:val="cs-CZ"/>
        </w:rPr>
        <w:t> </w:t>
      </w:r>
      <w:r w:rsidR="00A8709D" w:rsidRPr="00096052">
        <w:rPr>
          <w:lang w:val="cs-CZ"/>
        </w:rPr>
        <w:t xml:space="preserve">zdravotních pojišťoven posílením jejich příjmů. </w:t>
      </w:r>
      <w:r w:rsidR="00B13F2C">
        <w:rPr>
          <w:noProof/>
          <w:lang w:val="cs-CZ"/>
        </w:rPr>
        <w:t xml:space="preserve">Na </w:t>
      </w:r>
      <w:r w:rsidR="00A8709D" w:rsidRPr="00096052">
        <w:rPr>
          <w:lang w:val="cs-CZ"/>
        </w:rPr>
        <w:t xml:space="preserve">Státní fond dopravní infrastruktury </w:t>
      </w:r>
      <w:r w:rsidR="00B13F2C">
        <w:rPr>
          <w:noProof/>
          <w:lang w:val="cs-CZ"/>
        </w:rPr>
        <w:t>dopadne úprava neutrálně</w:t>
      </w:r>
      <w:r w:rsidR="00A8709D" w:rsidRPr="00096052">
        <w:rPr>
          <w:lang w:val="cs-CZ"/>
        </w:rPr>
        <w:t>.</w:t>
      </w:r>
    </w:p>
    <w:p w14:paraId="7B7B3994" w14:textId="1D5609AA" w:rsidR="00E70CD4" w:rsidRPr="00346568" w:rsidRDefault="00E70CD4" w:rsidP="00E70CD4">
      <w:pPr>
        <w:widowControl/>
        <w:rPr>
          <w:rStyle w:val="Siln"/>
          <w:lang w:val="cs-CZ"/>
        </w:rPr>
      </w:pPr>
      <w:r w:rsidRPr="00346568">
        <w:rPr>
          <w:rStyle w:val="Siln"/>
          <w:lang w:val="cs-CZ"/>
        </w:rPr>
        <w:t xml:space="preserve">Tabulka 2: Autonomní predikce </w:t>
      </w:r>
      <w:r w:rsidR="00DA2199" w:rsidRPr="00346568">
        <w:rPr>
          <w:rStyle w:val="Siln"/>
          <w:lang w:val="cs-CZ"/>
        </w:rPr>
        <w:t>a</w:t>
      </w:r>
      <w:r w:rsidR="00DA2199">
        <w:rPr>
          <w:rStyle w:val="Siln"/>
          <w:lang w:val="cs-CZ"/>
        </w:rPr>
        <w:t> </w:t>
      </w:r>
      <w:r w:rsidRPr="00346568">
        <w:rPr>
          <w:rStyle w:val="Siln"/>
          <w:lang w:val="cs-CZ"/>
        </w:rPr>
        <w:t>dopady konsolidačního balíčku</w:t>
      </w:r>
    </w:p>
    <w:p w14:paraId="415CE404" w14:textId="77777777" w:rsidR="00E70CD4" w:rsidRPr="00346568" w:rsidRDefault="00E70CD4" w:rsidP="00230367">
      <w:pPr>
        <w:rPr>
          <w:lang w:val="cs-CZ"/>
        </w:rPr>
      </w:pPr>
      <w:r w:rsidRPr="00346568">
        <w:rPr>
          <w:noProof/>
          <w:lang w:val="cs-CZ" w:eastAsia="cs-CZ"/>
        </w:rPr>
        <w:drawing>
          <wp:inline distT="0" distB="0" distL="0" distR="0" wp14:anchorId="1E3249B1" wp14:editId="0A41CF44">
            <wp:extent cx="5760720" cy="868490"/>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68490"/>
                    </a:xfrm>
                    <a:prstGeom prst="rect">
                      <a:avLst/>
                    </a:prstGeom>
                    <a:noFill/>
                    <a:ln>
                      <a:noFill/>
                    </a:ln>
                  </pic:spPr>
                </pic:pic>
              </a:graphicData>
            </a:graphic>
          </wp:inline>
        </w:drawing>
      </w:r>
    </w:p>
    <w:p w14:paraId="23A45408" w14:textId="0B79D5AE" w:rsidR="00E70CD4" w:rsidRPr="00346568" w:rsidRDefault="00E70CD4" w:rsidP="006544BC">
      <w:pPr>
        <w:widowControl/>
        <w:rPr>
          <w:rStyle w:val="Zdraznnjemn"/>
          <w:lang w:val="cs-CZ"/>
        </w:rPr>
      </w:pPr>
      <w:r w:rsidRPr="00346568">
        <w:rPr>
          <w:rStyle w:val="Zdraznnjemn"/>
          <w:lang w:val="cs-CZ"/>
        </w:rPr>
        <w:t xml:space="preserve">Zdroj: Konvergenční program (duben 2023), </w:t>
      </w:r>
      <w:r w:rsidR="00B13F2C" w:rsidRPr="00346568">
        <w:rPr>
          <w:rStyle w:val="Zdraznnjemn"/>
          <w:lang w:val="cs-CZ"/>
        </w:rPr>
        <w:t>v</w:t>
      </w:r>
      <w:r w:rsidRPr="00346568">
        <w:rPr>
          <w:rStyle w:val="Zdraznnjemn"/>
          <w:lang w:val="cs-CZ"/>
        </w:rPr>
        <w:t>ýpočty MF</w:t>
      </w:r>
      <w:r w:rsidR="00B13F2C" w:rsidRPr="00346568">
        <w:rPr>
          <w:rStyle w:val="Zdraznnjemn"/>
          <w:lang w:val="cs-CZ"/>
        </w:rPr>
        <w:t xml:space="preserve"> ČR.</w:t>
      </w:r>
    </w:p>
    <w:p w14:paraId="7D2A372B" w14:textId="65369DD8" w:rsidR="00046621" w:rsidRPr="00096052" w:rsidRDefault="00046621" w:rsidP="0045534A">
      <w:pPr>
        <w:pStyle w:val="Nadpis3"/>
        <w:rPr>
          <w:rFonts w:eastAsia="MS Mincho"/>
          <w:lang w:val="cs-CZ"/>
        </w:rPr>
      </w:pPr>
      <w:bookmarkStart w:id="8" w:name="_Toc135651288"/>
      <w:r w:rsidRPr="00096052">
        <w:rPr>
          <w:rFonts w:eastAsia="MS Mincho"/>
          <w:lang w:val="cs-CZ"/>
        </w:rPr>
        <w:t>Domácnosti</w:t>
      </w:r>
      <w:bookmarkEnd w:id="8"/>
    </w:p>
    <w:p w14:paraId="57937A9C" w14:textId="442D7BFE" w:rsidR="00046621" w:rsidRDefault="00DA2199" w:rsidP="0045534A">
      <w:pPr>
        <w:rPr>
          <w:lang w:val="cs-CZ"/>
        </w:rPr>
      </w:pPr>
      <w:r>
        <w:rPr>
          <w:noProof/>
          <w:lang w:val="cs-CZ"/>
        </w:rPr>
        <w:t>Z </w:t>
      </w:r>
      <w:r w:rsidR="00F2342E">
        <w:rPr>
          <w:noProof/>
          <w:lang w:val="cs-CZ"/>
        </w:rPr>
        <w:t>hlediska dopadů</w:t>
      </w:r>
      <w:r w:rsidR="004036A6">
        <w:rPr>
          <w:noProof/>
          <w:lang w:val="cs-CZ"/>
        </w:rPr>
        <w:t xml:space="preserve"> </w:t>
      </w:r>
      <w:r w:rsidR="00F2342E">
        <w:rPr>
          <w:noProof/>
          <w:lang w:val="cs-CZ"/>
        </w:rPr>
        <w:t>jsou</w:t>
      </w:r>
      <w:r w:rsidR="004036A6" w:rsidRPr="00096052">
        <w:rPr>
          <w:lang w:val="cs-CZ"/>
        </w:rPr>
        <w:t xml:space="preserve"> nejzásadnějšími opatřeními v případě domácností zvýšení sazby pojistného na nemocenské pojištění </w:t>
      </w:r>
      <w:r w:rsidRPr="00096052">
        <w:rPr>
          <w:lang w:val="cs-CZ"/>
        </w:rPr>
        <w:t>o</w:t>
      </w:r>
      <w:r>
        <w:rPr>
          <w:lang w:val="cs-CZ"/>
        </w:rPr>
        <w:t> </w:t>
      </w:r>
      <w:r w:rsidR="004036A6" w:rsidRPr="00096052">
        <w:rPr>
          <w:lang w:val="cs-CZ"/>
        </w:rPr>
        <w:t>0,</w:t>
      </w:r>
      <w:r w:rsidRPr="00096052">
        <w:rPr>
          <w:lang w:val="cs-CZ"/>
        </w:rPr>
        <w:t>6</w:t>
      </w:r>
      <w:r>
        <w:rPr>
          <w:lang w:val="cs-CZ"/>
        </w:rPr>
        <w:t> </w:t>
      </w:r>
      <w:r w:rsidR="004036A6" w:rsidRPr="00096052">
        <w:rPr>
          <w:lang w:val="cs-CZ"/>
        </w:rPr>
        <w:t>procentního bodu s dopadem 13 mld. Kč</w:t>
      </w:r>
      <w:r w:rsidR="00965ED2" w:rsidRPr="00096052">
        <w:rPr>
          <w:lang w:val="cs-CZ"/>
        </w:rPr>
        <w:t xml:space="preserve"> (dopad na </w:t>
      </w:r>
      <w:r w:rsidR="00965ED2" w:rsidRPr="00096052">
        <w:rPr>
          <w:lang w:val="cs-CZ"/>
        </w:rPr>
        <w:lastRenderedPageBreak/>
        <w:t xml:space="preserve">zaměstnance) </w:t>
      </w:r>
      <w:r w:rsidRPr="00096052">
        <w:rPr>
          <w:lang w:val="cs-CZ"/>
        </w:rPr>
        <w:t>a</w:t>
      </w:r>
      <w:r>
        <w:rPr>
          <w:lang w:val="cs-CZ"/>
        </w:rPr>
        <w:t> </w:t>
      </w:r>
      <w:r w:rsidR="004036A6" w:rsidRPr="00096052">
        <w:rPr>
          <w:lang w:val="cs-CZ"/>
        </w:rPr>
        <w:t xml:space="preserve">zvýšení daně z nemovitostí s dopadem </w:t>
      </w:r>
      <w:r w:rsidRPr="00096052">
        <w:rPr>
          <w:lang w:val="cs-CZ"/>
        </w:rPr>
        <w:t>9</w:t>
      </w:r>
      <w:r>
        <w:rPr>
          <w:lang w:val="cs-CZ"/>
        </w:rPr>
        <w:t> </w:t>
      </w:r>
      <w:r w:rsidR="004036A6" w:rsidRPr="00096052">
        <w:rPr>
          <w:lang w:val="cs-CZ"/>
        </w:rPr>
        <w:t>mld. Kč</w:t>
      </w:r>
      <w:r w:rsidR="00040069">
        <w:rPr>
          <w:lang w:val="cs-CZ"/>
        </w:rPr>
        <w:t xml:space="preserve"> převážně</w:t>
      </w:r>
      <w:r w:rsidR="00965ED2" w:rsidRPr="00096052">
        <w:rPr>
          <w:lang w:val="cs-CZ"/>
        </w:rPr>
        <w:t xml:space="preserve"> pro vlastníky nemovitostí</w:t>
      </w:r>
      <w:r w:rsidR="004036A6" w:rsidRPr="00096052">
        <w:rPr>
          <w:lang w:val="cs-CZ"/>
        </w:rPr>
        <w:t>.</w:t>
      </w:r>
      <w:r w:rsidR="00965ED2" w:rsidRPr="00096052">
        <w:rPr>
          <w:lang w:val="cs-CZ"/>
        </w:rPr>
        <w:t xml:space="preserve"> Daň z nemovitostí pak bude automaticky valorizován</w:t>
      </w:r>
      <w:r w:rsidR="00D0377A" w:rsidRPr="00096052">
        <w:rPr>
          <w:lang w:val="cs-CZ"/>
        </w:rPr>
        <w:t>a</w:t>
      </w:r>
      <w:r w:rsidR="00965ED2" w:rsidRPr="00096052">
        <w:rPr>
          <w:lang w:val="cs-CZ"/>
        </w:rPr>
        <w:t xml:space="preserve"> každý rok, což s sebou nese dodatečné dopady na vlastníky</w:t>
      </w:r>
      <w:r w:rsidR="00D17C2C">
        <w:rPr>
          <w:lang w:val="cs-CZ"/>
        </w:rPr>
        <w:t xml:space="preserve"> (</w:t>
      </w:r>
      <w:r>
        <w:rPr>
          <w:lang w:val="cs-CZ"/>
        </w:rPr>
        <w:t>v </w:t>
      </w:r>
      <w:r w:rsidR="00D17C2C">
        <w:rPr>
          <w:lang w:val="cs-CZ"/>
        </w:rPr>
        <w:t xml:space="preserve">omezené míře může dopadnout </w:t>
      </w:r>
      <w:r>
        <w:rPr>
          <w:lang w:val="cs-CZ"/>
        </w:rPr>
        <w:t>i </w:t>
      </w:r>
      <w:r w:rsidR="00D17C2C">
        <w:rPr>
          <w:lang w:val="cs-CZ"/>
        </w:rPr>
        <w:t>na nájemníky)</w:t>
      </w:r>
      <w:r w:rsidR="00965ED2" w:rsidRPr="00096052">
        <w:rPr>
          <w:lang w:val="cs-CZ"/>
        </w:rPr>
        <w:t>.</w:t>
      </w:r>
      <w:r w:rsidR="002809AA" w:rsidRPr="00096052">
        <w:rPr>
          <w:lang w:val="cs-CZ"/>
        </w:rPr>
        <w:t xml:space="preserve"> V případě osob samostatně výdělečně činných dochází k navýšení minimálního vyměřovacího základu na sociální pojištění z 25 % </w:t>
      </w:r>
      <w:r w:rsidR="008700EB" w:rsidRPr="00096052">
        <w:rPr>
          <w:lang w:val="cs-CZ"/>
        </w:rPr>
        <w:t xml:space="preserve">průměrné mzdy postupně během tří let na 40 % průměrné mzdy. V delším časovém horizontu se tato úprava pochopitelně projeví ve vyšších důchodech (za jinak stejných podmínek). Další dílčí úpravy ovlivní řadu skupin domácností, zaměstnance (kromě zmíněného zvýšení sazby nemocenského pojištění jde </w:t>
      </w:r>
      <w:r w:rsidRPr="00096052">
        <w:rPr>
          <w:lang w:val="cs-CZ"/>
        </w:rPr>
        <w:t>o</w:t>
      </w:r>
      <w:r>
        <w:rPr>
          <w:lang w:val="cs-CZ"/>
        </w:rPr>
        <w:t> </w:t>
      </w:r>
      <w:r w:rsidR="008700EB" w:rsidRPr="00096052">
        <w:rPr>
          <w:lang w:val="cs-CZ"/>
        </w:rPr>
        <w:t>snížení objemu prostředků na platy ve státní správě,</w:t>
      </w:r>
      <w:r w:rsidR="00C07F5B" w:rsidRPr="00096052">
        <w:rPr>
          <w:lang w:val="cs-CZ"/>
        </w:rPr>
        <w:t xml:space="preserve"> úprava základny pro výpočet platů ústavních činitelů,</w:t>
      </w:r>
      <w:r w:rsidR="008700EB" w:rsidRPr="00096052">
        <w:rPr>
          <w:lang w:val="cs-CZ"/>
        </w:rPr>
        <w:t xml:space="preserve"> zrušení osvobození ne</w:t>
      </w:r>
      <w:r w:rsidR="00D53C6B" w:rsidRPr="00096052">
        <w:rPr>
          <w:lang w:val="cs-CZ"/>
        </w:rPr>
        <w:t xml:space="preserve">peněžních benefitů </w:t>
      </w:r>
      <w:r w:rsidR="008700EB" w:rsidRPr="00096052">
        <w:rPr>
          <w:lang w:val="cs-CZ"/>
        </w:rPr>
        <w:t>od daně,</w:t>
      </w:r>
      <w:r w:rsidR="006A71CC" w:rsidRPr="00096052">
        <w:rPr>
          <w:lang w:val="cs-CZ"/>
        </w:rPr>
        <w:t xml:space="preserve"> změna podmínek vyplácení podpor v</w:t>
      </w:r>
      <w:r w:rsidR="00D53C6B" w:rsidRPr="00096052">
        <w:rPr>
          <w:lang w:val="cs-CZ"/>
        </w:rPr>
        <w:t> nezaměstnanosti,</w:t>
      </w:r>
      <w:r w:rsidR="006A71CC" w:rsidRPr="00096052">
        <w:rPr>
          <w:lang w:val="cs-CZ"/>
        </w:rPr>
        <w:t xml:space="preserve"> snížení prostředků na fond kulturních </w:t>
      </w:r>
      <w:r w:rsidRPr="00096052">
        <w:rPr>
          <w:lang w:val="cs-CZ"/>
        </w:rPr>
        <w:t>a</w:t>
      </w:r>
      <w:r>
        <w:rPr>
          <w:lang w:val="cs-CZ"/>
        </w:rPr>
        <w:t> </w:t>
      </w:r>
      <w:r w:rsidR="006A71CC" w:rsidRPr="00096052">
        <w:rPr>
          <w:lang w:val="cs-CZ"/>
        </w:rPr>
        <w:t>sociálních potřeb</w:t>
      </w:r>
      <w:r w:rsidR="00D53C6B" w:rsidRPr="00096052">
        <w:rPr>
          <w:lang w:val="cs-CZ"/>
        </w:rPr>
        <w:t xml:space="preserve"> nebo úprava progrese </w:t>
      </w:r>
      <w:r w:rsidRPr="00096052">
        <w:rPr>
          <w:lang w:val="cs-CZ"/>
        </w:rPr>
        <w:t>u</w:t>
      </w:r>
      <w:r>
        <w:rPr>
          <w:lang w:val="cs-CZ"/>
        </w:rPr>
        <w:t> </w:t>
      </w:r>
      <w:r w:rsidR="00D53C6B" w:rsidRPr="00096052">
        <w:rPr>
          <w:lang w:val="cs-CZ"/>
        </w:rPr>
        <w:t>daně z příjmu fyzických osob</w:t>
      </w:r>
      <w:r w:rsidR="006A71CC" w:rsidRPr="00096052">
        <w:rPr>
          <w:lang w:val="cs-CZ"/>
        </w:rPr>
        <w:t xml:space="preserve">), studenty </w:t>
      </w:r>
      <w:r w:rsidRPr="00096052">
        <w:rPr>
          <w:lang w:val="cs-CZ"/>
        </w:rPr>
        <w:t>a</w:t>
      </w:r>
      <w:r>
        <w:rPr>
          <w:lang w:val="cs-CZ"/>
        </w:rPr>
        <w:t> </w:t>
      </w:r>
      <w:r w:rsidR="006A71CC" w:rsidRPr="00096052">
        <w:rPr>
          <w:lang w:val="cs-CZ"/>
        </w:rPr>
        <w:t xml:space="preserve">pracovníky na dohodu </w:t>
      </w:r>
      <w:r w:rsidRPr="00096052">
        <w:rPr>
          <w:lang w:val="cs-CZ"/>
        </w:rPr>
        <w:t>o</w:t>
      </w:r>
      <w:r>
        <w:rPr>
          <w:lang w:val="cs-CZ"/>
        </w:rPr>
        <w:t> </w:t>
      </w:r>
      <w:r w:rsidR="006A71CC" w:rsidRPr="00096052">
        <w:rPr>
          <w:lang w:val="cs-CZ"/>
        </w:rPr>
        <w:t xml:space="preserve">provedení práce (zrušení slevy na studenta, zastropování úlev z odvodů pro dohody), </w:t>
      </w:r>
      <w:r w:rsidR="006A71CC">
        <w:rPr>
          <w:noProof/>
          <w:lang w:val="cs-CZ"/>
        </w:rPr>
        <w:t>rodin</w:t>
      </w:r>
      <w:r w:rsidR="001240A9">
        <w:rPr>
          <w:noProof/>
          <w:lang w:val="cs-CZ"/>
        </w:rPr>
        <w:t>y</w:t>
      </w:r>
      <w:r w:rsidR="006A71CC" w:rsidRPr="00096052">
        <w:rPr>
          <w:lang w:val="cs-CZ"/>
        </w:rPr>
        <w:t xml:space="preserve"> (omezení možnosti uplatnění slev na manžela/manželku, zrušení slevy na dani za umístění dítěte do předškolního zařízení).</w:t>
      </w:r>
      <w:r w:rsidR="008A7ED5" w:rsidRPr="00096052">
        <w:rPr>
          <w:lang w:val="cs-CZ"/>
        </w:rPr>
        <w:t xml:space="preserve"> Spotřebitelé budou v obecné rovině zvýhodněni úpravami v dani z přidané hodnoty s dopadem </w:t>
      </w:r>
      <w:r w:rsidR="00A23694">
        <w:rPr>
          <w:lang w:val="cs-CZ"/>
        </w:rPr>
        <w:t>3,</w:t>
      </w:r>
      <w:r>
        <w:rPr>
          <w:lang w:val="cs-CZ"/>
        </w:rPr>
        <w:t>5 </w:t>
      </w:r>
      <w:r w:rsidR="008A7ED5" w:rsidRPr="00096052">
        <w:rPr>
          <w:lang w:val="cs-CZ"/>
        </w:rPr>
        <w:t xml:space="preserve">mld. Kč </w:t>
      </w:r>
      <w:r w:rsidRPr="00096052">
        <w:rPr>
          <w:lang w:val="cs-CZ"/>
        </w:rPr>
        <w:t>a</w:t>
      </w:r>
      <w:r>
        <w:rPr>
          <w:lang w:val="cs-CZ"/>
        </w:rPr>
        <w:t> </w:t>
      </w:r>
      <w:r w:rsidR="008A7ED5" w:rsidRPr="00096052">
        <w:rPr>
          <w:lang w:val="cs-CZ"/>
        </w:rPr>
        <w:t>zvýhodnění se týká dle propočtů</w:t>
      </w:r>
      <w:r w:rsidR="008A7ED5">
        <w:rPr>
          <w:noProof/>
          <w:lang w:val="cs-CZ"/>
        </w:rPr>
        <w:t xml:space="preserve"> </w:t>
      </w:r>
      <w:r w:rsidR="00CF6905">
        <w:rPr>
          <w:noProof/>
          <w:lang w:val="cs-CZ"/>
        </w:rPr>
        <w:t>téměř</w:t>
      </w:r>
      <w:r w:rsidR="008A7ED5" w:rsidRPr="00096052">
        <w:rPr>
          <w:lang w:val="cs-CZ"/>
        </w:rPr>
        <w:t xml:space="preserve"> všech příjmových skupin včetně nízkopříjmových </w:t>
      </w:r>
      <w:r w:rsidRPr="00096052">
        <w:rPr>
          <w:lang w:val="cs-CZ"/>
        </w:rPr>
        <w:t>a</w:t>
      </w:r>
      <w:r>
        <w:rPr>
          <w:lang w:val="cs-CZ"/>
        </w:rPr>
        <w:t> </w:t>
      </w:r>
      <w:r w:rsidR="008A7ED5" w:rsidRPr="00096052">
        <w:rPr>
          <w:lang w:val="cs-CZ"/>
        </w:rPr>
        <w:t>důchodců</w:t>
      </w:r>
      <w:r w:rsidR="00122A5A">
        <w:rPr>
          <w:lang w:val="cs-CZ"/>
        </w:rPr>
        <w:t xml:space="preserve"> </w:t>
      </w:r>
      <w:r w:rsidR="00122A5A" w:rsidRPr="00715685">
        <w:rPr>
          <w:lang w:val="cs-CZ"/>
        </w:rPr>
        <w:t>(viz tabulky 3 a 4)</w:t>
      </w:r>
      <w:r w:rsidR="008A7ED5" w:rsidRPr="00096052">
        <w:rPr>
          <w:lang w:val="cs-CZ"/>
        </w:rPr>
        <w:t>.</w:t>
      </w:r>
      <w:r w:rsidR="00222F86" w:rsidRPr="00096052">
        <w:rPr>
          <w:lang w:val="cs-CZ"/>
        </w:rPr>
        <w:t xml:space="preserve"> Opačně pak působí zvyšování spotřebních daní </w:t>
      </w:r>
      <w:r w:rsidRPr="00096052">
        <w:rPr>
          <w:lang w:val="cs-CZ"/>
        </w:rPr>
        <w:t>a</w:t>
      </w:r>
      <w:r>
        <w:rPr>
          <w:lang w:val="cs-CZ"/>
        </w:rPr>
        <w:t> </w:t>
      </w:r>
      <w:r w:rsidR="00222F86" w:rsidRPr="00096052">
        <w:rPr>
          <w:lang w:val="cs-CZ"/>
        </w:rPr>
        <w:t xml:space="preserve">daně z hazardu, nicméně zde se jedná </w:t>
      </w:r>
      <w:r w:rsidRPr="00096052">
        <w:rPr>
          <w:lang w:val="cs-CZ"/>
        </w:rPr>
        <w:t>o</w:t>
      </w:r>
      <w:r>
        <w:rPr>
          <w:lang w:val="cs-CZ"/>
        </w:rPr>
        <w:t> </w:t>
      </w:r>
      <w:r w:rsidR="00222F86" w:rsidRPr="00096052">
        <w:rPr>
          <w:lang w:val="cs-CZ"/>
        </w:rPr>
        <w:t xml:space="preserve">vybrané domácnosti požívající alkohol, </w:t>
      </w:r>
      <w:r w:rsidR="003405E1" w:rsidRPr="00096052">
        <w:rPr>
          <w:lang w:val="cs-CZ"/>
        </w:rPr>
        <w:t xml:space="preserve">tabákové výrobky </w:t>
      </w:r>
      <w:r w:rsidRPr="00096052">
        <w:rPr>
          <w:lang w:val="cs-CZ"/>
        </w:rPr>
        <w:t>a</w:t>
      </w:r>
      <w:r>
        <w:rPr>
          <w:lang w:val="cs-CZ"/>
        </w:rPr>
        <w:t> </w:t>
      </w:r>
      <w:r w:rsidR="003405E1" w:rsidRPr="00096052">
        <w:rPr>
          <w:lang w:val="cs-CZ"/>
        </w:rPr>
        <w:t>e-cigarety. Negativně d</w:t>
      </w:r>
      <w:r w:rsidR="00222F86" w:rsidRPr="00096052">
        <w:rPr>
          <w:lang w:val="cs-CZ"/>
        </w:rPr>
        <w:t xml:space="preserve">otčeni pak budou </w:t>
      </w:r>
      <w:r w:rsidRPr="00096052">
        <w:rPr>
          <w:lang w:val="cs-CZ"/>
        </w:rPr>
        <w:t>i</w:t>
      </w:r>
      <w:r>
        <w:rPr>
          <w:lang w:val="cs-CZ"/>
        </w:rPr>
        <w:t> </w:t>
      </w:r>
      <w:r w:rsidR="003405E1" w:rsidRPr="00096052">
        <w:rPr>
          <w:lang w:val="cs-CZ"/>
        </w:rPr>
        <w:t>příjemci podpor v rámci stavebního spoření (snížení podpory maximálně na 1000 Kč/rok),</w:t>
      </w:r>
      <w:r w:rsidR="00222F86" w:rsidRPr="00096052">
        <w:rPr>
          <w:lang w:val="cs-CZ"/>
        </w:rPr>
        <w:t xml:space="preserve"> provozovatelé dopravních prostředků s nutností nákupu dálničních známek</w:t>
      </w:r>
      <w:r w:rsidR="003405E1" w:rsidRPr="00096052">
        <w:rPr>
          <w:lang w:val="cs-CZ"/>
        </w:rPr>
        <w:t xml:space="preserve"> (zvýšení ceny ročních známek </w:t>
      </w:r>
      <w:r w:rsidRPr="00096052">
        <w:rPr>
          <w:lang w:val="cs-CZ"/>
        </w:rPr>
        <w:t>a</w:t>
      </w:r>
      <w:r>
        <w:rPr>
          <w:lang w:val="cs-CZ"/>
        </w:rPr>
        <w:t> </w:t>
      </w:r>
      <w:r w:rsidR="003405E1" w:rsidRPr="00096052">
        <w:rPr>
          <w:lang w:val="cs-CZ"/>
        </w:rPr>
        <w:t>jejich pravidelná valorizace)</w:t>
      </w:r>
      <w:r w:rsidR="00222F86" w:rsidRPr="00096052">
        <w:rPr>
          <w:lang w:val="cs-CZ"/>
        </w:rPr>
        <w:t xml:space="preserve"> nebo výherci v hazardních hrách </w:t>
      </w:r>
      <w:r w:rsidRPr="00096052">
        <w:rPr>
          <w:lang w:val="cs-CZ"/>
        </w:rPr>
        <w:t>a</w:t>
      </w:r>
      <w:r>
        <w:rPr>
          <w:lang w:val="cs-CZ"/>
        </w:rPr>
        <w:t> </w:t>
      </w:r>
      <w:r w:rsidR="00222F86" w:rsidRPr="00096052">
        <w:rPr>
          <w:lang w:val="cs-CZ"/>
        </w:rPr>
        <w:t>tombolách</w:t>
      </w:r>
      <w:r w:rsidR="003405E1" w:rsidRPr="00096052">
        <w:rPr>
          <w:lang w:val="cs-CZ"/>
        </w:rPr>
        <w:t xml:space="preserve"> (snížení limitu pro osvobození od daně na 50</w:t>
      </w:r>
      <w:r w:rsidR="00D0377A" w:rsidRPr="00096052">
        <w:rPr>
          <w:lang w:val="cs-CZ"/>
        </w:rPr>
        <w:t> </w:t>
      </w:r>
      <w:r w:rsidR="003405E1" w:rsidRPr="00096052">
        <w:rPr>
          <w:lang w:val="cs-CZ"/>
        </w:rPr>
        <w:t>tisíc</w:t>
      </w:r>
      <w:r w:rsidR="00D0377A" w:rsidRPr="00096052">
        <w:rPr>
          <w:lang w:val="cs-CZ"/>
        </w:rPr>
        <w:t> </w:t>
      </w:r>
      <w:r w:rsidR="003405E1" w:rsidRPr="00096052">
        <w:rPr>
          <w:lang w:val="cs-CZ"/>
        </w:rPr>
        <w:t>Kč)</w:t>
      </w:r>
      <w:r w:rsidR="00222F86" w:rsidRPr="00096052">
        <w:rPr>
          <w:lang w:val="cs-CZ"/>
        </w:rPr>
        <w:t>.</w:t>
      </w:r>
    </w:p>
    <w:p w14:paraId="500833E0" w14:textId="43F2AEEA" w:rsidR="00A23694" w:rsidRPr="00817A67" w:rsidRDefault="00A23694" w:rsidP="00817A67">
      <w:pPr>
        <w:widowControl/>
        <w:rPr>
          <w:rStyle w:val="Siln"/>
          <w:lang w:val="cs-CZ"/>
        </w:rPr>
      </w:pPr>
      <w:r w:rsidRPr="00817A67">
        <w:rPr>
          <w:rStyle w:val="Siln"/>
          <w:lang w:val="cs-CZ"/>
        </w:rPr>
        <w:t>Tabulka 3: Efektivní daňová sazba</w:t>
      </w:r>
      <w:r w:rsidR="00817A67" w:rsidRPr="00817A67">
        <w:rPr>
          <w:rStyle w:val="Siln"/>
          <w:lang w:val="cs-CZ"/>
        </w:rPr>
        <w:t xml:space="preserve"> daně </w:t>
      </w:r>
      <w:r w:rsidR="00DA2199" w:rsidRPr="00817A67">
        <w:rPr>
          <w:rStyle w:val="Siln"/>
          <w:lang w:val="cs-CZ"/>
        </w:rPr>
        <w:t>z</w:t>
      </w:r>
      <w:r w:rsidR="00DA2199">
        <w:rPr>
          <w:rStyle w:val="Siln"/>
          <w:lang w:val="cs-CZ"/>
        </w:rPr>
        <w:t> </w:t>
      </w:r>
      <w:r w:rsidR="00817A67" w:rsidRPr="00817A67">
        <w:rPr>
          <w:rStyle w:val="Siln"/>
          <w:lang w:val="cs-CZ"/>
        </w:rPr>
        <w:t>přidané hodnoty</w:t>
      </w:r>
      <w:r w:rsidRPr="00817A67">
        <w:rPr>
          <w:rStyle w:val="Siln"/>
          <w:lang w:val="cs-CZ"/>
        </w:rPr>
        <w:t xml:space="preserve"> dle příjmových decilů</w:t>
      </w:r>
      <w:r w:rsidR="00817A67">
        <w:rPr>
          <w:rStyle w:val="Siln"/>
          <w:lang w:val="cs-CZ"/>
        </w:rPr>
        <w:t xml:space="preserve"> (</w:t>
      </w:r>
      <w:r w:rsidR="00DA2199">
        <w:rPr>
          <w:rStyle w:val="Siln"/>
          <w:lang w:val="cs-CZ"/>
        </w:rPr>
        <w:t>v </w:t>
      </w:r>
      <w:r w:rsidR="00817A67">
        <w:rPr>
          <w:rStyle w:val="Siln"/>
          <w:lang w:val="cs-CZ"/>
        </w:rPr>
        <w:t>%)</w:t>
      </w:r>
    </w:p>
    <w:p w14:paraId="5CDCB645" w14:textId="222CFBEC" w:rsidR="00A23694" w:rsidRPr="00817A67" w:rsidRDefault="00A23694" w:rsidP="009A766E">
      <w:pPr>
        <w:rPr>
          <w:lang w:val="cs-CZ"/>
        </w:rPr>
      </w:pPr>
      <w:r w:rsidRPr="00817A67">
        <w:rPr>
          <w:noProof/>
          <w:lang w:val="cs-CZ" w:eastAsia="cs-CZ"/>
        </w:rPr>
        <w:drawing>
          <wp:inline distT="0" distB="0" distL="0" distR="0" wp14:anchorId="450142F6" wp14:editId="2156C75E">
            <wp:extent cx="4648200" cy="18383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1838325"/>
                    </a:xfrm>
                    <a:prstGeom prst="rect">
                      <a:avLst/>
                    </a:prstGeom>
                    <a:noFill/>
                    <a:ln>
                      <a:noFill/>
                    </a:ln>
                  </pic:spPr>
                </pic:pic>
              </a:graphicData>
            </a:graphic>
          </wp:inline>
        </w:drawing>
      </w:r>
    </w:p>
    <w:p w14:paraId="32C9411C" w14:textId="5F3E5482" w:rsidR="00817A67" w:rsidRPr="00817A67" w:rsidRDefault="00817A67" w:rsidP="00817A67">
      <w:pPr>
        <w:widowControl/>
        <w:rPr>
          <w:rStyle w:val="Zdraznnjemn"/>
          <w:lang w:val="cs-CZ"/>
        </w:rPr>
      </w:pPr>
      <w:r w:rsidRPr="00817A67">
        <w:rPr>
          <w:rStyle w:val="Zdraznnjemn"/>
          <w:lang w:val="cs-CZ"/>
        </w:rPr>
        <w:t>Zdroj: Výpočty MF</w:t>
      </w:r>
      <w:r>
        <w:rPr>
          <w:rStyle w:val="Zdraznnjemn"/>
          <w:lang w:val="cs-CZ"/>
        </w:rPr>
        <w:t xml:space="preserve"> </w:t>
      </w:r>
      <w:r w:rsidRPr="00817A67">
        <w:rPr>
          <w:rStyle w:val="Zdraznnjemn"/>
          <w:lang w:val="cs-CZ"/>
        </w:rPr>
        <w:t>ČR</w:t>
      </w:r>
    </w:p>
    <w:p w14:paraId="6121EA2B" w14:textId="63EC7CEC" w:rsidR="00817A67" w:rsidRPr="00817A67" w:rsidRDefault="00817A67" w:rsidP="00817A67">
      <w:pPr>
        <w:widowControl/>
        <w:rPr>
          <w:rStyle w:val="Siln"/>
          <w:lang w:val="cs-CZ"/>
        </w:rPr>
      </w:pPr>
      <w:r w:rsidRPr="00817A67">
        <w:rPr>
          <w:rStyle w:val="Siln"/>
          <w:lang w:val="cs-CZ"/>
        </w:rPr>
        <w:t xml:space="preserve">Tabulka 4: Efektivní daňová sazba daně </w:t>
      </w:r>
      <w:r w:rsidR="00DA2199" w:rsidRPr="00817A67">
        <w:rPr>
          <w:rStyle w:val="Siln"/>
          <w:lang w:val="cs-CZ"/>
        </w:rPr>
        <w:t>z</w:t>
      </w:r>
      <w:r w:rsidR="00DA2199">
        <w:rPr>
          <w:rStyle w:val="Siln"/>
          <w:lang w:val="cs-CZ"/>
        </w:rPr>
        <w:t> </w:t>
      </w:r>
      <w:r w:rsidRPr="00817A67">
        <w:rPr>
          <w:rStyle w:val="Siln"/>
          <w:lang w:val="cs-CZ"/>
        </w:rPr>
        <w:t>přidané hodnoty dle příjmových decilů</w:t>
      </w:r>
      <w:r>
        <w:rPr>
          <w:rStyle w:val="Siln"/>
          <w:lang w:val="cs-CZ"/>
        </w:rPr>
        <w:t xml:space="preserve"> (</w:t>
      </w:r>
      <w:r w:rsidR="00DA2199">
        <w:rPr>
          <w:rStyle w:val="Siln"/>
          <w:lang w:val="cs-CZ"/>
        </w:rPr>
        <w:t>v </w:t>
      </w:r>
      <w:r>
        <w:rPr>
          <w:rStyle w:val="Siln"/>
          <w:lang w:val="cs-CZ"/>
        </w:rPr>
        <w:t>%)</w:t>
      </w:r>
    </w:p>
    <w:p w14:paraId="67B7025A" w14:textId="3461CF3F" w:rsidR="00817A67" w:rsidRPr="00817A67" w:rsidRDefault="00817A67" w:rsidP="009A766E">
      <w:pPr>
        <w:rPr>
          <w:rStyle w:val="Siln"/>
          <w:lang w:val="cs-CZ"/>
        </w:rPr>
      </w:pPr>
      <w:r w:rsidRPr="00817A67">
        <w:rPr>
          <w:rStyle w:val="Siln"/>
          <w:noProof/>
          <w:lang w:val="cs-CZ" w:eastAsia="cs-CZ"/>
        </w:rPr>
        <w:drawing>
          <wp:inline distT="0" distB="0" distL="0" distR="0" wp14:anchorId="06EE8F44" wp14:editId="6D7B75C4">
            <wp:extent cx="5372100" cy="11906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90625"/>
                    </a:xfrm>
                    <a:prstGeom prst="rect">
                      <a:avLst/>
                    </a:prstGeom>
                    <a:noFill/>
                    <a:ln>
                      <a:noFill/>
                    </a:ln>
                  </pic:spPr>
                </pic:pic>
              </a:graphicData>
            </a:graphic>
          </wp:inline>
        </w:drawing>
      </w:r>
    </w:p>
    <w:p w14:paraId="5229725D" w14:textId="27588538" w:rsidR="00817A67" w:rsidRPr="00817A67" w:rsidRDefault="00817A67" w:rsidP="00817A67">
      <w:pPr>
        <w:widowControl/>
        <w:rPr>
          <w:rStyle w:val="Zdraznnjemn"/>
          <w:lang w:val="cs-CZ"/>
        </w:rPr>
      </w:pPr>
      <w:r w:rsidRPr="00817A67">
        <w:rPr>
          <w:rStyle w:val="Zdraznnjemn"/>
          <w:lang w:val="cs-CZ"/>
        </w:rPr>
        <w:t>Zdroj: Výpočty MF</w:t>
      </w:r>
      <w:r>
        <w:rPr>
          <w:rStyle w:val="Zdraznnjemn"/>
          <w:lang w:val="cs-CZ"/>
        </w:rPr>
        <w:t xml:space="preserve"> </w:t>
      </w:r>
      <w:r w:rsidRPr="00817A67">
        <w:rPr>
          <w:rStyle w:val="Zdraznnjemn"/>
          <w:lang w:val="cs-CZ"/>
        </w:rPr>
        <w:t>ČR</w:t>
      </w:r>
    </w:p>
    <w:p w14:paraId="02F8C14C" w14:textId="1B7C8D45" w:rsidR="00D53C6B" w:rsidRPr="00096052" w:rsidRDefault="00D53C6B" w:rsidP="0045534A">
      <w:pPr>
        <w:pStyle w:val="Nadpis3"/>
        <w:rPr>
          <w:rFonts w:eastAsia="MS Mincho"/>
          <w:lang w:val="cs-CZ"/>
        </w:rPr>
      </w:pPr>
      <w:bookmarkStart w:id="9" w:name="_Toc135651289"/>
      <w:r w:rsidRPr="00096052">
        <w:rPr>
          <w:rFonts w:eastAsia="MS Mincho"/>
          <w:lang w:val="cs-CZ"/>
        </w:rPr>
        <w:t>Firmy</w:t>
      </w:r>
      <w:bookmarkEnd w:id="9"/>
    </w:p>
    <w:p w14:paraId="1C1C42EC" w14:textId="588F4F25" w:rsidR="00D53C6B" w:rsidRPr="00096052" w:rsidRDefault="006A0660" w:rsidP="0045534A">
      <w:pPr>
        <w:rPr>
          <w:lang w:val="cs-CZ"/>
        </w:rPr>
      </w:pPr>
      <w:r w:rsidRPr="00096052">
        <w:rPr>
          <w:lang w:val="cs-CZ"/>
        </w:rPr>
        <w:t xml:space="preserve">Nejvýraznějšími změnami pro firmy v rámci konsolidačního balíčku je zvýšení sazby daně z příjmu právnických osob </w:t>
      </w:r>
      <w:r w:rsidR="00DA2199" w:rsidRPr="00096052">
        <w:rPr>
          <w:lang w:val="cs-CZ"/>
        </w:rPr>
        <w:t>o</w:t>
      </w:r>
      <w:r w:rsidR="00DA2199">
        <w:rPr>
          <w:lang w:val="cs-CZ"/>
        </w:rPr>
        <w:t> </w:t>
      </w:r>
      <w:r w:rsidR="00DA2199" w:rsidRPr="00096052">
        <w:rPr>
          <w:lang w:val="cs-CZ"/>
        </w:rPr>
        <w:t>2</w:t>
      </w:r>
      <w:r w:rsidR="00DA2199">
        <w:rPr>
          <w:lang w:val="cs-CZ"/>
        </w:rPr>
        <w:t> </w:t>
      </w:r>
      <w:r w:rsidRPr="00096052">
        <w:rPr>
          <w:lang w:val="cs-CZ"/>
        </w:rPr>
        <w:t xml:space="preserve">procentní body, tedy z 19 na 21 %, </w:t>
      </w:r>
      <w:r w:rsidR="00DA2199" w:rsidRPr="00096052">
        <w:rPr>
          <w:lang w:val="cs-CZ"/>
        </w:rPr>
        <w:t>a</w:t>
      </w:r>
      <w:r w:rsidR="00DA2199">
        <w:rPr>
          <w:lang w:val="cs-CZ"/>
        </w:rPr>
        <w:t> </w:t>
      </w:r>
      <w:r w:rsidRPr="00096052">
        <w:rPr>
          <w:lang w:val="cs-CZ"/>
        </w:rPr>
        <w:t xml:space="preserve">snížení </w:t>
      </w:r>
      <w:r w:rsidR="00511AEA" w:rsidRPr="00096052">
        <w:rPr>
          <w:lang w:val="cs-CZ"/>
        </w:rPr>
        <w:t>národních dotací</w:t>
      </w:r>
      <w:r w:rsidRPr="00096052">
        <w:rPr>
          <w:lang w:val="cs-CZ"/>
        </w:rPr>
        <w:t>.</w:t>
      </w:r>
      <w:r w:rsidR="00511AEA" w:rsidRPr="00096052">
        <w:rPr>
          <w:lang w:val="cs-CZ"/>
        </w:rPr>
        <w:t xml:space="preserve"> </w:t>
      </w:r>
      <w:r w:rsidR="00511AEA" w:rsidRPr="00096052">
        <w:rPr>
          <w:lang w:val="cs-CZ"/>
        </w:rPr>
        <w:lastRenderedPageBreak/>
        <w:t xml:space="preserve">Obě tato opatření tvoří svým dopadem nejzásadnější položky konsolidačního balíčku. Dotace by v letech 2024 </w:t>
      </w:r>
      <w:r w:rsidR="00DA2199" w:rsidRPr="00096052">
        <w:rPr>
          <w:lang w:val="cs-CZ"/>
        </w:rPr>
        <w:t>a</w:t>
      </w:r>
      <w:r w:rsidR="00DA2199">
        <w:rPr>
          <w:lang w:val="cs-CZ"/>
        </w:rPr>
        <w:t> </w:t>
      </w:r>
      <w:r w:rsidR="00511AEA" w:rsidRPr="00096052">
        <w:rPr>
          <w:lang w:val="cs-CZ"/>
        </w:rPr>
        <w:t xml:space="preserve">2025 měly klesnout </w:t>
      </w:r>
      <w:r w:rsidR="00DA2199" w:rsidRPr="00096052">
        <w:rPr>
          <w:lang w:val="cs-CZ"/>
        </w:rPr>
        <w:t>o</w:t>
      </w:r>
      <w:r w:rsidR="00DA2199">
        <w:rPr>
          <w:lang w:val="cs-CZ"/>
        </w:rPr>
        <w:t> </w:t>
      </w:r>
      <w:r w:rsidR="00511AEA" w:rsidRPr="00096052">
        <w:rPr>
          <w:lang w:val="cs-CZ"/>
        </w:rPr>
        <w:t>54,</w:t>
      </w:r>
      <w:r w:rsidR="00DA2199" w:rsidRPr="00096052">
        <w:rPr>
          <w:lang w:val="cs-CZ"/>
        </w:rPr>
        <w:t>4</w:t>
      </w:r>
      <w:r w:rsidR="00DA2199">
        <w:rPr>
          <w:lang w:val="cs-CZ"/>
        </w:rPr>
        <w:t> </w:t>
      </w:r>
      <w:r w:rsidR="00511AEA" w:rsidRPr="00096052">
        <w:rPr>
          <w:lang w:val="cs-CZ"/>
        </w:rPr>
        <w:t>mld. Kč, zatímco vyšší daň z příjmu právnických osob by měla vynést 22 mld. Kč. Podnik</w:t>
      </w:r>
      <w:r w:rsidR="00B726E9" w:rsidRPr="00096052">
        <w:rPr>
          <w:lang w:val="cs-CZ"/>
        </w:rPr>
        <w:t>ů</w:t>
      </w:r>
      <w:r w:rsidR="00511AEA" w:rsidRPr="00096052">
        <w:rPr>
          <w:lang w:val="cs-CZ"/>
        </w:rPr>
        <w:t xml:space="preserve"> z oblasti těžby se dotkne zvýšení poplatku za do</w:t>
      </w:r>
      <w:r w:rsidR="00B726E9" w:rsidRPr="00096052">
        <w:rPr>
          <w:lang w:val="cs-CZ"/>
        </w:rPr>
        <w:t>b</w:t>
      </w:r>
      <w:r w:rsidR="00511AEA" w:rsidRPr="00096052">
        <w:rPr>
          <w:lang w:val="cs-CZ"/>
        </w:rPr>
        <w:t>ývání neros</w:t>
      </w:r>
      <w:r w:rsidR="00B726E9" w:rsidRPr="00096052">
        <w:rPr>
          <w:lang w:val="cs-CZ"/>
        </w:rPr>
        <w:t>t</w:t>
      </w:r>
      <w:r w:rsidR="00511AEA" w:rsidRPr="00096052">
        <w:rPr>
          <w:lang w:val="cs-CZ"/>
        </w:rPr>
        <w:t>ných surovin</w:t>
      </w:r>
      <w:r w:rsidR="00CC2837" w:rsidRPr="00096052">
        <w:rPr>
          <w:lang w:val="cs-CZ"/>
        </w:rPr>
        <w:t xml:space="preserve">, zrušení daňových výjimek pak postihne negativně producenty v oblasti metalurgie </w:t>
      </w:r>
      <w:r w:rsidR="00DA2199" w:rsidRPr="00096052">
        <w:rPr>
          <w:lang w:val="cs-CZ"/>
        </w:rPr>
        <w:t>a</w:t>
      </w:r>
      <w:r w:rsidR="00DA2199">
        <w:rPr>
          <w:lang w:val="cs-CZ"/>
        </w:rPr>
        <w:t> </w:t>
      </w:r>
      <w:r w:rsidR="00CC2837" w:rsidRPr="00096052">
        <w:rPr>
          <w:lang w:val="cs-CZ"/>
        </w:rPr>
        <w:t>mineralogie</w:t>
      </w:r>
      <w:r w:rsidR="007A55F9" w:rsidRPr="00096052">
        <w:rPr>
          <w:lang w:val="cs-CZ"/>
        </w:rPr>
        <w:t xml:space="preserve">, mírně negativní efekt bude mít </w:t>
      </w:r>
      <w:r w:rsidR="00DA2199" w:rsidRPr="00096052">
        <w:rPr>
          <w:lang w:val="cs-CZ"/>
        </w:rPr>
        <w:t>i</w:t>
      </w:r>
      <w:r w:rsidR="00DA2199">
        <w:rPr>
          <w:lang w:val="cs-CZ"/>
        </w:rPr>
        <w:t> </w:t>
      </w:r>
      <w:r w:rsidR="007A55F9" w:rsidRPr="00096052">
        <w:rPr>
          <w:lang w:val="cs-CZ"/>
        </w:rPr>
        <w:t xml:space="preserve">odstranění výjimky </w:t>
      </w:r>
      <w:r w:rsidR="00DA2199" w:rsidRPr="00096052">
        <w:rPr>
          <w:lang w:val="cs-CZ"/>
        </w:rPr>
        <w:t>u</w:t>
      </w:r>
      <w:r w:rsidR="00DA2199">
        <w:rPr>
          <w:lang w:val="cs-CZ"/>
        </w:rPr>
        <w:t> </w:t>
      </w:r>
      <w:r w:rsidR="007A55F9" w:rsidRPr="00096052">
        <w:rPr>
          <w:lang w:val="cs-CZ"/>
        </w:rPr>
        <w:t>zdanění leteckého benzínu</w:t>
      </w:r>
      <w:r w:rsidR="00CC2837" w:rsidRPr="00096052">
        <w:rPr>
          <w:lang w:val="cs-CZ"/>
        </w:rPr>
        <w:t xml:space="preserve">. Negativní dopad na tržby firem bude mít rovněž snížení spotřeby vládních institucí, konkrétně snížení provozních výdajů </w:t>
      </w:r>
      <w:r w:rsidR="00DA2199" w:rsidRPr="00096052">
        <w:rPr>
          <w:lang w:val="cs-CZ"/>
        </w:rPr>
        <w:t>o</w:t>
      </w:r>
      <w:r w:rsidR="00DA2199">
        <w:rPr>
          <w:lang w:val="cs-CZ"/>
        </w:rPr>
        <w:t> </w:t>
      </w:r>
      <w:r w:rsidR="00DA2199" w:rsidRPr="00096052">
        <w:rPr>
          <w:lang w:val="cs-CZ"/>
        </w:rPr>
        <w:t>5</w:t>
      </w:r>
      <w:r w:rsidR="00DA2199">
        <w:rPr>
          <w:lang w:val="cs-CZ"/>
        </w:rPr>
        <w:t> </w:t>
      </w:r>
      <w:r w:rsidR="00CC2837" w:rsidRPr="00096052">
        <w:rPr>
          <w:lang w:val="cs-CZ"/>
        </w:rPr>
        <w:t>%.</w:t>
      </w:r>
    </w:p>
    <w:p w14:paraId="4F4DAD80" w14:textId="4D086934" w:rsidR="00245CC7" w:rsidRPr="00096052" w:rsidRDefault="00245CC7" w:rsidP="0045534A">
      <w:pPr>
        <w:pStyle w:val="Nadpis2"/>
        <w:rPr>
          <w:rFonts w:eastAsia="MS Mincho"/>
          <w:lang w:val="cs-CZ"/>
        </w:rPr>
      </w:pPr>
      <w:bookmarkStart w:id="10" w:name="_Toc135651290"/>
      <w:r w:rsidRPr="00096052">
        <w:rPr>
          <w:rFonts w:eastAsia="MS Mincho"/>
          <w:lang w:val="cs-CZ"/>
        </w:rPr>
        <w:t>Popis cílového stavu</w:t>
      </w:r>
      <w:bookmarkEnd w:id="10"/>
    </w:p>
    <w:p w14:paraId="7205F079" w14:textId="5D6583A6" w:rsidR="00245CC7" w:rsidRPr="00096052" w:rsidRDefault="00245CC7" w:rsidP="0045534A">
      <w:pPr>
        <w:rPr>
          <w:lang w:val="cs-CZ"/>
        </w:rPr>
      </w:pPr>
      <w:r w:rsidRPr="00096052">
        <w:rPr>
          <w:lang w:val="cs-CZ"/>
        </w:rPr>
        <w:t>Cílem návrhu tohoto zákona</w:t>
      </w:r>
      <w:r w:rsidR="00C334FF" w:rsidRPr="00096052">
        <w:rPr>
          <w:lang w:val="cs-CZ"/>
        </w:rPr>
        <w:t xml:space="preserve"> </w:t>
      </w:r>
      <w:r w:rsidRPr="00096052">
        <w:rPr>
          <w:lang w:val="cs-CZ"/>
        </w:rPr>
        <w:t>je snížit schodek</w:t>
      </w:r>
      <w:r w:rsidR="00262725" w:rsidRPr="00096052">
        <w:rPr>
          <w:lang w:val="cs-CZ"/>
        </w:rPr>
        <w:t xml:space="preserve"> státního rozpočtu </w:t>
      </w:r>
      <w:r w:rsidR="00DA2199" w:rsidRPr="00096052">
        <w:rPr>
          <w:lang w:val="cs-CZ"/>
        </w:rPr>
        <w:t>o</w:t>
      </w:r>
      <w:r w:rsidR="00DA2199">
        <w:rPr>
          <w:lang w:val="cs-CZ"/>
        </w:rPr>
        <w:t> </w:t>
      </w:r>
      <w:r w:rsidR="00167BDD" w:rsidRPr="00096052">
        <w:rPr>
          <w:lang w:val="cs-CZ"/>
        </w:rPr>
        <w:t>94,</w:t>
      </w:r>
      <w:r w:rsidR="00DA2199" w:rsidRPr="00096052">
        <w:rPr>
          <w:lang w:val="cs-CZ"/>
        </w:rPr>
        <w:t>1</w:t>
      </w:r>
      <w:r w:rsidR="00DA2199">
        <w:rPr>
          <w:lang w:val="cs-CZ"/>
        </w:rPr>
        <w:t> </w:t>
      </w:r>
      <w:r w:rsidR="00262725" w:rsidRPr="00096052">
        <w:rPr>
          <w:lang w:val="cs-CZ"/>
        </w:rPr>
        <w:t xml:space="preserve">mld. Kč v roce 2024 </w:t>
      </w:r>
      <w:r w:rsidR="00DA2199" w:rsidRPr="00096052">
        <w:rPr>
          <w:lang w:val="cs-CZ"/>
        </w:rPr>
        <w:t>a</w:t>
      </w:r>
      <w:r w:rsidR="00DA2199">
        <w:rPr>
          <w:lang w:val="cs-CZ"/>
        </w:rPr>
        <w:t> </w:t>
      </w:r>
      <w:r w:rsidR="00167BDD" w:rsidRPr="00096052">
        <w:rPr>
          <w:lang w:val="cs-CZ"/>
        </w:rPr>
        <w:t>147,</w:t>
      </w:r>
      <w:r w:rsidR="00DA2199" w:rsidRPr="00096052">
        <w:rPr>
          <w:lang w:val="cs-CZ"/>
        </w:rPr>
        <w:t>5</w:t>
      </w:r>
      <w:r w:rsidR="00DA2199">
        <w:rPr>
          <w:lang w:val="cs-CZ"/>
        </w:rPr>
        <w:t> </w:t>
      </w:r>
      <w:r w:rsidR="00262725" w:rsidRPr="00096052">
        <w:rPr>
          <w:lang w:val="cs-CZ"/>
        </w:rPr>
        <w:t>mld. Kč v roce 2025</w:t>
      </w:r>
      <w:r w:rsidR="00051F3A" w:rsidRPr="00096052">
        <w:rPr>
          <w:lang w:val="cs-CZ"/>
        </w:rPr>
        <w:t xml:space="preserve"> (</w:t>
      </w:r>
      <w:r w:rsidR="00DA2199" w:rsidRPr="00096052">
        <w:rPr>
          <w:lang w:val="cs-CZ"/>
        </w:rPr>
        <w:t>v</w:t>
      </w:r>
      <w:r w:rsidR="00DA2199">
        <w:rPr>
          <w:lang w:val="cs-CZ"/>
        </w:rPr>
        <w:t> </w:t>
      </w:r>
      <w:r w:rsidR="00051F3A" w:rsidRPr="00096052">
        <w:rPr>
          <w:lang w:val="cs-CZ"/>
        </w:rPr>
        <w:t>hotovostní metodice)</w:t>
      </w:r>
      <w:r w:rsidRPr="00096052">
        <w:rPr>
          <w:lang w:val="cs-CZ"/>
        </w:rPr>
        <w:t>. To by mělo znamenat zlepšení strukturálního deficitu veřejných financí neboli kladné fiskální úsilí</w:t>
      </w:r>
      <w:r w:rsidR="00D24790" w:rsidRPr="00096052">
        <w:rPr>
          <w:lang w:val="cs-CZ"/>
        </w:rPr>
        <w:t xml:space="preserve"> </w:t>
      </w:r>
      <w:r w:rsidR="00DA2199" w:rsidRPr="00096052">
        <w:rPr>
          <w:lang w:val="cs-CZ"/>
        </w:rPr>
        <w:t>o</w:t>
      </w:r>
      <w:r w:rsidR="00DA2199">
        <w:rPr>
          <w:lang w:val="cs-CZ"/>
        </w:rPr>
        <w:t> </w:t>
      </w:r>
      <w:r w:rsidR="0047540C" w:rsidRPr="00096052">
        <w:rPr>
          <w:lang w:val="cs-CZ"/>
        </w:rPr>
        <w:t>1,</w:t>
      </w:r>
      <w:r w:rsidR="00DA2199" w:rsidRPr="00096052">
        <w:rPr>
          <w:lang w:val="cs-CZ"/>
        </w:rPr>
        <w:t>2</w:t>
      </w:r>
      <w:r w:rsidR="00DA2199">
        <w:rPr>
          <w:lang w:val="cs-CZ"/>
        </w:rPr>
        <w:t> </w:t>
      </w:r>
      <w:r w:rsidRPr="00096052">
        <w:rPr>
          <w:lang w:val="cs-CZ"/>
        </w:rPr>
        <w:t>procentní</w:t>
      </w:r>
      <w:r w:rsidR="0047540C" w:rsidRPr="00096052">
        <w:rPr>
          <w:lang w:val="cs-CZ"/>
        </w:rPr>
        <w:t>ho</w:t>
      </w:r>
      <w:r w:rsidRPr="00096052">
        <w:rPr>
          <w:lang w:val="cs-CZ"/>
        </w:rPr>
        <w:t xml:space="preserve"> bod</w:t>
      </w:r>
      <w:r w:rsidR="0047540C" w:rsidRPr="00096052">
        <w:rPr>
          <w:lang w:val="cs-CZ"/>
        </w:rPr>
        <w:t>u</w:t>
      </w:r>
      <w:r w:rsidRPr="00096052">
        <w:rPr>
          <w:lang w:val="cs-CZ"/>
        </w:rPr>
        <w:t xml:space="preserve">. Uvedené fiskální úsilí tvoří zhruba </w:t>
      </w:r>
      <w:r w:rsidR="000E4A94" w:rsidRPr="00096052">
        <w:rPr>
          <w:lang w:val="cs-CZ"/>
        </w:rPr>
        <w:t>dvě třetiny</w:t>
      </w:r>
      <w:r w:rsidRPr="00096052">
        <w:rPr>
          <w:lang w:val="cs-CZ"/>
        </w:rPr>
        <w:t xml:space="preserve"> nutné konsolidace k opětovnému dosažení střednědobého rozpočtového cíle. Zároveň by mělo dojít ke </w:t>
      </w:r>
      <w:r w:rsidR="007E666B" w:rsidRPr="00096052">
        <w:rPr>
          <w:lang w:val="cs-CZ"/>
        </w:rPr>
        <w:t>snížení míry zadlužení v meziročním vyjádření</w:t>
      </w:r>
      <w:r w:rsidRPr="00096052">
        <w:rPr>
          <w:lang w:val="cs-CZ"/>
        </w:rPr>
        <w:t xml:space="preserve"> </w:t>
      </w:r>
      <w:r w:rsidR="00DA2199" w:rsidRPr="00096052">
        <w:rPr>
          <w:lang w:val="cs-CZ"/>
        </w:rPr>
        <w:t>o</w:t>
      </w:r>
      <w:r w:rsidR="00DA2199">
        <w:rPr>
          <w:lang w:val="cs-CZ"/>
        </w:rPr>
        <w:t> </w:t>
      </w:r>
      <w:r w:rsidRPr="00096052">
        <w:rPr>
          <w:lang w:val="cs-CZ"/>
        </w:rPr>
        <w:t xml:space="preserve">zhruba </w:t>
      </w:r>
      <w:r w:rsidR="000E4A94" w:rsidRPr="00096052">
        <w:rPr>
          <w:lang w:val="cs-CZ"/>
        </w:rPr>
        <w:t>0,</w:t>
      </w:r>
      <w:r w:rsidR="00DA2199" w:rsidRPr="00096052">
        <w:rPr>
          <w:lang w:val="cs-CZ"/>
        </w:rPr>
        <w:t>6</w:t>
      </w:r>
      <w:r w:rsidR="00DA2199">
        <w:rPr>
          <w:lang w:val="cs-CZ"/>
        </w:rPr>
        <w:t> </w:t>
      </w:r>
      <w:r w:rsidRPr="00096052">
        <w:rPr>
          <w:lang w:val="cs-CZ"/>
        </w:rPr>
        <w:t>procentní</w:t>
      </w:r>
      <w:r w:rsidR="00B726E9" w:rsidRPr="00096052">
        <w:rPr>
          <w:lang w:val="cs-CZ"/>
        </w:rPr>
        <w:t>ho</w:t>
      </w:r>
      <w:r w:rsidRPr="00096052">
        <w:rPr>
          <w:lang w:val="cs-CZ"/>
        </w:rPr>
        <w:t xml:space="preserve"> bod</w:t>
      </w:r>
      <w:r w:rsidR="00B726E9" w:rsidRPr="00096052">
        <w:rPr>
          <w:lang w:val="cs-CZ"/>
        </w:rPr>
        <w:t>u</w:t>
      </w:r>
      <w:r w:rsidRPr="00096052">
        <w:rPr>
          <w:lang w:val="cs-CZ"/>
        </w:rPr>
        <w:t xml:space="preserve"> v roce 2024</w:t>
      </w:r>
      <w:r w:rsidR="009D2A62" w:rsidRPr="00096052">
        <w:rPr>
          <w:lang w:val="cs-CZ"/>
        </w:rPr>
        <w:t xml:space="preserve"> (</w:t>
      </w:r>
      <w:r w:rsidR="00DA2199" w:rsidRPr="00096052">
        <w:rPr>
          <w:lang w:val="cs-CZ"/>
        </w:rPr>
        <w:t>a</w:t>
      </w:r>
      <w:r w:rsidR="00DA2199">
        <w:rPr>
          <w:lang w:val="cs-CZ"/>
        </w:rPr>
        <w:t> </w:t>
      </w:r>
      <w:r w:rsidR="00DA2199" w:rsidRPr="00096052">
        <w:rPr>
          <w:lang w:val="cs-CZ"/>
        </w:rPr>
        <w:t>o</w:t>
      </w:r>
      <w:r w:rsidR="00DA2199">
        <w:rPr>
          <w:lang w:val="cs-CZ"/>
        </w:rPr>
        <w:t> </w:t>
      </w:r>
      <w:r w:rsidR="009D2A62" w:rsidRPr="00096052">
        <w:rPr>
          <w:lang w:val="cs-CZ"/>
        </w:rPr>
        <w:t>1,</w:t>
      </w:r>
      <w:r w:rsidR="00DA2199" w:rsidRPr="00096052">
        <w:rPr>
          <w:lang w:val="cs-CZ"/>
        </w:rPr>
        <w:t>2</w:t>
      </w:r>
      <w:r w:rsidR="00DA2199">
        <w:rPr>
          <w:lang w:val="cs-CZ"/>
        </w:rPr>
        <w:t> </w:t>
      </w:r>
      <w:r w:rsidR="009D2A62" w:rsidRPr="00096052">
        <w:rPr>
          <w:lang w:val="cs-CZ"/>
        </w:rPr>
        <w:t>procentního bodu oproti autonomnímu scénáři)</w:t>
      </w:r>
      <w:r w:rsidR="000E4A94" w:rsidRPr="00096052">
        <w:rPr>
          <w:lang w:val="cs-CZ"/>
        </w:rPr>
        <w:t>. Trvale nižší deficity by pak rozdíl v zadlužení oproti autonomnímu scénáři v dalších letech prohlubovaly (</w:t>
      </w:r>
      <w:r w:rsidR="00DA2199" w:rsidRPr="00096052">
        <w:rPr>
          <w:lang w:val="cs-CZ"/>
        </w:rPr>
        <w:t>v</w:t>
      </w:r>
      <w:r w:rsidR="00DA2199">
        <w:rPr>
          <w:lang w:val="cs-CZ"/>
        </w:rPr>
        <w:t> </w:t>
      </w:r>
      <w:r w:rsidR="000E4A94" w:rsidRPr="00096052">
        <w:rPr>
          <w:lang w:val="cs-CZ"/>
        </w:rPr>
        <w:t xml:space="preserve">roce 2025 by to již mohly být zhruba </w:t>
      </w:r>
      <w:r w:rsidR="00DA2199" w:rsidRPr="00096052">
        <w:rPr>
          <w:lang w:val="cs-CZ"/>
        </w:rPr>
        <w:t>2</w:t>
      </w:r>
      <w:r w:rsidR="00DA2199">
        <w:rPr>
          <w:lang w:val="cs-CZ"/>
        </w:rPr>
        <w:t> </w:t>
      </w:r>
      <w:r w:rsidR="000E4A94" w:rsidRPr="00096052">
        <w:rPr>
          <w:lang w:val="cs-CZ"/>
        </w:rPr>
        <w:t>procentní body)</w:t>
      </w:r>
      <w:r w:rsidRPr="00096052">
        <w:rPr>
          <w:lang w:val="cs-CZ"/>
        </w:rPr>
        <w:t xml:space="preserve">. </w:t>
      </w:r>
    </w:p>
    <w:p w14:paraId="68E75528" w14:textId="68F8E380" w:rsidR="00245CC7" w:rsidRPr="00096052" w:rsidRDefault="00245CC7" w:rsidP="0045534A">
      <w:pPr>
        <w:rPr>
          <w:lang w:val="cs-CZ"/>
        </w:rPr>
      </w:pPr>
      <w:r w:rsidRPr="00096052">
        <w:rPr>
          <w:lang w:val="cs-CZ"/>
        </w:rPr>
        <w:t xml:space="preserve">Po přijetí </w:t>
      </w:r>
      <w:r w:rsidR="00DA2199" w:rsidRPr="00096052">
        <w:rPr>
          <w:lang w:val="cs-CZ"/>
        </w:rPr>
        <w:t>a</w:t>
      </w:r>
      <w:r w:rsidR="00DA2199">
        <w:rPr>
          <w:lang w:val="cs-CZ"/>
        </w:rPr>
        <w:t> </w:t>
      </w:r>
      <w:r w:rsidRPr="00096052">
        <w:rPr>
          <w:lang w:val="cs-CZ"/>
        </w:rPr>
        <w:t>realizaci všech opatření v rámci Konsolidačního balíčku 2024 b</w:t>
      </w:r>
      <w:r w:rsidR="00B66E29" w:rsidRPr="00096052">
        <w:rPr>
          <w:lang w:val="cs-CZ"/>
        </w:rPr>
        <w:t xml:space="preserve">ude možné schodek státního rozpočtu v roce 2024 </w:t>
      </w:r>
      <w:r w:rsidR="00E92BEA" w:rsidRPr="00096052">
        <w:rPr>
          <w:lang w:val="cs-CZ"/>
        </w:rPr>
        <w:t>snížit</w:t>
      </w:r>
      <w:r w:rsidRPr="00096052">
        <w:rPr>
          <w:lang w:val="cs-CZ"/>
        </w:rPr>
        <w:t xml:space="preserve"> na 210 mld. Kč</w:t>
      </w:r>
      <w:r w:rsidR="00E92BEA" w:rsidRPr="00096052">
        <w:rPr>
          <w:lang w:val="cs-CZ"/>
        </w:rPr>
        <w:t xml:space="preserve"> </w:t>
      </w:r>
      <w:r w:rsidR="00DA2199" w:rsidRPr="00096052">
        <w:rPr>
          <w:lang w:val="cs-CZ"/>
        </w:rPr>
        <w:t>a</w:t>
      </w:r>
      <w:r w:rsidR="00DA2199">
        <w:rPr>
          <w:lang w:val="cs-CZ"/>
        </w:rPr>
        <w:t> </w:t>
      </w:r>
      <w:r w:rsidR="00E92BEA" w:rsidRPr="00096052">
        <w:rPr>
          <w:lang w:val="cs-CZ"/>
        </w:rPr>
        <w:t>v roce 2025 kon</w:t>
      </w:r>
      <w:r w:rsidR="00A80562" w:rsidRPr="00096052">
        <w:rPr>
          <w:lang w:val="cs-CZ"/>
        </w:rPr>
        <w:t>s</w:t>
      </w:r>
      <w:r w:rsidR="00E92BEA" w:rsidRPr="00096052">
        <w:rPr>
          <w:lang w:val="cs-CZ"/>
        </w:rPr>
        <w:t xml:space="preserve">olidační opatření v úhrnu </w:t>
      </w:r>
      <w:r w:rsidR="005814D6" w:rsidRPr="00096052">
        <w:rPr>
          <w:lang w:val="cs-CZ"/>
        </w:rPr>
        <w:t xml:space="preserve">snižují schodek </w:t>
      </w:r>
      <w:r w:rsidR="00DA2199" w:rsidRPr="00096052">
        <w:rPr>
          <w:lang w:val="cs-CZ"/>
        </w:rPr>
        <w:t>o</w:t>
      </w:r>
      <w:r w:rsidR="00DA2199">
        <w:rPr>
          <w:lang w:val="cs-CZ"/>
        </w:rPr>
        <w:t> </w:t>
      </w:r>
      <w:r w:rsidR="005814D6" w:rsidRPr="00096052">
        <w:rPr>
          <w:lang w:val="cs-CZ"/>
        </w:rPr>
        <w:t>da</w:t>
      </w:r>
      <w:r w:rsidR="00DB4B34" w:rsidRPr="00096052">
        <w:rPr>
          <w:lang w:val="cs-CZ"/>
        </w:rPr>
        <w:t xml:space="preserve">lších </w:t>
      </w:r>
      <w:r w:rsidR="007607A4" w:rsidRPr="00096052">
        <w:rPr>
          <w:lang w:val="cs-CZ"/>
        </w:rPr>
        <w:t>cca</w:t>
      </w:r>
      <w:r w:rsidR="00DB4B34" w:rsidRPr="00096052">
        <w:rPr>
          <w:lang w:val="cs-CZ"/>
        </w:rPr>
        <w:t xml:space="preserve"> 50 mld. Kč</w:t>
      </w:r>
      <w:r w:rsidRPr="00096052">
        <w:rPr>
          <w:lang w:val="cs-CZ"/>
        </w:rPr>
        <w:t>.</w:t>
      </w:r>
    </w:p>
    <w:p w14:paraId="0DBABB79" w14:textId="6A34EC04" w:rsidR="00245CC7" w:rsidRPr="00096052" w:rsidRDefault="00245CC7" w:rsidP="0045534A">
      <w:pPr>
        <w:rPr>
          <w:lang w:val="cs-CZ"/>
        </w:rPr>
      </w:pPr>
      <w:r w:rsidRPr="00096052">
        <w:rPr>
          <w:lang w:val="cs-CZ"/>
        </w:rPr>
        <w:t xml:space="preserve">Konsolidační úsilí </w:t>
      </w:r>
      <w:r w:rsidR="00E23C6D" w:rsidRPr="00096052">
        <w:rPr>
          <w:lang w:val="cs-CZ"/>
        </w:rPr>
        <w:t xml:space="preserve">by mělo mít </w:t>
      </w:r>
      <w:r w:rsidRPr="00096052">
        <w:rPr>
          <w:lang w:val="cs-CZ"/>
        </w:rPr>
        <w:t xml:space="preserve">kladný </w:t>
      </w:r>
      <w:r w:rsidR="00E23C6D" w:rsidRPr="00096052">
        <w:rPr>
          <w:lang w:val="cs-CZ"/>
        </w:rPr>
        <w:t>efekt pro</w:t>
      </w:r>
      <w:r w:rsidRPr="00096052">
        <w:rPr>
          <w:lang w:val="cs-CZ"/>
        </w:rPr>
        <w:t xml:space="preserve"> finanční trhy,</w:t>
      </w:r>
      <w:r w:rsidR="00E23C6D" w:rsidRPr="00096052">
        <w:rPr>
          <w:lang w:val="cs-CZ"/>
        </w:rPr>
        <w:t xml:space="preserve"> v jehož důsledku by se mohlo snížit </w:t>
      </w:r>
      <w:r w:rsidR="003B428F" w:rsidRPr="00096052">
        <w:rPr>
          <w:lang w:val="cs-CZ"/>
        </w:rPr>
        <w:t xml:space="preserve">úrokové </w:t>
      </w:r>
      <w:r w:rsidR="00E23C6D" w:rsidRPr="00096052">
        <w:rPr>
          <w:lang w:val="cs-CZ"/>
        </w:rPr>
        <w:t>rozpětí mezi</w:t>
      </w:r>
      <w:r w:rsidR="00827A54" w:rsidRPr="00096052">
        <w:rPr>
          <w:lang w:val="cs-CZ"/>
        </w:rPr>
        <w:t xml:space="preserve"> </w:t>
      </w:r>
      <w:r w:rsidR="003B428F" w:rsidRPr="00096052">
        <w:rPr>
          <w:lang w:val="cs-CZ"/>
        </w:rPr>
        <w:t xml:space="preserve">výnosy z německých </w:t>
      </w:r>
      <w:r w:rsidR="00DA2199" w:rsidRPr="00096052">
        <w:rPr>
          <w:lang w:val="cs-CZ"/>
        </w:rPr>
        <w:t>a</w:t>
      </w:r>
      <w:r w:rsidR="00DA2199">
        <w:rPr>
          <w:lang w:val="cs-CZ"/>
        </w:rPr>
        <w:t> </w:t>
      </w:r>
      <w:r w:rsidR="003B428F" w:rsidRPr="00096052">
        <w:rPr>
          <w:lang w:val="cs-CZ"/>
        </w:rPr>
        <w:t xml:space="preserve">českých </w:t>
      </w:r>
      <w:r w:rsidR="00696F03" w:rsidRPr="00096052">
        <w:rPr>
          <w:lang w:val="cs-CZ"/>
        </w:rPr>
        <w:t>dluhopisů</w:t>
      </w:r>
      <w:r w:rsidR="00DD7AA1" w:rsidRPr="00096052">
        <w:rPr>
          <w:lang w:val="cs-CZ"/>
        </w:rPr>
        <w:t xml:space="preserve">, </w:t>
      </w:r>
      <w:r w:rsidR="00DA2199" w:rsidRPr="00096052">
        <w:rPr>
          <w:lang w:val="cs-CZ"/>
        </w:rPr>
        <w:t>a</w:t>
      </w:r>
      <w:r w:rsidR="00DA2199">
        <w:rPr>
          <w:lang w:val="cs-CZ"/>
        </w:rPr>
        <w:t> </w:t>
      </w:r>
      <w:r w:rsidR="009D2A62" w:rsidRPr="00096052">
        <w:rPr>
          <w:lang w:val="cs-CZ"/>
        </w:rPr>
        <w:t>u</w:t>
      </w:r>
      <w:r w:rsidR="00DD7AA1" w:rsidRPr="00096052">
        <w:rPr>
          <w:lang w:val="cs-CZ"/>
        </w:rPr>
        <w:t>mocnit</w:t>
      </w:r>
      <w:r w:rsidR="009D2A62" w:rsidRPr="00096052">
        <w:rPr>
          <w:lang w:val="cs-CZ"/>
        </w:rPr>
        <w:t xml:space="preserve"> </w:t>
      </w:r>
      <w:r w:rsidR="00DD7AA1" w:rsidRPr="00096052">
        <w:rPr>
          <w:lang w:val="cs-CZ"/>
        </w:rPr>
        <w:t xml:space="preserve">tím </w:t>
      </w:r>
      <w:r w:rsidR="00540FD6" w:rsidRPr="00096052">
        <w:rPr>
          <w:lang w:val="cs-CZ"/>
        </w:rPr>
        <w:t>efekt konsolidace</w:t>
      </w:r>
      <w:r w:rsidR="00696F03" w:rsidRPr="00096052">
        <w:rPr>
          <w:lang w:val="cs-CZ"/>
        </w:rPr>
        <w:t xml:space="preserve">. </w:t>
      </w:r>
    </w:p>
    <w:p w14:paraId="4FB6BF90" w14:textId="77777777" w:rsidR="00245CC7" w:rsidRPr="00096052" w:rsidRDefault="00245CC7" w:rsidP="0045534A">
      <w:pPr>
        <w:rPr>
          <w:lang w:val="cs-CZ"/>
        </w:rPr>
      </w:pPr>
      <w:r w:rsidRPr="00096052">
        <w:rPr>
          <w:lang w:val="cs-CZ"/>
        </w:rPr>
        <w:t xml:space="preserve">Prosazení tohoto souboru konsolidačních opatření je však nutné chápat jako první krok k celkovému ozdravení veřejných financí. To vyžaduje minimálně dva další aspekty. </w:t>
      </w:r>
    </w:p>
    <w:p w14:paraId="30DFD067" w14:textId="6A132A93" w:rsidR="00245CC7" w:rsidRPr="0045534A" w:rsidRDefault="00245CC7" w:rsidP="0045534A">
      <w:pPr>
        <w:pStyle w:val="Odstavecseseznamem"/>
        <w:numPr>
          <w:ilvl w:val="0"/>
          <w:numId w:val="6"/>
        </w:numPr>
        <w:rPr>
          <w:lang w:val="cs-CZ"/>
        </w:rPr>
      </w:pPr>
      <w:r w:rsidRPr="0045534A">
        <w:rPr>
          <w:lang w:val="cs-CZ"/>
        </w:rPr>
        <w:t xml:space="preserve">Další redukce deficitu státního rozpočtu v roce 2025 </w:t>
      </w:r>
      <w:r w:rsidR="00DA2199" w:rsidRPr="0045534A">
        <w:rPr>
          <w:lang w:val="cs-CZ"/>
        </w:rPr>
        <w:t>a</w:t>
      </w:r>
      <w:r w:rsidR="00DA2199">
        <w:rPr>
          <w:lang w:val="cs-CZ"/>
        </w:rPr>
        <w:t> </w:t>
      </w:r>
      <w:r w:rsidRPr="0045534A">
        <w:rPr>
          <w:lang w:val="cs-CZ"/>
        </w:rPr>
        <w:t xml:space="preserve">případně </w:t>
      </w:r>
      <w:r w:rsidR="00DA2199" w:rsidRPr="0045534A">
        <w:rPr>
          <w:lang w:val="cs-CZ"/>
        </w:rPr>
        <w:t>v</w:t>
      </w:r>
      <w:r w:rsidR="00DA2199">
        <w:rPr>
          <w:lang w:val="cs-CZ"/>
        </w:rPr>
        <w:t> </w:t>
      </w:r>
      <w:r w:rsidRPr="0045534A">
        <w:rPr>
          <w:lang w:val="cs-CZ"/>
        </w:rPr>
        <w:t>následujících letech.</w:t>
      </w:r>
    </w:p>
    <w:p w14:paraId="154AD823" w14:textId="76740454" w:rsidR="00245CC7" w:rsidRPr="0045534A" w:rsidRDefault="00245CC7" w:rsidP="0045534A">
      <w:pPr>
        <w:pStyle w:val="Odstavecseseznamem"/>
        <w:numPr>
          <w:ilvl w:val="0"/>
          <w:numId w:val="6"/>
        </w:numPr>
        <w:rPr>
          <w:lang w:val="cs-CZ"/>
        </w:rPr>
      </w:pPr>
      <w:r w:rsidRPr="0045534A">
        <w:rPr>
          <w:lang w:val="cs-CZ"/>
        </w:rPr>
        <w:t xml:space="preserve">Provedení reforem sociálních systémů </w:t>
      </w:r>
      <w:r w:rsidR="00DA2199" w:rsidRPr="0045534A">
        <w:rPr>
          <w:lang w:val="cs-CZ"/>
        </w:rPr>
        <w:t>a</w:t>
      </w:r>
      <w:r w:rsidR="00DA2199">
        <w:rPr>
          <w:lang w:val="cs-CZ"/>
        </w:rPr>
        <w:t> </w:t>
      </w:r>
      <w:r w:rsidRPr="0045534A">
        <w:rPr>
          <w:lang w:val="cs-CZ"/>
        </w:rPr>
        <w:t xml:space="preserve">snížení </w:t>
      </w:r>
      <w:r w:rsidR="00767DF6" w:rsidRPr="0045534A">
        <w:rPr>
          <w:lang w:val="cs-CZ"/>
        </w:rPr>
        <w:t xml:space="preserve">dopadů </w:t>
      </w:r>
      <w:r w:rsidRPr="0045534A">
        <w:rPr>
          <w:lang w:val="cs-CZ"/>
        </w:rPr>
        <w:t>stárnutí</w:t>
      </w:r>
      <w:r w:rsidR="00536C34" w:rsidRPr="0045534A">
        <w:rPr>
          <w:lang w:val="cs-CZ"/>
        </w:rPr>
        <w:t xml:space="preserve"> populace</w:t>
      </w:r>
      <w:r w:rsidRPr="0045534A">
        <w:rPr>
          <w:lang w:val="cs-CZ"/>
        </w:rPr>
        <w:t>.</w:t>
      </w:r>
    </w:p>
    <w:p w14:paraId="73526C96" w14:textId="7D82377A" w:rsidR="00245CC7" w:rsidRPr="00096052" w:rsidRDefault="00934DDC" w:rsidP="0045534A">
      <w:pPr>
        <w:rPr>
          <w:lang w:val="cs-CZ"/>
        </w:rPr>
      </w:pPr>
      <w:r w:rsidRPr="00096052">
        <w:rPr>
          <w:lang w:val="cs-CZ"/>
        </w:rPr>
        <w:t>Pro ilustraci současného stavu je nutné vyjít z několika předpokladů. Pokud současný st</w:t>
      </w:r>
      <w:r w:rsidR="00B726E9" w:rsidRPr="00096052">
        <w:rPr>
          <w:lang w:val="cs-CZ"/>
        </w:rPr>
        <w:t>a</w:t>
      </w:r>
      <w:r w:rsidRPr="00096052">
        <w:rPr>
          <w:lang w:val="cs-CZ"/>
        </w:rPr>
        <w:t>v</w:t>
      </w:r>
      <w:r w:rsidR="003C741E">
        <w:rPr>
          <w:lang w:val="cs-CZ"/>
        </w:rPr>
        <w:t xml:space="preserve"> </w:t>
      </w:r>
      <w:r w:rsidRPr="00096052">
        <w:rPr>
          <w:lang w:val="cs-CZ"/>
        </w:rPr>
        <w:t>chápeme jako absenci konsolidace, lze k ní přistoupit dvojím způsobem. Zaprvé je možné</w:t>
      </w:r>
      <w:r w:rsidR="00040069">
        <w:rPr>
          <w:lang w:val="cs-CZ"/>
        </w:rPr>
        <w:t xml:space="preserve"> současný stav</w:t>
      </w:r>
      <w:r w:rsidRPr="00096052">
        <w:rPr>
          <w:lang w:val="cs-CZ"/>
        </w:rPr>
        <w:t xml:space="preserve"> </w:t>
      </w:r>
      <w:r w:rsidR="00E86486">
        <w:rPr>
          <w:noProof/>
          <w:lang w:val="cs-CZ"/>
        </w:rPr>
        <w:t xml:space="preserve">definovat </w:t>
      </w:r>
      <w:r w:rsidRPr="00096052">
        <w:rPr>
          <w:lang w:val="cs-CZ"/>
        </w:rPr>
        <w:t xml:space="preserve">jako stálé deficity státního rozpočtu na </w:t>
      </w:r>
      <w:r w:rsidR="00E86486">
        <w:rPr>
          <w:noProof/>
          <w:lang w:val="cs-CZ"/>
        </w:rPr>
        <w:t xml:space="preserve">plánované </w:t>
      </w:r>
      <w:r w:rsidRPr="00096052">
        <w:rPr>
          <w:lang w:val="cs-CZ"/>
        </w:rPr>
        <w:t xml:space="preserve">úrovni </w:t>
      </w:r>
      <w:r w:rsidR="00E86486">
        <w:rPr>
          <w:noProof/>
          <w:lang w:val="cs-CZ"/>
        </w:rPr>
        <w:t>z</w:t>
      </w:r>
      <w:r>
        <w:rPr>
          <w:noProof/>
          <w:lang w:val="cs-CZ"/>
        </w:rPr>
        <w:t> loňské</w:t>
      </w:r>
      <w:r w:rsidR="00E86486">
        <w:rPr>
          <w:noProof/>
          <w:lang w:val="cs-CZ"/>
        </w:rPr>
        <w:t>ho</w:t>
      </w:r>
      <w:r>
        <w:rPr>
          <w:noProof/>
          <w:lang w:val="cs-CZ"/>
        </w:rPr>
        <w:t xml:space="preserve"> ro</w:t>
      </w:r>
      <w:r w:rsidR="00E86486">
        <w:rPr>
          <w:noProof/>
          <w:lang w:val="cs-CZ"/>
        </w:rPr>
        <w:t>ku</w:t>
      </w:r>
      <w:r>
        <w:rPr>
          <w:noProof/>
          <w:lang w:val="cs-CZ"/>
        </w:rPr>
        <w:t xml:space="preserve"> </w:t>
      </w:r>
      <w:r w:rsidRPr="00096052">
        <w:rPr>
          <w:lang w:val="cs-CZ"/>
        </w:rPr>
        <w:t>pro rok 2024</w:t>
      </w:r>
      <w:r w:rsidR="00E86486">
        <w:rPr>
          <w:noProof/>
          <w:lang w:val="cs-CZ"/>
        </w:rPr>
        <w:t>, tj.</w:t>
      </w:r>
      <w:r w:rsidRPr="00096052">
        <w:rPr>
          <w:lang w:val="cs-CZ"/>
        </w:rPr>
        <w:t xml:space="preserve"> na úrovni 280 mld. Kč. K tomuto deficitu následně přičítáme úroky z nově emitovaného dluhu</w:t>
      </w:r>
      <w:r w:rsidR="001365CC">
        <w:rPr>
          <w:lang w:val="cs-CZ"/>
        </w:rPr>
        <w:t xml:space="preserve"> (v obrázku </w:t>
      </w:r>
      <w:r w:rsidR="00DA2199">
        <w:rPr>
          <w:lang w:val="cs-CZ"/>
        </w:rPr>
        <w:t>1 </w:t>
      </w:r>
      <w:r w:rsidR="001365CC">
        <w:rPr>
          <w:lang w:val="cs-CZ"/>
        </w:rPr>
        <w:t>definovaný scénář „deficit280“)</w:t>
      </w:r>
      <w:r w:rsidRPr="00096052">
        <w:rPr>
          <w:lang w:val="cs-CZ"/>
        </w:rPr>
        <w:t xml:space="preserve">. Nicméně </w:t>
      </w:r>
      <w:r w:rsidR="00DA2199" w:rsidRPr="00096052">
        <w:rPr>
          <w:lang w:val="cs-CZ"/>
        </w:rPr>
        <w:t>i</w:t>
      </w:r>
      <w:r w:rsidR="00DA2199">
        <w:rPr>
          <w:lang w:val="cs-CZ"/>
        </w:rPr>
        <w:t> </w:t>
      </w:r>
      <w:r w:rsidRPr="00096052">
        <w:rPr>
          <w:lang w:val="cs-CZ"/>
        </w:rPr>
        <w:t xml:space="preserve">tento scénář v sobě nese znaky konsolidace, neboť by se deficit v poměru k HDP snižoval. Alternativně je proto možné chápat </w:t>
      </w:r>
      <w:r w:rsidR="00122A5A">
        <w:rPr>
          <w:lang w:val="cs-CZ"/>
        </w:rPr>
        <w:t>„</w:t>
      </w:r>
      <w:r w:rsidRPr="00096052">
        <w:rPr>
          <w:lang w:val="cs-CZ"/>
        </w:rPr>
        <w:t>nekonsolidování</w:t>
      </w:r>
      <w:r w:rsidR="00122A5A">
        <w:rPr>
          <w:lang w:val="cs-CZ"/>
        </w:rPr>
        <w:t>“</w:t>
      </w:r>
      <w:r w:rsidRPr="00096052">
        <w:rPr>
          <w:lang w:val="cs-CZ"/>
        </w:rPr>
        <w:t xml:space="preserve"> státního rozpočtu jako stabilní deficit odpovídající poměru 280 mld. Kč </w:t>
      </w:r>
      <w:r w:rsidR="00DA2199" w:rsidRPr="00096052">
        <w:rPr>
          <w:lang w:val="cs-CZ"/>
        </w:rPr>
        <w:t>k</w:t>
      </w:r>
      <w:r w:rsidR="00DA2199">
        <w:rPr>
          <w:lang w:val="cs-CZ"/>
        </w:rPr>
        <w:t> </w:t>
      </w:r>
      <w:r w:rsidRPr="00096052">
        <w:rPr>
          <w:lang w:val="cs-CZ"/>
        </w:rPr>
        <w:t>HDP v roce 2024</w:t>
      </w:r>
      <w:r w:rsidR="00A1169E">
        <w:rPr>
          <w:lang w:val="cs-CZ"/>
        </w:rPr>
        <w:t>, což odpovídá 3,</w:t>
      </w:r>
      <w:r w:rsidR="00DA2199">
        <w:rPr>
          <w:lang w:val="cs-CZ"/>
        </w:rPr>
        <w:t>5 </w:t>
      </w:r>
      <w:r w:rsidR="00A1169E">
        <w:rPr>
          <w:lang w:val="cs-CZ"/>
        </w:rPr>
        <w:t>% HDP</w:t>
      </w:r>
      <w:r w:rsidR="001365CC">
        <w:rPr>
          <w:lang w:val="cs-CZ"/>
        </w:rPr>
        <w:t xml:space="preserve"> (scénář „deficit3,5“)</w:t>
      </w:r>
      <w:r w:rsidR="00DD2F30" w:rsidRPr="00096052">
        <w:rPr>
          <w:lang w:val="cs-CZ"/>
        </w:rPr>
        <w:t>.</w:t>
      </w:r>
    </w:p>
    <w:p w14:paraId="3C1CA756" w14:textId="400F74B8" w:rsidR="00DD2F30" w:rsidRPr="00096052" w:rsidRDefault="00DD2F30" w:rsidP="0045534A">
      <w:pPr>
        <w:rPr>
          <w:lang w:val="cs-CZ"/>
        </w:rPr>
      </w:pPr>
      <w:r w:rsidRPr="00096052">
        <w:rPr>
          <w:lang w:val="cs-CZ"/>
        </w:rPr>
        <w:t xml:space="preserve">Naproti tomu konsolidační balíček transformujeme do poklesu deficitů od roku 2024, přičemž deficit státního rozpočtu pro příští rok uvažujeme 210 mld. Kč. Následně pak dle konsolidačního balíčku snižujeme deficit </w:t>
      </w:r>
      <w:r w:rsidR="00DA2199" w:rsidRPr="00096052">
        <w:rPr>
          <w:lang w:val="cs-CZ"/>
        </w:rPr>
        <w:t>i</w:t>
      </w:r>
      <w:r w:rsidR="00DA2199">
        <w:rPr>
          <w:lang w:val="cs-CZ"/>
        </w:rPr>
        <w:t> </w:t>
      </w:r>
      <w:r w:rsidRPr="00096052">
        <w:rPr>
          <w:lang w:val="cs-CZ"/>
        </w:rPr>
        <w:t xml:space="preserve">v roce 2025 </w:t>
      </w:r>
      <w:r w:rsidR="00DA2199" w:rsidRPr="00096052">
        <w:rPr>
          <w:lang w:val="cs-CZ"/>
        </w:rPr>
        <w:t>a</w:t>
      </w:r>
      <w:r w:rsidR="00DA2199">
        <w:rPr>
          <w:lang w:val="cs-CZ"/>
        </w:rPr>
        <w:t> </w:t>
      </w:r>
      <w:r w:rsidRPr="00096052">
        <w:rPr>
          <w:lang w:val="cs-CZ"/>
        </w:rPr>
        <w:t>v letech 2026 až 2028 uvažujeme p</w:t>
      </w:r>
      <w:r w:rsidR="00786C64" w:rsidRPr="00096052">
        <w:rPr>
          <w:lang w:val="cs-CZ"/>
        </w:rPr>
        <w:t xml:space="preserve">ostupný návrat na úroveň střednědobého rozpočtového cíle dle navrhovaného znění </w:t>
      </w:r>
      <w:r w:rsidR="00DA2199" w:rsidRPr="00096052">
        <w:rPr>
          <w:lang w:val="cs-CZ"/>
        </w:rPr>
        <w:t>§</w:t>
      </w:r>
      <w:r w:rsidR="00DA2199">
        <w:rPr>
          <w:lang w:val="cs-CZ"/>
        </w:rPr>
        <w:t> </w:t>
      </w:r>
      <w:r w:rsidR="00786C64" w:rsidRPr="00096052">
        <w:rPr>
          <w:lang w:val="cs-CZ"/>
        </w:rPr>
        <w:t xml:space="preserve">10a zákona </w:t>
      </w:r>
      <w:r w:rsidR="00DA2199" w:rsidRPr="00096052">
        <w:rPr>
          <w:lang w:val="cs-CZ"/>
        </w:rPr>
        <w:t>č.</w:t>
      </w:r>
      <w:r w:rsidR="00DA2199">
        <w:rPr>
          <w:lang w:val="cs-CZ"/>
        </w:rPr>
        <w:t> </w:t>
      </w:r>
      <w:r w:rsidR="00786C64" w:rsidRPr="00096052">
        <w:rPr>
          <w:lang w:val="cs-CZ"/>
        </w:rPr>
        <w:t>23/2017 Sb</w:t>
      </w:r>
      <w:r w:rsidR="00A1169E">
        <w:rPr>
          <w:lang w:val="cs-CZ"/>
        </w:rPr>
        <w:t>. (scénář „cílový stav)</w:t>
      </w:r>
      <w:r w:rsidR="00786C64" w:rsidRPr="00096052">
        <w:rPr>
          <w:lang w:val="cs-CZ"/>
        </w:rPr>
        <w:t>.</w:t>
      </w:r>
    </w:p>
    <w:p w14:paraId="324C5700" w14:textId="0E2F4EA4" w:rsidR="008F670C" w:rsidRPr="00096052" w:rsidRDefault="00786C64" w:rsidP="0045534A">
      <w:pPr>
        <w:rPr>
          <w:lang w:val="cs-CZ"/>
        </w:rPr>
      </w:pPr>
      <w:r w:rsidRPr="00096052">
        <w:rPr>
          <w:lang w:val="cs-CZ"/>
        </w:rPr>
        <w:t xml:space="preserve">Ponechání vysokých deficitů státního rozpočtu implikuje vyšší nejistotu </w:t>
      </w:r>
      <w:r w:rsidR="00DA2199" w:rsidRPr="00096052">
        <w:rPr>
          <w:lang w:val="cs-CZ"/>
        </w:rPr>
        <w:t>a</w:t>
      </w:r>
      <w:r w:rsidR="00DA2199">
        <w:rPr>
          <w:lang w:val="cs-CZ"/>
        </w:rPr>
        <w:t> </w:t>
      </w:r>
      <w:r w:rsidRPr="00096052">
        <w:rPr>
          <w:lang w:val="cs-CZ"/>
        </w:rPr>
        <w:t xml:space="preserve">tedy </w:t>
      </w:r>
      <w:r w:rsidR="00DA2199" w:rsidRPr="00096052">
        <w:rPr>
          <w:lang w:val="cs-CZ"/>
        </w:rPr>
        <w:t>i</w:t>
      </w:r>
      <w:r w:rsidR="00DA2199">
        <w:rPr>
          <w:lang w:val="cs-CZ"/>
        </w:rPr>
        <w:t> </w:t>
      </w:r>
      <w:r w:rsidRPr="00096052">
        <w:rPr>
          <w:lang w:val="cs-CZ"/>
        </w:rPr>
        <w:t xml:space="preserve">vyšší rizikové přirážky. Proto v obou scénářích současného stavu uvažujeme pozvolný nárůst úrokové sazby </w:t>
      </w:r>
      <w:r w:rsidR="00DA2199" w:rsidRPr="00096052">
        <w:rPr>
          <w:lang w:val="cs-CZ"/>
        </w:rPr>
        <w:t>o</w:t>
      </w:r>
      <w:r w:rsidR="00DA2199">
        <w:rPr>
          <w:lang w:val="cs-CZ"/>
        </w:rPr>
        <w:t> </w:t>
      </w:r>
      <w:r w:rsidRPr="00096052">
        <w:rPr>
          <w:lang w:val="cs-CZ"/>
        </w:rPr>
        <w:t>0,05 procentního bodu ročně. To s sebou nese mírně nižší růst hrubého domácího produktu (</w:t>
      </w:r>
      <w:r w:rsidR="00040069">
        <w:rPr>
          <w:lang w:val="cs-CZ"/>
        </w:rPr>
        <w:t>předpokládáme</w:t>
      </w:r>
      <w:r w:rsidRPr="00096052">
        <w:rPr>
          <w:lang w:val="cs-CZ"/>
        </w:rPr>
        <w:t xml:space="preserve"> 0,</w:t>
      </w:r>
      <w:r w:rsidR="00DA2199" w:rsidRPr="00096052">
        <w:rPr>
          <w:lang w:val="cs-CZ"/>
        </w:rPr>
        <w:t>2</w:t>
      </w:r>
      <w:r w:rsidR="00DA2199">
        <w:rPr>
          <w:lang w:val="cs-CZ"/>
        </w:rPr>
        <w:t> </w:t>
      </w:r>
      <w:r w:rsidRPr="00096052">
        <w:rPr>
          <w:lang w:val="cs-CZ"/>
        </w:rPr>
        <w:t xml:space="preserve">procentního bodu v každém roce po roce 2026, ve střednědobém horizontu naopak nižší růst </w:t>
      </w:r>
      <w:r w:rsidR="0020586A" w:rsidRPr="00096052">
        <w:rPr>
          <w:lang w:val="cs-CZ"/>
        </w:rPr>
        <w:t>vlivem provedené konsolidace</w:t>
      </w:r>
      <w:r w:rsidRPr="00096052">
        <w:rPr>
          <w:lang w:val="cs-CZ"/>
        </w:rPr>
        <w:t xml:space="preserve">). </w:t>
      </w:r>
    </w:p>
    <w:p w14:paraId="35B25CCA" w14:textId="0F993C93" w:rsidR="008F670C" w:rsidRPr="00096052" w:rsidRDefault="008F670C" w:rsidP="0045534A">
      <w:pPr>
        <w:rPr>
          <w:lang w:val="cs-CZ"/>
        </w:rPr>
      </w:pPr>
      <w:r w:rsidRPr="00096052">
        <w:rPr>
          <w:lang w:val="cs-CZ"/>
        </w:rPr>
        <w:t xml:space="preserve">Ostatní tlaky na veřejné finance (stárnutí populace, klimatické změny) neuvažujeme, neboť je </w:t>
      </w:r>
      <w:r w:rsidRPr="00096052">
        <w:rPr>
          <w:lang w:val="cs-CZ"/>
        </w:rPr>
        <w:lastRenderedPageBreak/>
        <w:t xml:space="preserve">chápeme ve všech scénářích obdobné. Nicméně je nutné uvedené výsledky v tomto světle interpretovat, protože výsledné zadlužení by bylo </w:t>
      </w:r>
      <w:r w:rsidR="00DA2199" w:rsidRPr="00096052">
        <w:rPr>
          <w:lang w:val="cs-CZ"/>
        </w:rPr>
        <w:t>o</w:t>
      </w:r>
      <w:r w:rsidR="00DA2199">
        <w:rPr>
          <w:lang w:val="cs-CZ"/>
        </w:rPr>
        <w:t> </w:t>
      </w:r>
      <w:r w:rsidRPr="00096052">
        <w:rPr>
          <w:lang w:val="cs-CZ"/>
        </w:rPr>
        <w:t>dopady těchto tlaků vyšší, pokud by nebyly pokryty úsporami jinde, aby se předpokládaná salda (</w:t>
      </w:r>
      <w:r w:rsidR="00DA2199" w:rsidRPr="00096052">
        <w:rPr>
          <w:lang w:val="cs-CZ"/>
        </w:rPr>
        <w:t>v</w:t>
      </w:r>
      <w:r w:rsidR="00DA2199">
        <w:rPr>
          <w:lang w:val="cs-CZ"/>
        </w:rPr>
        <w:t> </w:t>
      </w:r>
      <w:r w:rsidRPr="00096052">
        <w:rPr>
          <w:lang w:val="cs-CZ"/>
        </w:rPr>
        <w:t xml:space="preserve">cílovém stavu </w:t>
      </w:r>
      <w:r>
        <w:rPr>
          <w:noProof/>
          <w:lang w:val="cs-CZ"/>
        </w:rPr>
        <w:t>dan</w:t>
      </w:r>
      <w:r w:rsidR="009661C6">
        <w:rPr>
          <w:noProof/>
          <w:lang w:val="cs-CZ"/>
        </w:rPr>
        <w:t>á</w:t>
      </w:r>
      <w:r w:rsidRPr="00096052">
        <w:rPr>
          <w:lang w:val="cs-CZ"/>
        </w:rPr>
        <w:t xml:space="preserve"> současnou legislativou) naplnila. </w:t>
      </w:r>
    </w:p>
    <w:p w14:paraId="169E774B" w14:textId="4CEF01F9" w:rsidR="00786C64" w:rsidRPr="00096052" w:rsidRDefault="008F670C" w:rsidP="0045534A">
      <w:pPr>
        <w:rPr>
          <w:lang w:val="cs-CZ"/>
        </w:rPr>
      </w:pPr>
      <w:r w:rsidRPr="00096052">
        <w:rPr>
          <w:lang w:val="cs-CZ"/>
        </w:rPr>
        <w:t xml:space="preserve">Uvedený scénář „cílového stavu“ tak bere do úvahy jen představená opatření v rámci konsolidačního balíčku, nicméně je obecně vhodné konsolidaci doplňovat </w:t>
      </w:r>
      <w:r w:rsidR="00DA2199" w:rsidRPr="00096052">
        <w:rPr>
          <w:lang w:val="cs-CZ"/>
        </w:rPr>
        <w:t>i</w:t>
      </w:r>
      <w:r w:rsidR="00DA2199">
        <w:rPr>
          <w:lang w:val="cs-CZ"/>
        </w:rPr>
        <w:t> </w:t>
      </w:r>
      <w:r w:rsidR="00DA2199" w:rsidRPr="00096052">
        <w:rPr>
          <w:lang w:val="cs-CZ"/>
        </w:rPr>
        <w:t>o</w:t>
      </w:r>
      <w:r w:rsidR="00DA2199">
        <w:rPr>
          <w:lang w:val="cs-CZ"/>
        </w:rPr>
        <w:t> </w:t>
      </w:r>
      <w:r w:rsidRPr="00096052">
        <w:rPr>
          <w:lang w:val="cs-CZ"/>
        </w:rPr>
        <w:t xml:space="preserve">strukturální reformy, jak se k tomu vláda chystá např. v oblasti důchodů. Čím komplexnější strukturální reformy, které by zvyšovaly růst HDP </w:t>
      </w:r>
      <w:r w:rsidR="00DA2199" w:rsidRPr="00096052">
        <w:rPr>
          <w:lang w:val="cs-CZ"/>
        </w:rPr>
        <w:t>a</w:t>
      </w:r>
      <w:r w:rsidR="00DA2199">
        <w:rPr>
          <w:lang w:val="cs-CZ"/>
        </w:rPr>
        <w:t> </w:t>
      </w:r>
      <w:r w:rsidRPr="00096052">
        <w:rPr>
          <w:lang w:val="cs-CZ"/>
        </w:rPr>
        <w:t xml:space="preserve">zároveň posilovaly primární bilanci veřejných financí, by vlády provedly, tím nižší úrovně zadlužení by mohlo být dosaženo </w:t>
      </w:r>
      <w:r w:rsidR="00DA2199" w:rsidRPr="00096052">
        <w:rPr>
          <w:lang w:val="cs-CZ"/>
        </w:rPr>
        <w:t>a</w:t>
      </w:r>
      <w:r w:rsidR="00DA2199">
        <w:rPr>
          <w:lang w:val="cs-CZ"/>
        </w:rPr>
        <w:t> </w:t>
      </w:r>
      <w:r w:rsidRPr="00096052">
        <w:rPr>
          <w:lang w:val="cs-CZ"/>
        </w:rPr>
        <w:t>potenciální nebezpečí prolomení dluhové brzdy efektivně eliminováno.</w:t>
      </w:r>
    </w:p>
    <w:p w14:paraId="58533DC7" w14:textId="4F1511F5" w:rsidR="00245CC7" w:rsidRPr="00096052" w:rsidRDefault="00297D73" w:rsidP="00D752FA">
      <w:pPr>
        <w:widowControl/>
        <w:rPr>
          <w:rStyle w:val="Siln"/>
          <w:lang w:val="cs-CZ"/>
        </w:rPr>
      </w:pPr>
      <w:r w:rsidRPr="00096052">
        <w:rPr>
          <w:rStyle w:val="Siln"/>
          <w:lang w:val="cs-CZ"/>
        </w:rPr>
        <w:t>Obrázek</w:t>
      </w:r>
      <w:r w:rsidR="00245CC7" w:rsidRPr="00096052">
        <w:rPr>
          <w:rStyle w:val="Siln"/>
          <w:lang w:val="cs-CZ"/>
        </w:rPr>
        <w:t xml:space="preserve"> 1: </w:t>
      </w:r>
      <w:r w:rsidR="00934DDC" w:rsidRPr="00096052">
        <w:rPr>
          <w:rStyle w:val="Siln"/>
          <w:lang w:val="cs-CZ"/>
        </w:rPr>
        <w:t>Státní dluh</w:t>
      </w:r>
      <w:r w:rsidR="00245CC7" w:rsidRPr="00096052">
        <w:rPr>
          <w:rStyle w:val="Siln"/>
          <w:lang w:val="cs-CZ"/>
        </w:rPr>
        <w:t xml:space="preserve"> původní </w:t>
      </w:r>
      <w:r w:rsidR="00DA2199" w:rsidRPr="00096052">
        <w:rPr>
          <w:rStyle w:val="Siln"/>
          <w:lang w:val="cs-CZ"/>
        </w:rPr>
        <w:t>a</w:t>
      </w:r>
      <w:r w:rsidR="00DA2199">
        <w:rPr>
          <w:rStyle w:val="Siln"/>
          <w:lang w:val="cs-CZ"/>
        </w:rPr>
        <w:t> </w:t>
      </w:r>
      <w:r w:rsidR="00245CC7" w:rsidRPr="00096052">
        <w:rPr>
          <w:rStyle w:val="Siln"/>
          <w:lang w:val="cs-CZ"/>
        </w:rPr>
        <w:t>cílový stav</w:t>
      </w:r>
    </w:p>
    <w:p w14:paraId="0C75EAB7" w14:textId="77777777" w:rsidR="00297D73" w:rsidRPr="00096052" w:rsidRDefault="00297D73" w:rsidP="00D752FA">
      <w:pPr>
        <w:widowControl/>
        <w:rPr>
          <w:rStyle w:val="Siln"/>
          <w:b w:val="0"/>
          <w:i/>
          <w:sz w:val="18"/>
          <w:szCs w:val="18"/>
          <w:lang w:val="cs-CZ"/>
        </w:rPr>
      </w:pPr>
      <w:r w:rsidRPr="00096052">
        <w:rPr>
          <w:rStyle w:val="Siln"/>
          <w:b w:val="0"/>
          <w:i/>
          <w:sz w:val="18"/>
          <w:szCs w:val="18"/>
          <w:lang w:val="cs-CZ"/>
        </w:rPr>
        <w:t>% HDP</w:t>
      </w:r>
    </w:p>
    <w:p w14:paraId="22BA25C8" w14:textId="77777777" w:rsidR="00245CC7" w:rsidRPr="00096052" w:rsidRDefault="008F670C" w:rsidP="009A766E">
      <w:pPr>
        <w:rPr>
          <w:lang w:val="cs-CZ"/>
        </w:rPr>
      </w:pPr>
      <w:r w:rsidRPr="00096052">
        <w:rPr>
          <w:noProof/>
          <w:lang w:val="cs-CZ" w:eastAsia="cs-CZ"/>
        </w:rPr>
        <w:drawing>
          <wp:inline distT="0" distB="0" distL="0" distR="0" wp14:anchorId="19B90D84" wp14:editId="6B484210">
            <wp:extent cx="5760720" cy="20516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051653"/>
                    </a:xfrm>
                    <a:prstGeom prst="rect">
                      <a:avLst/>
                    </a:prstGeom>
                    <a:noFill/>
                    <a:ln>
                      <a:noFill/>
                    </a:ln>
                  </pic:spPr>
                </pic:pic>
              </a:graphicData>
            </a:graphic>
          </wp:inline>
        </w:drawing>
      </w:r>
    </w:p>
    <w:p w14:paraId="5A481F14" w14:textId="77777777" w:rsidR="00245CC7" w:rsidRPr="002F0D7D" w:rsidRDefault="00245CC7" w:rsidP="0045534A">
      <w:pPr>
        <w:widowControl/>
        <w:spacing w:line="264" w:lineRule="auto"/>
        <w:rPr>
          <w:rStyle w:val="Zdraznnjemn"/>
          <w:lang w:val="cs-CZ"/>
        </w:rPr>
      </w:pPr>
      <w:r w:rsidRPr="002F0D7D">
        <w:rPr>
          <w:rStyle w:val="Zdraznnjemn"/>
          <w:lang w:val="cs-CZ"/>
        </w:rPr>
        <w:t>Zdroj: Výpočty MF</w:t>
      </w:r>
      <w:r w:rsidR="00B54273" w:rsidRPr="002F0D7D">
        <w:rPr>
          <w:rStyle w:val="Zdraznnjemn"/>
          <w:lang w:val="cs-CZ"/>
        </w:rPr>
        <w:t xml:space="preserve"> ČR.</w:t>
      </w:r>
    </w:p>
    <w:p w14:paraId="0F7A47BB" w14:textId="6E1E95DA" w:rsidR="00245CC7" w:rsidRPr="00096052" w:rsidRDefault="00245CC7" w:rsidP="0045534A">
      <w:pPr>
        <w:rPr>
          <w:lang w:val="cs-CZ"/>
        </w:rPr>
      </w:pPr>
      <w:r w:rsidRPr="00096052">
        <w:rPr>
          <w:lang w:val="cs-CZ"/>
        </w:rPr>
        <w:t xml:space="preserve">Zároveň by samozřejmě konsolidace měla mít své meze. </w:t>
      </w:r>
      <w:r w:rsidR="002C4446" w:rsidRPr="00096052">
        <w:rPr>
          <w:lang w:val="cs-CZ"/>
        </w:rPr>
        <w:t>Např.</w:t>
      </w:r>
      <w:r w:rsidRPr="00096052">
        <w:rPr>
          <w:lang w:val="cs-CZ"/>
        </w:rPr>
        <w:t xml:space="preserve"> vysoká intenzita konsolidace může samu sebe za určitých podmínek ohrozit</w:t>
      </w:r>
      <w:r w:rsidR="002C4446" w:rsidRPr="00096052">
        <w:rPr>
          <w:lang w:val="cs-CZ"/>
        </w:rPr>
        <w:t>,</w:t>
      </w:r>
      <w:r w:rsidRPr="00096052">
        <w:rPr>
          <w:lang w:val="cs-CZ"/>
        </w:rPr>
        <w:t xml:space="preserve"> </w:t>
      </w:r>
      <w:r w:rsidR="00DA2199" w:rsidRPr="00096052">
        <w:rPr>
          <w:lang w:val="cs-CZ"/>
        </w:rPr>
        <w:t>a</w:t>
      </w:r>
      <w:r w:rsidR="00DA2199">
        <w:rPr>
          <w:lang w:val="cs-CZ"/>
        </w:rPr>
        <w:t> </w:t>
      </w:r>
      <w:r w:rsidRPr="00096052">
        <w:rPr>
          <w:lang w:val="cs-CZ"/>
        </w:rPr>
        <w:t>tím negovat celé úsilí. Druhou věcí je pak to, že dluh sektoru vládních institucí by rovněž neměl být příliš nízký</w:t>
      </w:r>
      <w:r w:rsidR="00B8710C" w:rsidRPr="00096052">
        <w:rPr>
          <w:lang w:val="cs-CZ"/>
        </w:rPr>
        <w:t xml:space="preserve"> (limitně nulový)</w:t>
      </w:r>
      <w:r w:rsidRPr="00096052">
        <w:rPr>
          <w:lang w:val="cs-CZ"/>
        </w:rPr>
        <w:t xml:space="preserve">, což by znamenalo zbytečné odčerpávání zdrojů ze soukromého sektoru </w:t>
      </w:r>
      <w:r w:rsidR="00DA2199" w:rsidRPr="00096052">
        <w:rPr>
          <w:lang w:val="cs-CZ"/>
        </w:rPr>
        <w:t>a</w:t>
      </w:r>
      <w:r w:rsidR="00DA2199">
        <w:rPr>
          <w:lang w:val="cs-CZ"/>
        </w:rPr>
        <w:t> </w:t>
      </w:r>
      <w:r w:rsidRPr="00096052">
        <w:rPr>
          <w:lang w:val="cs-CZ"/>
        </w:rPr>
        <w:t>negativní změny v architektuře finančního trhu.</w:t>
      </w:r>
    </w:p>
    <w:p w14:paraId="611E8289" w14:textId="37ADD809" w:rsidR="00245CC7" w:rsidRPr="00096052" w:rsidRDefault="00245CC7" w:rsidP="0045534A">
      <w:pPr>
        <w:rPr>
          <w:lang w:val="cs-CZ"/>
        </w:rPr>
      </w:pPr>
      <w:r w:rsidRPr="00096052">
        <w:rPr>
          <w:lang w:val="cs-CZ"/>
        </w:rPr>
        <w:t xml:space="preserve">Nabízí se logická otázka, jaká by měla být cílová úroveň zadlužení sektoru vládních institucí. Určení takové úrovně je poměrně diskutabilní z hlediska použitých metodik. </w:t>
      </w:r>
      <w:r w:rsidR="00DA2199" w:rsidRPr="00096052">
        <w:rPr>
          <w:lang w:val="cs-CZ"/>
        </w:rPr>
        <w:t>U</w:t>
      </w:r>
      <w:r w:rsidR="00DA2199">
        <w:rPr>
          <w:lang w:val="cs-CZ"/>
        </w:rPr>
        <w:t> </w:t>
      </w:r>
      <w:r w:rsidRPr="00096052">
        <w:rPr>
          <w:lang w:val="cs-CZ"/>
        </w:rPr>
        <w:t xml:space="preserve">malých otevřených ekonomik jsou nám známy dva příklady zemí, pro které bylo optimum odhadnuto, </w:t>
      </w:r>
      <w:r w:rsidR="00DA2199" w:rsidRPr="00096052">
        <w:rPr>
          <w:lang w:val="cs-CZ"/>
        </w:rPr>
        <w:t>a</w:t>
      </w:r>
      <w:r w:rsidR="00DA2199">
        <w:rPr>
          <w:lang w:val="cs-CZ"/>
        </w:rPr>
        <w:t> </w:t>
      </w:r>
      <w:r w:rsidRPr="00096052">
        <w:rPr>
          <w:lang w:val="cs-CZ"/>
        </w:rPr>
        <w:t xml:space="preserve">to Slovensko </w:t>
      </w:r>
      <w:r w:rsidR="00DA2199" w:rsidRPr="00096052">
        <w:rPr>
          <w:lang w:val="cs-CZ"/>
        </w:rPr>
        <w:t>a</w:t>
      </w:r>
      <w:r w:rsidR="00DA2199">
        <w:rPr>
          <w:lang w:val="cs-CZ"/>
        </w:rPr>
        <w:t> </w:t>
      </w:r>
      <w:r w:rsidRPr="00096052">
        <w:rPr>
          <w:lang w:val="cs-CZ"/>
        </w:rPr>
        <w:t>Švédsko.</w:t>
      </w:r>
    </w:p>
    <w:p w14:paraId="6A82A50C" w14:textId="1FFA97FE" w:rsidR="00245CC7" w:rsidRPr="00096052" w:rsidRDefault="00245CC7" w:rsidP="0045534A">
      <w:pPr>
        <w:rPr>
          <w:lang w:val="cs-CZ"/>
        </w:rPr>
      </w:pPr>
      <w:r w:rsidRPr="00096052">
        <w:rPr>
          <w:lang w:val="cs-CZ"/>
        </w:rPr>
        <w:t xml:space="preserve">Pro Slovensko se </w:t>
      </w:r>
      <w:r w:rsidR="00DA2199" w:rsidRPr="00096052">
        <w:rPr>
          <w:lang w:val="cs-CZ"/>
        </w:rPr>
        <w:t>o</w:t>
      </w:r>
      <w:r w:rsidR="00DA2199">
        <w:rPr>
          <w:lang w:val="cs-CZ"/>
        </w:rPr>
        <w:t> </w:t>
      </w:r>
      <w:r w:rsidRPr="00096052">
        <w:rPr>
          <w:lang w:val="cs-CZ"/>
        </w:rPr>
        <w:t>odhad pokusila tamní fiskální rada</w:t>
      </w:r>
      <w:r w:rsidR="001365CC" w:rsidRPr="0045534A">
        <w:rPr>
          <w:rStyle w:val="StylZnakapoznpodarouLatinkaArial"/>
        </w:rPr>
        <w:footnoteReference w:id="8"/>
      </w:r>
      <w:r w:rsidRPr="00096052">
        <w:rPr>
          <w:lang w:val="cs-CZ"/>
        </w:rPr>
        <w:t xml:space="preserve"> </w:t>
      </w:r>
      <w:r w:rsidR="00DA2199" w:rsidRPr="00096052">
        <w:rPr>
          <w:lang w:val="cs-CZ"/>
        </w:rPr>
        <w:t>a</w:t>
      </w:r>
      <w:r w:rsidR="00DA2199">
        <w:rPr>
          <w:lang w:val="cs-CZ"/>
        </w:rPr>
        <w:t> </w:t>
      </w:r>
      <w:r w:rsidRPr="00096052">
        <w:rPr>
          <w:lang w:val="cs-CZ"/>
        </w:rPr>
        <w:t>použila metodiku, která byla obdobně dříve použita pro určení optima pro Spojené státy americké. Výsledky jsou závislé na specifikaci modelu, nicméně lze shrnout, že optimum pro Slovensko Rada určila mezi 25</w:t>
      </w:r>
      <w:r w:rsidR="00122A5A">
        <w:rPr>
          <w:lang w:val="cs-CZ"/>
        </w:rPr>
        <w:t> </w:t>
      </w:r>
      <w:r w:rsidR="00DA2199" w:rsidRPr="00096052">
        <w:rPr>
          <w:lang w:val="cs-CZ"/>
        </w:rPr>
        <w:t>a</w:t>
      </w:r>
      <w:r w:rsidR="00DA2199">
        <w:rPr>
          <w:lang w:val="cs-CZ"/>
        </w:rPr>
        <w:t> </w:t>
      </w:r>
      <w:r w:rsidRPr="00096052">
        <w:rPr>
          <w:lang w:val="cs-CZ"/>
        </w:rPr>
        <w:t>30</w:t>
      </w:r>
      <w:r w:rsidR="00216831" w:rsidRPr="00096052">
        <w:rPr>
          <w:lang w:val="cs-CZ"/>
        </w:rPr>
        <w:t> </w:t>
      </w:r>
      <w:r w:rsidRPr="00096052">
        <w:rPr>
          <w:lang w:val="cs-CZ"/>
        </w:rPr>
        <w:t xml:space="preserve">% HDP. </w:t>
      </w:r>
    </w:p>
    <w:p w14:paraId="3102B10D" w14:textId="3384120E" w:rsidR="00245CC7" w:rsidRPr="00096052" w:rsidRDefault="00245CC7" w:rsidP="0045534A">
      <w:pPr>
        <w:rPr>
          <w:lang w:val="cs-CZ"/>
        </w:rPr>
      </w:pPr>
      <w:r w:rsidRPr="00096052">
        <w:rPr>
          <w:lang w:val="cs-CZ"/>
        </w:rPr>
        <w:t>Švédsko má, na rozdíl od ČR (</w:t>
      </w:r>
      <w:r w:rsidR="00DA2199" w:rsidRPr="00096052">
        <w:rPr>
          <w:lang w:val="cs-CZ"/>
        </w:rPr>
        <w:t>i</w:t>
      </w:r>
      <w:r w:rsidR="00DA2199">
        <w:rPr>
          <w:lang w:val="cs-CZ"/>
        </w:rPr>
        <w:t> </w:t>
      </w:r>
      <w:r w:rsidRPr="00096052">
        <w:rPr>
          <w:lang w:val="cs-CZ"/>
        </w:rPr>
        <w:t xml:space="preserve">Slovenska), delší řadu statistik </w:t>
      </w:r>
      <w:r w:rsidR="00DA2199" w:rsidRPr="00096052">
        <w:rPr>
          <w:lang w:val="cs-CZ"/>
        </w:rPr>
        <w:t>o</w:t>
      </w:r>
      <w:r w:rsidR="00DA2199">
        <w:rPr>
          <w:lang w:val="cs-CZ"/>
        </w:rPr>
        <w:t> </w:t>
      </w:r>
      <w:r w:rsidRPr="00096052">
        <w:rPr>
          <w:lang w:val="cs-CZ"/>
        </w:rPr>
        <w:t xml:space="preserve">veřejném zadlužení </w:t>
      </w:r>
      <w:r w:rsidR="00DA2199" w:rsidRPr="00096052">
        <w:rPr>
          <w:lang w:val="cs-CZ"/>
        </w:rPr>
        <w:t>a</w:t>
      </w:r>
      <w:r w:rsidR="00DA2199">
        <w:rPr>
          <w:lang w:val="cs-CZ"/>
        </w:rPr>
        <w:t> </w:t>
      </w:r>
      <w:r w:rsidRPr="00096052">
        <w:rPr>
          <w:lang w:val="cs-CZ"/>
        </w:rPr>
        <w:t xml:space="preserve">zároveň větší rozsah úrovní veřejného dluhu, kterých ve své historii dosahovalo. Nejvyšší úroveň zadlužení Švédsko dosáhlo v první polovině 90. let na úrovni kolem 74 % HDP. Srovnáním historických dat je </w:t>
      </w:r>
      <w:r w:rsidR="00DA2199" w:rsidRPr="00096052">
        <w:rPr>
          <w:lang w:val="cs-CZ"/>
        </w:rPr>
        <w:t>u</w:t>
      </w:r>
      <w:r w:rsidR="00DA2199">
        <w:rPr>
          <w:lang w:val="cs-CZ"/>
        </w:rPr>
        <w:t> </w:t>
      </w:r>
      <w:r w:rsidRPr="00096052">
        <w:rPr>
          <w:lang w:val="cs-CZ"/>
        </w:rPr>
        <w:t xml:space="preserve">úrovní dluhu nad 40 % HDP patrný nárůst úrokového spreadu mezi švédskými </w:t>
      </w:r>
      <w:r w:rsidR="00DA2199" w:rsidRPr="00096052">
        <w:rPr>
          <w:lang w:val="cs-CZ"/>
        </w:rPr>
        <w:t>a</w:t>
      </w:r>
      <w:r w:rsidR="00DA2199">
        <w:rPr>
          <w:lang w:val="cs-CZ"/>
        </w:rPr>
        <w:t> </w:t>
      </w:r>
      <w:r w:rsidRPr="00096052">
        <w:rPr>
          <w:lang w:val="cs-CZ"/>
        </w:rPr>
        <w:t xml:space="preserve">německými dluhopisy </w:t>
      </w:r>
      <w:r w:rsidR="00DA2199" w:rsidRPr="00096052">
        <w:rPr>
          <w:lang w:val="cs-CZ"/>
        </w:rPr>
        <w:t>a</w:t>
      </w:r>
      <w:r w:rsidR="00DA2199">
        <w:rPr>
          <w:lang w:val="cs-CZ"/>
        </w:rPr>
        <w:t> </w:t>
      </w:r>
      <w:r w:rsidRPr="00096052">
        <w:rPr>
          <w:lang w:val="cs-CZ"/>
        </w:rPr>
        <w:t>obsluha dluhu se stala problematickou po prolomení 70</w:t>
      </w:r>
      <w:r w:rsidR="00216831" w:rsidRPr="00096052">
        <w:rPr>
          <w:lang w:val="cs-CZ"/>
        </w:rPr>
        <w:t> </w:t>
      </w:r>
      <w:r w:rsidRPr="00096052">
        <w:rPr>
          <w:lang w:val="cs-CZ"/>
        </w:rPr>
        <w:t xml:space="preserve">% </w:t>
      </w:r>
      <w:r w:rsidRPr="00096052">
        <w:rPr>
          <w:lang w:val="cs-CZ"/>
        </w:rPr>
        <w:lastRenderedPageBreak/>
        <w:t>HDP.</w:t>
      </w:r>
      <w:r w:rsidR="001365CC" w:rsidRPr="0045534A">
        <w:rPr>
          <w:rStyle w:val="StylZnakapoznpodarouLatinkaArial"/>
        </w:rPr>
        <w:footnoteReference w:id="9"/>
      </w:r>
      <w:r w:rsidRPr="00096052">
        <w:rPr>
          <w:lang w:val="cs-CZ"/>
        </w:rPr>
        <w:t xml:space="preserve"> Švédsko má cílovou hodnotu zadlužení v rámci svých fiskálních pravidel stanovenou na 35 % HDP (± </w:t>
      </w:r>
      <w:r w:rsidR="00DA2199" w:rsidRPr="00096052">
        <w:rPr>
          <w:lang w:val="cs-CZ"/>
        </w:rPr>
        <w:t>5</w:t>
      </w:r>
      <w:r w:rsidR="00DA2199">
        <w:rPr>
          <w:lang w:val="cs-CZ"/>
        </w:rPr>
        <w:t> </w:t>
      </w:r>
      <w:r w:rsidRPr="00096052">
        <w:rPr>
          <w:lang w:val="cs-CZ"/>
        </w:rPr>
        <w:t xml:space="preserve">procentních bodů). Optimum by však mělo být </w:t>
      </w:r>
      <w:r w:rsidR="00DA2199" w:rsidRPr="00096052">
        <w:rPr>
          <w:lang w:val="cs-CZ"/>
        </w:rPr>
        <w:t>o</w:t>
      </w:r>
      <w:r w:rsidR="00DA2199">
        <w:rPr>
          <w:lang w:val="cs-CZ"/>
        </w:rPr>
        <w:t> </w:t>
      </w:r>
      <w:r w:rsidRPr="00096052">
        <w:rPr>
          <w:lang w:val="cs-CZ"/>
        </w:rPr>
        <w:t>10 procentních bodů níže, tedy na 25 % HDP.</w:t>
      </w:r>
    </w:p>
    <w:p w14:paraId="4F4F0495" w14:textId="79A5C7F2" w:rsidR="00245CC7" w:rsidRPr="00096052" w:rsidRDefault="00245CC7" w:rsidP="0045534A">
      <w:pPr>
        <w:rPr>
          <w:lang w:val="cs-CZ"/>
        </w:rPr>
      </w:pPr>
      <w:r w:rsidRPr="00096052">
        <w:rPr>
          <w:lang w:val="cs-CZ"/>
        </w:rPr>
        <w:t xml:space="preserve">Vzhledem k odlišné situaci se zadlužením v první polovině 90. let </w:t>
      </w:r>
      <w:r w:rsidR="00DA2199" w:rsidRPr="00096052">
        <w:rPr>
          <w:lang w:val="cs-CZ"/>
        </w:rPr>
        <w:t>a</w:t>
      </w:r>
      <w:r w:rsidR="00DA2199">
        <w:rPr>
          <w:lang w:val="cs-CZ"/>
        </w:rPr>
        <w:t> </w:t>
      </w:r>
      <w:r w:rsidRPr="00096052">
        <w:rPr>
          <w:lang w:val="cs-CZ"/>
        </w:rPr>
        <w:t>nyní</w:t>
      </w:r>
      <w:r w:rsidR="00C01A35" w:rsidRPr="00096052">
        <w:rPr>
          <w:lang w:val="cs-CZ"/>
        </w:rPr>
        <w:t xml:space="preserve">, stejně jako </w:t>
      </w:r>
      <w:r w:rsidR="00956DAC" w:rsidRPr="00096052">
        <w:rPr>
          <w:lang w:val="cs-CZ"/>
        </w:rPr>
        <w:t>k </w:t>
      </w:r>
      <w:r w:rsidR="00C01A35" w:rsidRPr="00096052">
        <w:rPr>
          <w:lang w:val="cs-CZ"/>
        </w:rPr>
        <w:t>odlišným</w:t>
      </w:r>
      <w:r w:rsidR="00956DAC" w:rsidRPr="00096052">
        <w:rPr>
          <w:lang w:val="cs-CZ"/>
        </w:rPr>
        <w:t xml:space="preserve"> </w:t>
      </w:r>
      <w:r w:rsidR="00C03DB9" w:rsidRPr="00096052">
        <w:rPr>
          <w:lang w:val="cs-CZ"/>
        </w:rPr>
        <w:t xml:space="preserve">budoucím </w:t>
      </w:r>
      <w:r w:rsidR="00956DAC" w:rsidRPr="00096052">
        <w:rPr>
          <w:lang w:val="cs-CZ"/>
        </w:rPr>
        <w:t xml:space="preserve">rizikům </w:t>
      </w:r>
      <w:r w:rsidR="00DA2199" w:rsidRPr="00096052">
        <w:rPr>
          <w:lang w:val="cs-CZ"/>
        </w:rPr>
        <w:t>a</w:t>
      </w:r>
      <w:r w:rsidR="00DA2199">
        <w:rPr>
          <w:lang w:val="cs-CZ"/>
        </w:rPr>
        <w:t> </w:t>
      </w:r>
      <w:r w:rsidR="00C9396D" w:rsidRPr="00096052">
        <w:rPr>
          <w:lang w:val="cs-CZ"/>
        </w:rPr>
        <w:t>hrozbám (stárnutí populace, klimatická změna),</w:t>
      </w:r>
      <w:r w:rsidR="004344C8" w:rsidRPr="00096052">
        <w:rPr>
          <w:lang w:val="cs-CZ"/>
        </w:rPr>
        <w:t xml:space="preserve"> </w:t>
      </w:r>
      <w:r w:rsidRPr="00096052">
        <w:rPr>
          <w:lang w:val="cs-CZ"/>
        </w:rPr>
        <w:t xml:space="preserve">nelze uvedené hodnoty </w:t>
      </w:r>
      <w:r w:rsidR="00900F86" w:rsidRPr="00096052">
        <w:rPr>
          <w:lang w:val="cs-CZ"/>
        </w:rPr>
        <w:t xml:space="preserve">interpretovat </w:t>
      </w:r>
      <w:r w:rsidRPr="00096052">
        <w:rPr>
          <w:lang w:val="cs-CZ"/>
        </w:rPr>
        <w:t xml:space="preserve">rigidně, </w:t>
      </w:r>
      <w:r w:rsidR="00DA2199" w:rsidRPr="00096052">
        <w:rPr>
          <w:lang w:val="cs-CZ"/>
        </w:rPr>
        <w:t>i</w:t>
      </w:r>
      <w:r w:rsidR="00DA2199">
        <w:rPr>
          <w:lang w:val="cs-CZ"/>
        </w:rPr>
        <w:t> </w:t>
      </w:r>
      <w:r w:rsidR="00216831" w:rsidRPr="00096052">
        <w:rPr>
          <w:lang w:val="cs-CZ"/>
        </w:rPr>
        <w:t xml:space="preserve">dnes </w:t>
      </w:r>
      <w:r w:rsidRPr="00096052">
        <w:rPr>
          <w:lang w:val="cs-CZ"/>
        </w:rPr>
        <w:t xml:space="preserve">jsou ale nepochybně </w:t>
      </w:r>
      <w:r w:rsidR="00216831" w:rsidRPr="00096052">
        <w:rPr>
          <w:lang w:val="cs-CZ"/>
        </w:rPr>
        <w:t xml:space="preserve">pro ČR </w:t>
      </w:r>
      <w:r w:rsidRPr="00096052">
        <w:rPr>
          <w:lang w:val="cs-CZ"/>
        </w:rPr>
        <w:t>dobrou indikací (</w:t>
      </w:r>
      <w:r w:rsidR="00DA2199" w:rsidRPr="00096052">
        <w:rPr>
          <w:lang w:val="cs-CZ"/>
        </w:rPr>
        <w:t>s</w:t>
      </w:r>
      <w:r w:rsidR="00DA2199">
        <w:rPr>
          <w:lang w:val="cs-CZ"/>
        </w:rPr>
        <w:t> </w:t>
      </w:r>
      <w:r w:rsidRPr="00096052">
        <w:rPr>
          <w:lang w:val="cs-CZ"/>
        </w:rPr>
        <w:t xml:space="preserve">ohledem na rozdíly </w:t>
      </w:r>
      <w:r w:rsidR="00216831" w:rsidRPr="00096052">
        <w:rPr>
          <w:lang w:val="cs-CZ"/>
        </w:rPr>
        <w:t xml:space="preserve">ve </w:t>
      </w:r>
      <w:r w:rsidRPr="00096052">
        <w:rPr>
          <w:lang w:val="cs-CZ"/>
        </w:rPr>
        <w:t>vyspělosti obou ekonomik).</w:t>
      </w:r>
      <w:r w:rsidR="00660A13" w:rsidRPr="00096052">
        <w:rPr>
          <w:lang w:val="cs-CZ"/>
        </w:rPr>
        <w:t xml:space="preserve"> Úroveň </w:t>
      </w:r>
      <w:r w:rsidR="004C2E1B" w:rsidRPr="00096052">
        <w:rPr>
          <w:lang w:val="cs-CZ"/>
        </w:rPr>
        <w:t xml:space="preserve">zadlužení lze také posuzovat vůči referenční hranici 60 % Paktu </w:t>
      </w:r>
      <w:r w:rsidR="00DA2199" w:rsidRPr="00096052">
        <w:rPr>
          <w:lang w:val="cs-CZ"/>
        </w:rPr>
        <w:t>o</w:t>
      </w:r>
      <w:r w:rsidR="00DA2199">
        <w:rPr>
          <w:lang w:val="cs-CZ"/>
        </w:rPr>
        <w:t> </w:t>
      </w:r>
      <w:r w:rsidR="004C2E1B" w:rsidRPr="00096052">
        <w:rPr>
          <w:lang w:val="cs-CZ"/>
        </w:rPr>
        <w:t xml:space="preserve">stability </w:t>
      </w:r>
      <w:r w:rsidR="00DA2199" w:rsidRPr="00096052">
        <w:rPr>
          <w:lang w:val="cs-CZ"/>
        </w:rPr>
        <w:t>a</w:t>
      </w:r>
      <w:r w:rsidR="00DA2199">
        <w:rPr>
          <w:lang w:val="cs-CZ"/>
        </w:rPr>
        <w:t> </w:t>
      </w:r>
      <w:r w:rsidR="004C2E1B" w:rsidRPr="00096052">
        <w:rPr>
          <w:lang w:val="cs-CZ"/>
        </w:rPr>
        <w:t>růstu</w:t>
      </w:r>
      <w:r w:rsidR="00B0480E" w:rsidRPr="00096052">
        <w:rPr>
          <w:lang w:val="cs-CZ"/>
        </w:rPr>
        <w:t xml:space="preserve">. Zejména pak </w:t>
      </w:r>
      <w:r w:rsidR="00DA2199" w:rsidRPr="00096052">
        <w:rPr>
          <w:lang w:val="cs-CZ"/>
        </w:rPr>
        <w:t>i</w:t>
      </w:r>
      <w:r w:rsidR="00DA2199">
        <w:rPr>
          <w:lang w:val="cs-CZ"/>
        </w:rPr>
        <w:t> </w:t>
      </w:r>
      <w:r w:rsidR="00B0480E" w:rsidRPr="00096052">
        <w:rPr>
          <w:lang w:val="cs-CZ"/>
        </w:rPr>
        <w:t xml:space="preserve">s ohledem na rychlost, s jakou jsme </w:t>
      </w:r>
      <w:r w:rsidR="00081554" w:rsidRPr="00096052">
        <w:rPr>
          <w:lang w:val="cs-CZ"/>
        </w:rPr>
        <w:t xml:space="preserve">po Velké hospodářské recesi z let 2008/2009, </w:t>
      </w:r>
      <w:r w:rsidR="00DA2199" w:rsidRPr="00096052">
        <w:rPr>
          <w:lang w:val="cs-CZ"/>
        </w:rPr>
        <w:t>i</w:t>
      </w:r>
      <w:r w:rsidR="00DA2199">
        <w:rPr>
          <w:lang w:val="cs-CZ"/>
        </w:rPr>
        <w:t> </w:t>
      </w:r>
      <w:r w:rsidR="007644C2" w:rsidRPr="00096052">
        <w:rPr>
          <w:lang w:val="cs-CZ"/>
        </w:rPr>
        <w:t xml:space="preserve">během pandemie </w:t>
      </w:r>
      <w:r w:rsidR="004C4ACE" w:rsidRPr="00096052">
        <w:rPr>
          <w:lang w:val="cs-CZ"/>
        </w:rPr>
        <w:t>2020</w:t>
      </w:r>
      <w:r w:rsidR="00216831" w:rsidRPr="00096052">
        <w:rPr>
          <w:lang w:val="cs-CZ"/>
        </w:rPr>
        <w:t>–</w:t>
      </w:r>
      <w:r w:rsidR="004C4ACE" w:rsidRPr="00096052">
        <w:rPr>
          <w:lang w:val="cs-CZ"/>
        </w:rPr>
        <w:t xml:space="preserve">2021 </w:t>
      </w:r>
      <w:r w:rsidR="007644C2" w:rsidRPr="00096052">
        <w:rPr>
          <w:lang w:val="cs-CZ"/>
        </w:rPr>
        <w:t>či následné</w:t>
      </w:r>
      <w:r w:rsidR="002E4497" w:rsidRPr="00096052">
        <w:rPr>
          <w:lang w:val="cs-CZ"/>
        </w:rPr>
        <w:t xml:space="preserve"> </w:t>
      </w:r>
      <w:r w:rsidR="004C4ACE" w:rsidRPr="00096052">
        <w:rPr>
          <w:lang w:val="cs-CZ"/>
        </w:rPr>
        <w:t xml:space="preserve">energetické </w:t>
      </w:r>
      <w:r w:rsidR="002E4497" w:rsidRPr="00096052">
        <w:rPr>
          <w:lang w:val="cs-CZ"/>
        </w:rPr>
        <w:t xml:space="preserve">krize </w:t>
      </w:r>
      <w:r w:rsidR="004C4ACE" w:rsidRPr="00096052">
        <w:rPr>
          <w:lang w:val="cs-CZ"/>
        </w:rPr>
        <w:t>2022</w:t>
      </w:r>
      <w:r w:rsidR="00660A13" w:rsidRPr="00096052" w:rsidDel="00660A13">
        <w:rPr>
          <w:lang w:val="cs-CZ"/>
        </w:rPr>
        <w:t xml:space="preserve"> </w:t>
      </w:r>
      <w:r w:rsidR="000830E3" w:rsidRPr="00096052">
        <w:rPr>
          <w:lang w:val="cs-CZ"/>
        </w:rPr>
        <w:t xml:space="preserve">byli schopni veřejný dluh dramaticky navýšit. </w:t>
      </w:r>
      <w:r w:rsidRPr="00096052">
        <w:rPr>
          <w:lang w:val="cs-CZ"/>
        </w:rPr>
        <w:t>Z tohoto důvodu lze pro ČR</w:t>
      </w:r>
      <w:r w:rsidR="00216831" w:rsidRPr="00096052">
        <w:rPr>
          <w:lang w:val="cs-CZ"/>
        </w:rPr>
        <w:t xml:space="preserve"> usuzovat</w:t>
      </w:r>
      <w:r w:rsidRPr="00096052">
        <w:rPr>
          <w:lang w:val="cs-CZ"/>
        </w:rPr>
        <w:t xml:space="preserve">, že pokud by zadlužení kleslo </w:t>
      </w:r>
      <w:r w:rsidR="00DA2199" w:rsidRPr="00096052">
        <w:rPr>
          <w:lang w:val="cs-CZ"/>
        </w:rPr>
        <w:t>k</w:t>
      </w:r>
      <w:r w:rsidR="00DA2199">
        <w:rPr>
          <w:lang w:val="cs-CZ"/>
        </w:rPr>
        <w:t> </w:t>
      </w:r>
      <w:r w:rsidRPr="00096052">
        <w:rPr>
          <w:lang w:val="cs-CZ"/>
        </w:rPr>
        <w:t xml:space="preserve">37 % HDP, jedná se spíše </w:t>
      </w:r>
      <w:r w:rsidR="00DA2199" w:rsidRPr="00096052">
        <w:rPr>
          <w:lang w:val="cs-CZ"/>
        </w:rPr>
        <w:t>o</w:t>
      </w:r>
      <w:r w:rsidR="00DA2199">
        <w:rPr>
          <w:lang w:val="cs-CZ"/>
        </w:rPr>
        <w:t> </w:t>
      </w:r>
      <w:r w:rsidRPr="00096052">
        <w:rPr>
          <w:lang w:val="cs-CZ"/>
        </w:rPr>
        <w:t>minimální pokles na to, aby bylo možné prohlásit úroveň zadlužení za „bezpečnou“ vzhledem k rizikům daným hospodářskými krizemi či dočasnými externími šoky.</w:t>
      </w:r>
    </w:p>
    <w:p w14:paraId="256F9F33" w14:textId="57D5FECA" w:rsidR="00245CC7" w:rsidRPr="00096052" w:rsidRDefault="00245CC7" w:rsidP="0045534A">
      <w:pPr>
        <w:rPr>
          <w:lang w:val="cs-CZ"/>
        </w:rPr>
      </w:pPr>
      <w:r w:rsidRPr="00096052">
        <w:rPr>
          <w:lang w:val="cs-CZ"/>
        </w:rPr>
        <w:t xml:space="preserve">Optimálním cílovým stavem se tak jeví pokles zadlužení sektoru vládních institucí na hodnoty mezi 25 </w:t>
      </w:r>
      <w:r w:rsidR="00DA2199" w:rsidRPr="00096052">
        <w:rPr>
          <w:lang w:val="cs-CZ"/>
        </w:rPr>
        <w:t>a</w:t>
      </w:r>
      <w:r w:rsidR="00DA2199">
        <w:rPr>
          <w:lang w:val="cs-CZ"/>
        </w:rPr>
        <w:t> </w:t>
      </w:r>
      <w:r w:rsidRPr="00096052">
        <w:rPr>
          <w:lang w:val="cs-CZ"/>
        </w:rPr>
        <w:t>35 % HDP. To by prakticky znamenalo návrat na úrovně před příchodem pandemie.</w:t>
      </w:r>
    </w:p>
    <w:p w14:paraId="463B1D8D" w14:textId="1CFEE3A6" w:rsidR="00245CC7" w:rsidRPr="00096052" w:rsidRDefault="00245CC7" w:rsidP="0045534A">
      <w:pPr>
        <w:pStyle w:val="Nadpis2"/>
        <w:rPr>
          <w:rFonts w:eastAsia="MS Mincho"/>
          <w:lang w:val="cs-CZ"/>
        </w:rPr>
      </w:pPr>
      <w:bookmarkStart w:id="11" w:name="_Toc135651291"/>
      <w:r w:rsidRPr="00096052">
        <w:rPr>
          <w:rFonts w:eastAsia="MS Mincho"/>
          <w:lang w:val="cs-CZ"/>
        </w:rPr>
        <w:t>Zhodnocení rizika</w:t>
      </w:r>
      <w:bookmarkEnd w:id="11"/>
    </w:p>
    <w:p w14:paraId="64E982A3" w14:textId="4C9457A1" w:rsidR="00245CC7" w:rsidRPr="00096052" w:rsidRDefault="00245CC7" w:rsidP="009A766E">
      <w:pPr>
        <w:rPr>
          <w:lang w:val="cs-CZ"/>
        </w:rPr>
      </w:pPr>
      <w:r w:rsidRPr="00096052">
        <w:rPr>
          <w:lang w:val="cs-CZ"/>
        </w:rPr>
        <w:t xml:space="preserve">Za současného stavu fiskálních záležitostí hrozí reálné riziko, že stát nebude schopen v budoucnu plnit </w:t>
      </w:r>
      <w:r w:rsidR="00216831" w:rsidRPr="00096052">
        <w:rPr>
          <w:lang w:val="cs-CZ"/>
        </w:rPr>
        <w:t xml:space="preserve">svoji </w:t>
      </w:r>
      <w:r w:rsidRPr="00096052">
        <w:rPr>
          <w:lang w:val="cs-CZ"/>
        </w:rPr>
        <w:t xml:space="preserve">úlohu v oblasti zajištění přiměřené ochrany ve stáří svým obyvatelům, nebude schopen poskytovat adekvátní zdravotní péči </w:t>
      </w:r>
      <w:r w:rsidR="00DA2199" w:rsidRPr="00096052">
        <w:rPr>
          <w:lang w:val="cs-CZ"/>
        </w:rPr>
        <w:t>a</w:t>
      </w:r>
      <w:r w:rsidR="00DA2199">
        <w:rPr>
          <w:lang w:val="cs-CZ"/>
        </w:rPr>
        <w:t> </w:t>
      </w:r>
      <w:r w:rsidR="00FF33F8">
        <w:rPr>
          <w:lang w:val="cs-CZ"/>
        </w:rPr>
        <w:t>v důsledku snížených</w:t>
      </w:r>
      <w:r w:rsidRPr="00096052">
        <w:rPr>
          <w:lang w:val="cs-CZ"/>
        </w:rPr>
        <w:t xml:space="preserve"> veřejn</w:t>
      </w:r>
      <w:r w:rsidR="00FF33F8">
        <w:rPr>
          <w:lang w:val="cs-CZ"/>
        </w:rPr>
        <w:t>ých</w:t>
      </w:r>
      <w:r w:rsidRPr="00096052">
        <w:rPr>
          <w:lang w:val="cs-CZ"/>
        </w:rPr>
        <w:t xml:space="preserve"> investic bude </w:t>
      </w:r>
      <w:r w:rsidR="00216831" w:rsidRPr="00096052">
        <w:rPr>
          <w:lang w:val="cs-CZ"/>
        </w:rPr>
        <w:t xml:space="preserve">ohrožena </w:t>
      </w:r>
      <w:r w:rsidRPr="00096052">
        <w:rPr>
          <w:lang w:val="cs-CZ"/>
        </w:rPr>
        <w:t>konkurenceschopnost České republiky.</w:t>
      </w:r>
    </w:p>
    <w:p w14:paraId="20633184" w14:textId="2E977B9F" w:rsidR="00245CC7" w:rsidRPr="00096052" w:rsidRDefault="00245CC7" w:rsidP="0045534A">
      <w:pPr>
        <w:pStyle w:val="Nadpis1"/>
        <w:rPr>
          <w:rFonts w:eastAsia="MS Mincho"/>
          <w:lang w:val="cs-CZ"/>
        </w:rPr>
      </w:pPr>
      <w:bookmarkStart w:id="12" w:name="_Toc135651292"/>
      <w:r w:rsidRPr="00096052">
        <w:rPr>
          <w:rFonts w:eastAsia="MS Mincho"/>
          <w:lang w:val="cs-CZ"/>
        </w:rPr>
        <w:t>Návrh variant řešení</w:t>
      </w:r>
      <w:bookmarkEnd w:id="12"/>
    </w:p>
    <w:p w14:paraId="186F5C36" w14:textId="31051643" w:rsidR="00245CC7" w:rsidRPr="00096052" w:rsidRDefault="00245CC7" w:rsidP="0045534A">
      <w:pPr>
        <w:rPr>
          <w:lang w:val="cs-CZ"/>
        </w:rPr>
      </w:pPr>
      <w:r w:rsidRPr="00096052">
        <w:rPr>
          <w:lang w:val="cs-CZ"/>
        </w:rPr>
        <w:t xml:space="preserve">Konsolidace veřejných financí může probíhat skrze vyšší ekonomický růst nebo snižování salda sektoru vládních institucí. Malá otevřená ekonomika nemá moc šancí sama </w:t>
      </w:r>
      <w:r w:rsidR="00DA2199" w:rsidRPr="00096052">
        <w:rPr>
          <w:lang w:val="cs-CZ"/>
        </w:rPr>
        <w:t>o</w:t>
      </w:r>
      <w:r w:rsidR="00DA2199">
        <w:rPr>
          <w:lang w:val="cs-CZ"/>
        </w:rPr>
        <w:t> </w:t>
      </w:r>
      <w:r w:rsidRPr="00096052">
        <w:rPr>
          <w:lang w:val="cs-CZ"/>
        </w:rPr>
        <w:t xml:space="preserve">sobě vyvolat natolik silný hospodářský růst, který by stačil na dostatečně vyšší příjmy, </w:t>
      </w:r>
      <w:r w:rsidR="00216831" w:rsidRPr="00096052">
        <w:rPr>
          <w:lang w:val="cs-CZ"/>
        </w:rPr>
        <w:t xml:space="preserve">jež </w:t>
      </w:r>
      <w:r w:rsidRPr="00096052">
        <w:rPr>
          <w:lang w:val="cs-CZ"/>
        </w:rPr>
        <w:t xml:space="preserve">by vedly ke skutečnému </w:t>
      </w:r>
      <w:r w:rsidR="00DA2199" w:rsidRPr="00096052">
        <w:rPr>
          <w:lang w:val="cs-CZ"/>
        </w:rPr>
        <w:t>a</w:t>
      </w:r>
      <w:r w:rsidR="00DA2199">
        <w:rPr>
          <w:lang w:val="cs-CZ"/>
        </w:rPr>
        <w:t> </w:t>
      </w:r>
      <w:r w:rsidRPr="00096052">
        <w:rPr>
          <w:lang w:val="cs-CZ"/>
        </w:rPr>
        <w:t xml:space="preserve">trvalejšímu poklesu deficitu </w:t>
      </w:r>
      <w:r w:rsidR="00DA2199" w:rsidRPr="00096052">
        <w:rPr>
          <w:lang w:val="cs-CZ"/>
        </w:rPr>
        <w:t>a</w:t>
      </w:r>
      <w:r w:rsidR="00DA2199">
        <w:rPr>
          <w:lang w:val="cs-CZ"/>
        </w:rPr>
        <w:t> </w:t>
      </w:r>
      <w:r w:rsidRPr="00096052">
        <w:rPr>
          <w:lang w:val="cs-CZ"/>
        </w:rPr>
        <w:t xml:space="preserve">zadlužení. Úspěšné konsolidace tohoto typu vyžadují relativně vysoký multiplikátor, který je pravděpodobný ve velkých </w:t>
      </w:r>
      <w:r w:rsidR="00DA2199" w:rsidRPr="00096052">
        <w:rPr>
          <w:lang w:val="cs-CZ"/>
        </w:rPr>
        <w:t>a</w:t>
      </w:r>
      <w:r w:rsidR="00DA2199">
        <w:rPr>
          <w:lang w:val="cs-CZ"/>
        </w:rPr>
        <w:t> </w:t>
      </w:r>
      <w:r w:rsidRPr="00096052">
        <w:rPr>
          <w:lang w:val="cs-CZ"/>
        </w:rPr>
        <w:t xml:space="preserve">poměrně uzavřených ekonomikách (USA, eurozóna jako celek, Japonsko apod.). </w:t>
      </w:r>
    </w:p>
    <w:p w14:paraId="0331537F" w14:textId="78A08437" w:rsidR="00245CC7" w:rsidRPr="00096052" w:rsidRDefault="00DA2199" w:rsidP="0045534A">
      <w:pPr>
        <w:rPr>
          <w:lang w:val="cs-CZ"/>
        </w:rPr>
      </w:pPr>
      <w:r w:rsidRPr="00096052">
        <w:rPr>
          <w:lang w:val="cs-CZ"/>
        </w:rPr>
        <w:t>U</w:t>
      </w:r>
      <w:r>
        <w:rPr>
          <w:lang w:val="cs-CZ"/>
        </w:rPr>
        <w:t> </w:t>
      </w:r>
      <w:r w:rsidR="00245CC7" w:rsidRPr="00096052">
        <w:rPr>
          <w:lang w:val="cs-CZ"/>
        </w:rPr>
        <w:t xml:space="preserve">malých otevřených ekonomik s nižšími multiplikátory se konsolidace bez restriktivních rozpočtových opatření neobejdou. Jsou to zpravidla malé otevřené ekonomiky, kde jsou tyto konsolidace úspěšné, avšak je nutné zmínit, že by se měly co nejvíce vyhýbat </w:t>
      </w:r>
      <w:r w:rsidR="00C83D74">
        <w:rPr>
          <w:noProof/>
          <w:lang w:val="cs-CZ"/>
        </w:rPr>
        <w:t xml:space="preserve">omezení </w:t>
      </w:r>
      <w:r w:rsidR="00245CC7" w:rsidRPr="00D752FA">
        <w:rPr>
          <w:noProof/>
          <w:lang w:val="cs-CZ"/>
        </w:rPr>
        <w:t>veřejných</w:t>
      </w:r>
      <w:r w:rsidR="00245CC7" w:rsidRPr="00096052">
        <w:rPr>
          <w:lang w:val="cs-CZ"/>
        </w:rPr>
        <w:t xml:space="preserve"> investic. Roli </w:t>
      </w:r>
      <w:r w:rsidR="00E97184" w:rsidRPr="00096052">
        <w:rPr>
          <w:lang w:val="cs-CZ"/>
        </w:rPr>
        <w:t xml:space="preserve">pak </w:t>
      </w:r>
      <w:r w:rsidR="00245CC7" w:rsidRPr="00096052">
        <w:rPr>
          <w:lang w:val="cs-CZ"/>
        </w:rPr>
        <w:t>pochopitelně hrají výchozí podmínky (míra zadlužení, vlastní měnová politika apod.), kompozice dané konsolidace (větší důraz</w:t>
      </w:r>
      <w:r w:rsidR="00FF33F8">
        <w:rPr>
          <w:lang w:val="cs-CZ"/>
        </w:rPr>
        <w:t xml:space="preserve"> buď</w:t>
      </w:r>
      <w:r w:rsidR="00245CC7" w:rsidRPr="00096052">
        <w:rPr>
          <w:lang w:val="cs-CZ"/>
        </w:rPr>
        <w:t xml:space="preserve"> na příjmy</w:t>
      </w:r>
      <w:r w:rsidR="00FF33F8">
        <w:rPr>
          <w:lang w:val="cs-CZ"/>
        </w:rPr>
        <w:t>,</w:t>
      </w:r>
      <w:r w:rsidR="00245CC7" w:rsidRPr="00096052">
        <w:rPr>
          <w:lang w:val="cs-CZ"/>
        </w:rPr>
        <w:t xml:space="preserve"> nebo na výdaje), intenzita (velikost ročního fiskálního úsilí), načasování apod. </w:t>
      </w:r>
    </w:p>
    <w:p w14:paraId="165CD461" w14:textId="4FCB793A" w:rsidR="00245CC7" w:rsidRPr="00096052" w:rsidRDefault="00245CC7" w:rsidP="0045534A">
      <w:pPr>
        <w:rPr>
          <w:lang w:val="cs-CZ"/>
        </w:rPr>
      </w:pPr>
      <w:r w:rsidRPr="00096052">
        <w:rPr>
          <w:lang w:val="cs-CZ"/>
        </w:rPr>
        <w:t xml:space="preserve">Konsolidace zaměřená převážně na výdaje má obecně větší šanci uspět, jakkoliv to samozřejmě neplatí univerzálně. Nicméně případů úspěchu převážně výdajových konsolidací je násobně více než převážně příjmových. Roli mohou hrát očekávání subjektů. V případě výdajové konsolidace existuje dobrý důvod se domnívat, že po drobném „šoku“ na poptávku nastane ustálení situace </w:t>
      </w:r>
      <w:r w:rsidR="00DA2199" w:rsidRPr="00096052">
        <w:rPr>
          <w:lang w:val="cs-CZ"/>
        </w:rPr>
        <w:t>a</w:t>
      </w:r>
      <w:r w:rsidR="00DA2199">
        <w:rPr>
          <w:lang w:val="cs-CZ"/>
        </w:rPr>
        <w:t> </w:t>
      </w:r>
      <w:r w:rsidRPr="00096052">
        <w:rPr>
          <w:lang w:val="cs-CZ"/>
        </w:rPr>
        <w:t xml:space="preserve">navíc klesá pravděpodobnost nutnosti v dohledné době zvyšovat daně. Firmy pak mohou reagovat vyššími investicemi, což se skutečně během řady úspěšných konsolidací stalo. Možnost úspěchu </w:t>
      </w:r>
      <w:r w:rsidR="00DA2199" w:rsidRPr="00096052">
        <w:rPr>
          <w:lang w:val="cs-CZ"/>
        </w:rPr>
        <w:t>u</w:t>
      </w:r>
      <w:r w:rsidR="00DA2199">
        <w:rPr>
          <w:lang w:val="cs-CZ"/>
        </w:rPr>
        <w:t> </w:t>
      </w:r>
      <w:r w:rsidRPr="00096052">
        <w:rPr>
          <w:lang w:val="cs-CZ"/>
        </w:rPr>
        <w:t xml:space="preserve">převážně příjmových konsolidací pak zvyšuje </w:t>
      </w:r>
      <w:r w:rsidR="001E7510" w:rsidRPr="00096052">
        <w:rPr>
          <w:lang w:val="cs-CZ"/>
        </w:rPr>
        <w:t xml:space="preserve">výchozí </w:t>
      </w:r>
      <w:r w:rsidRPr="00096052">
        <w:rPr>
          <w:lang w:val="cs-CZ"/>
        </w:rPr>
        <w:t>nízká daňová kvóta.</w:t>
      </w:r>
    </w:p>
    <w:p w14:paraId="024C4B49" w14:textId="6421F093" w:rsidR="00245CC7" w:rsidRPr="00096052" w:rsidRDefault="00245CC7" w:rsidP="0045534A">
      <w:pPr>
        <w:rPr>
          <w:lang w:val="cs-CZ"/>
        </w:rPr>
      </w:pPr>
      <w:r w:rsidRPr="00096052">
        <w:rPr>
          <w:lang w:val="cs-CZ"/>
        </w:rPr>
        <w:t xml:space="preserve">Intenzita by měla být dostatečně vysoká, aby přesvědčila trh </w:t>
      </w:r>
      <w:r w:rsidR="00DA2199" w:rsidRPr="00096052">
        <w:rPr>
          <w:lang w:val="cs-CZ"/>
        </w:rPr>
        <w:t>o</w:t>
      </w:r>
      <w:r w:rsidR="00DA2199">
        <w:rPr>
          <w:lang w:val="cs-CZ"/>
        </w:rPr>
        <w:t> </w:t>
      </w:r>
      <w:r w:rsidRPr="00096052">
        <w:rPr>
          <w:lang w:val="cs-CZ"/>
        </w:rPr>
        <w:t xml:space="preserve">odhodlání vlády s nepříznivým </w:t>
      </w:r>
      <w:r w:rsidRPr="00096052">
        <w:rPr>
          <w:lang w:val="cs-CZ"/>
        </w:rPr>
        <w:lastRenderedPageBreak/>
        <w:t xml:space="preserve">vývojem veřejných financí něco dělat, na druhou stranu by však neměla být přehnaná, aby </w:t>
      </w:r>
      <w:r w:rsidR="008F2D5A">
        <w:rPr>
          <w:noProof/>
          <w:lang w:val="cs-CZ"/>
        </w:rPr>
        <w:t>ne</w:t>
      </w:r>
      <w:r w:rsidRPr="00D752FA">
        <w:rPr>
          <w:noProof/>
          <w:lang w:val="cs-CZ"/>
        </w:rPr>
        <w:t>způsobila</w:t>
      </w:r>
      <w:r w:rsidRPr="00096052">
        <w:rPr>
          <w:lang w:val="cs-CZ"/>
        </w:rPr>
        <w:t xml:space="preserve"> recesi. V případě dobrého načasování by měl ideálně výpadek poptávky být nahrazen soukromými výdaji.</w:t>
      </w:r>
    </w:p>
    <w:p w14:paraId="43F0E2EC" w14:textId="26DD96E9" w:rsidR="00245CC7" w:rsidRPr="00096052" w:rsidRDefault="00245CC7" w:rsidP="0045534A">
      <w:pPr>
        <w:rPr>
          <w:lang w:val="cs-CZ"/>
        </w:rPr>
      </w:pPr>
      <w:r w:rsidRPr="00096052">
        <w:rPr>
          <w:lang w:val="cs-CZ"/>
        </w:rPr>
        <w:t xml:space="preserve">V případě, že malá otevřená ekonomika přistoupí ke konsolidaci v době růstu světové ekonomiky, je mnohem snazší nahradit deficit poptávky vládních institucí čistým exportem </w:t>
      </w:r>
      <w:r w:rsidR="00DA2199" w:rsidRPr="00096052">
        <w:rPr>
          <w:lang w:val="cs-CZ"/>
        </w:rPr>
        <w:t>a</w:t>
      </w:r>
      <w:r w:rsidR="00DA2199">
        <w:rPr>
          <w:lang w:val="cs-CZ"/>
        </w:rPr>
        <w:t> </w:t>
      </w:r>
      <w:r w:rsidRPr="00096052">
        <w:rPr>
          <w:lang w:val="cs-CZ"/>
        </w:rPr>
        <w:t xml:space="preserve">soukromými investicemi. Pokud se s konsolidací operuje v době světové ekonomické recese nebo v době, kdy spoří </w:t>
      </w:r>
      <w:r w:rsidR="00DA2199" w:rsidRPr="00096052">
        <w:rPr>
          <w:lang w:val="cs-CZ"/>
        </w:rPr>
        <w:t>i</w:t>
      </w:r>
      <w:r w:rsidR="00DA2199">
        <w:rPr>
          <w:lang w:val="cs-CZ"/>
        </w:rPr>
        <w:t> </w:t>
      </w:r>
      <w:r w:rsidRPr="00096052">
        <w:rPr>
          <w:lang w:val="cs-CZ"/>
        </w:rPr>
        <w:t>velké ekonomiky, pak je pravděpodobné, že se daná země rovněž nevyhne recesi.</w:t>
      </w:r>
    </w:p>
    <w:p w14:paraId="0B3E4272" w14:textId="3BEAC9B1" w:rsidR="00245CC7" w:rsidRPr="00096052" w:rsidRDefault="00245CC7" w:rsidP="0045534A">
      <w:pPr>
        <w:rPr>
          <w:lang w:val="cs-CZ"/>
        </w:rPr>
      </w:pPr>
      <w:r w:rsidRPr="00096052">
        <w:rPr>
          <w:lang w:val="cs-CZ"/>
        </w:rPr>
        <w:t xml:space="preserve">Aktuální vyhlídky do roku 2024 jsou </w:t>
      </w:r>
      <w:r w:rsidR="00DA2199" w:rsidRPr="00096052">
        <w:rPr>
          <w:lang w:val="cs-CZ"/>
        </w:rPr>
        <w:t>z</w:t>
      </w:r>
      <w:r w:rsidR="00DA2199">
        <w:rPr>
          <w:lang w:val="cs-CZ"/>
        </w:rPr>
        <w:t> </w:t>
      </w:r>
      <w:r w:rsidR="00F70DE5" w:rsidRPr="00096052">
        <w:rPr>
          <w:lang w:val="cs-CZ"/>
        </w:rPr>
        <w:t>dnešního pohledu</w:t>
      </w:r>
      <w:r w:rsidRPr="00096052">
        <w:rPr>
          <w:lang w:val="cs-CZ"/>
        </w:rPr>
        <w:t xml:space="preserve"> příznivé, jakkoliv jsou zatíženy značnou mírou nejistoty. Míra inflace by obecně měla klesat</w:t>
      </w:r>
      <w:r w:rsidR="004771AF" w:rsidRPr="00096052">
        <w:rPr>
          <w:lang w:val="cs-CZ"/>
        </w:rPr>
        <w:t xml:space="preserve"> </w:t>
      </w:r>
      <w:r w:rsidR="00DA2199" w:rsidRPr="00096052">
        <w:rPr>
          <w:lang w:val="cs-CZ"/>
        </w:rPr>
        <w:t>a</w:t>
      </w:r>
      <w:r w:rsidR="00DA2199">
        <w:rPr>
          <w:lang w:val="cs-CZ"/>
        </w:rPr>
        <w:t> </w:t>
      </w:r>
      <w:r w:rsidR="004771AF" w:rsidRPr="00096052">
        <w:rPr>
          <w:lang w:val="cs-CZ"/>
        </w:rPr>
        <w:t xml:space="preserve">vrátit se do </w:t>
      </w:r>
      <w:r w:rsidR="00F2797A" w:rsidRPr="00096052">
        <w:rPr>
          <w:lang w:val="cs-CZ"/>
        </w:rPr>
        <w:t xml:space="preserve">tolerančního pásma </w:t>
      </w:r>
      <w:r w:rsidR="004344C8" w:rsidRPr="00096052">
        <w:rPr>
          <w:lang w:val="cs-CZ"/>
        </w:rPr>
        <w:t>i</w:t>
      </w:r>
      <w:r w:rsidR="00F2797A" w:rsidRPr="00096052">
        <w:rPr>
          <w:lang w:val="cs-CZ"/>
        </w:rPr>
        <w:t>nfla</w:t>
      </w:r>
      <w:r w:rsidR="004344C8" w:rsidRPr="00096052">
        <w:rPr>
          <w:lang w:val="cs-CZ"/>
        </w:rPr>
        <w:t>ční</w:t>
      </w:r>
      <w:r w:rsidR="00F2797A" w:rsidRPr="00096052">
        <w:rPr>
          <w:lang w:val="cs-CZ"/>
        </w:rPr>
        <w:t>ho cíle ČNB</w:t>
      </w:r>
      <w:r w:rsidRPr="00096052">
        <w:rPr>
          <w:lang w:val="cs-CZ"/>
        </w:rPr>
        <w:t xml:space="preserve">, což by mělo vést k postupnému uvolnění měnové politiky </w:t>
      </w:r>
      <w:r w:rsidR="00DA2199" w:rsidRPr="00096052">
        <w:rPr>
          <w:lang w:val="cs-CZ"/>
        </w:rPr>
        <w:t>a</w:t>
      </w:r>
      <w:r w:rsidR="00DA2199">
        <w:rPr>
          <w:lang w:val="cs-CZ"/>
        </w:rPr>
        <w:t> </w:t>
      </w:r>
      <w:r w:rsidRPr="00096052">
        <w:rPr>
          <w:lang w:val="cs-CZ"/>
        </w:rPr>
        <w:t xml:space="preserve">poklesu úrokových sazeb. </w:t>
      </w:r>
      <w:r w:rsidR="001F55F6" w:rsidRPr="00096052">
        <w:rPr>
          <w:lang w:val="cs-CZ"/>
        </w:rPr>
        <w:t xml:space="preserve">Reálné disponibilní příjmy domácností by měly opět začít růst, míra </w:t>
      </w:r>
      <w:r w:rsidR="00096052" w:rsidRPr="00096052">
        <w:rPr>
          <w:lang w:val="cs-CZ"/>
        </w:rPr>
        <w:t>nezaměstnanosti</w:t>
      </w:r>
      <w:r w:rsidR="001F55F6" w:rsidRPr="00096052">
        <w:rPr>
          <w:lang w:val="cs-CZ"/>
        </w:rPr>
        <w:t xml:space="preserve"> by se měla snižovat</w:t>
      </w:r>
      <w:r w:rsidR="007A6103" w:rsidRPr="00096052">
        <w:rPr>
          <w:lang w:val="cs-CZ"/>
        </w:rPr>
        <w:t xml:space="preserve"> </w:t>
      </w:r>
      <w:r w:rsidR="00DA2199" w:rsidRPr="00096052">
        <w:rPr>
          <w:lang w:val="cs-CZ"/>
        </w:rPr>
        <w:t>a</w:t>
      </w:r>
      <w:r w:rsidR="00DA2199">
        <w:rPr>
          <w:lang w:val="cs-CZ"/>
        </w:rPr>
        <w:t> </w:t>
      </w:r>
      <w:r w:rsidR="007A6103" w:rsidRPr="00096052">
        <w:rPr>
          <w:lang w:val="cs-CZ"/>
        </w:rPr>
        <w:t>z</w:t>
      </w:r>
      <w:r w:rsidRPr="00096052">
        <w:rPr>
          <w:lang w:val="cs-CZ"/>
        </w:rPr>
        <w:t xml:space="preserve">áporná produkční mezera </w:t>
      </w:r>
      <w:r w:rsidR="0039163D" w:rsidRPr="00096052">
        <w:rPr>
          <w:lang w:val="cs-CZ"/>
        </w:rPr>
        <w:t>postupně uzavírat</w:t>
      </w:r>
      <w:r w:rsidRPr="00096052">
        <w:rPr>
          <w:lang w:val="cs-CZ"/>
        </w:rPr>
        <w:t xml:space="preserve">. Podobně rok v celosvětovém měřítku vidí </w:t>
      </w:r>
      <w:r w:rsidR="00DA2199" w:rsidRPr="00096052">
        <w:rPr>
          <w:lang w:val="cs-CZ"/>
        </w:rPr>
        <w:t>i</w:t>
      </w:r>
      <w:r w:rsidR="00DA2199">
        <w:rPr>
          <w:lang w:val="cs-CZ"/>
        </w:rPr>
        <w:t> </w:t>
      </w:r>
      <w:r w:rsidRPr="00096052">
        <w:rPr>
          <w:lang w:val="cs-CZ"/>
        </w:rPr>
        <w:t>Mezinárodní měnový fond</w:t>
      </w:r>
      <w:r w:rsidRPr="0045534A">
        <w:rPr>
          <w:rStyle w:val="StylZnakapoznpodarouLatinkaArial"/>
        </w:rPr>
        <w:footnoteReference w:id="10"/>
      </w:r>
      <w:r w:rsidRPr="00096052">
        <w:rPr>
          <w:lang w:val="cs-CZ"/>
        </w:rPr>
        <w:t>, ačkoliv největší otazník z vyspělých ekonomických center visí právě nad eurozónou.</w:t>
      </w:r>
    </w:p>
    <w:p w14:paraId="6E87B733" w14:textId="200D3B87" w:rsidR="00245CC7" w:rsidRPr="00096052" w:rsidRDefault="00245CC7" w:rsidP="0045534A">
      <w:pPr>
        <w:rPr>
          <w:lang w:val="cs-CZ"/>
        </w:rPr>
      </w:pPr>
      <w:r w:rsidRPr="00096052">
        <w:rPr>
          <w:lang w:val="cs-CZ"/>
        </w:rPr>
        <w:t xml:space="preserve">Pro ČR jako malou otevřenou ekonomiku nemá příliš smysl pokoušet se </w:t>
      </w:r>
      <w:r w:rsidR="00DA2199" w:rsidRPr="00096052">
        <w:rPr>
          <w:lang w:val="cs-CZ"/>
        </w:rPr>
        <w:t>o</w:t>
      </w:r>
      <w:r w:rsidR="00DA2199">
        <w:rPr>
          <w:lang w:val="cs-CZ"/>
        </w:rPr>
        <w:t> </w:t>
      </w:r>
      <w:r w:rsidRPr="00096052">
        <w:rPr>
          <w:lang w:val="cs-CZ"/>
        </w:rPr>
        <w:t xml:space="preserve">konsolidaci skrze ekonomický růst. Proto tuto možnost z variant možných řešení fiskální nerovnováhy vylučujeme. </w:t>
      </w:r>
    </w:p>
    <w:p w14:paraId="678C0AAC" w14:textId="29E8E8C8" w:rsidR="00245CC7" w:rsidRPr="00096052" w:rsidRDefault="00245CC7" w:rsidP="0045534A">
      <w:pPr>
        <w:rPr>
          <w:lang w:val="cs-CZ"/>
        </w:rPr>
      </w:pPr>
      <w:r w:rsidRPr="00096052">
        <w:rPr>
          <w:lang w:val="cs-CZ"/>
        </w:rPr>
        <w:t xml:space="preserve">Varianty pro konsolidaci, které tak budeme uvažovat, jsou </w:t>
      </w:r>
      <w:r w:rsidR="00760640">
        <w:rPr>
          <w:noProof/>
          <w:lang w:val="cs-CZ"/>
        </w:rPr>
        <w:t xml:space="preserve">typově </w:t>
      </w:r>
      <w:r w:rsidRPr="00096052">
        <w:rPr>
          <w:lang w:val="cs-CZ"/>
        </w:rPr>
        <w:t xml:space="preserve">fiskální restrikce, které rozdělujeme na „převážně příjmové“ </w:t>
      </w:r>
      <w:r w:rsidR="00DA2199" w:rsidRPr="00096052">
        <w:rPr>
          <w:lang w:val="cs-CZ"/>
        </w:rPr>
        <w:t>a</w:t>
      </w:r>
      <w:r w:rsidR="00DA2199">
        <w:rPr>
          <w:lang w:val="cs-CZ"/>
        </w:rPr>
        <w:t> </w:t>
      </w:r>
      <w:r w:rsidRPr="00096052">
        <w:rPr>
          <w:lang w:val="cs-CZ"/>
        </w:rPr>
        <w:t xml:space="preserve">„převážně výdajové“. Upřesnění „převážně“ je důležité, protože drtivá většina konsolidací veřejných financí neprobíhá jen na jedné straně veřejných rozpočtů, ale jde </w:t>
      </w:r>
      <w:r w:rsidR="00DA2199" w:rsidRPr="00096052">
        <w:rPr>
          <w:lang w:val="cs-CZ"/>
        </w:rPr>
        <w:t>o</w:t>
      </w:r>
      <w:r w:rsidR="00DA2199">
        <w:rPr>
          <w:lang w:val="cs-CZ"/>
        </w:rPr>
        <w:t> </w:t>
      </w:r>
      <w:r w:rsidRPr="00096052">
        <w:rPr>
          <w:lang w:val="cs-CZ"/>
        </w:rPr>
        <w:t xml:space="preserve">kombinaci obou stran. </w:t>
      </w:r>
    </w:p>
    <w:p w14:paraId="02825F1A" w14:textId="1607DF8A" w:rsidR="00245CC7" w:rsidRPr="00096052" w:rsidRDefault="00245CC7" w:rsidP="0045534A">
      <w:pPr>
        <w:rPr>
          <w:lang w:val="cs-CZ"/>
        </w:rPr>
      </w:pPr>
      <w:r w:rsidRPr="00096052">
        <w:rPr>
          <w:lang w:val="cs-CZ"/>
        </w:rPr>
        <w:t xml:space="preserve">Nulová varianta je pak ponechání současných deficitů veřejných financí </w:t>
      </w:r>
      <w:r w:rsidR="00DA2199" w:rsidRPr="00096052">
        <w:rPr>
          <w:lang w:val="cs-CZ"/>
        </w:rPr>
        <w:t>a</w:t>
      </w:r>
      <w:r w:rsidR="00DA2199">
        <w:rPr>
          <w:lang w:val="cs-CZ"/>
        </w:rPr>
        <w:t> </w:t>
      </w:r>
      <w:r w:rsidRPr="00096052">
        <w:rPr>
          <w:lang w:val="cs-CZ"/>
        </w:rPr>
        <w:t xml:space="preserve">jejich neřešení. Tato varianta však sama </w:t>
      </w:r>
      <w:r w:rsidR="00DA2199" w:rsidRPr="00096052">
        <w:rPr>
          <w:lang w:val="cs-CZ"/>
        </w:rPr>
        <w:t>o</w:t>
      </w:r>
      <w:r w:rsidR="00DA2199">
        <w:rPr>
          <w:lang w:val="cs-CZ"/>
        </w:rPr>
        <w:t> </w:t>
      </w:r>
      <w:r w:rsidRPr="00096052">
        <w:rPr>
          <w:lang w:val="cs-CZ"/>
        </w:rPr>
        <w:t xml:space="preserve">sobě vyžaduje akci vlády, ke které by muselo být přistoupeno aspoň na národní úrovni, </w:t>
      </w:r>
      <w:r w:rsidR="00DA2199" w:rsidRPr="00096052">
        <w:rPr>
          <w:lang w:val="cs-CZ"/>
        </w:rPr>
        <w:t>a</w:t>
      </w:r>
      <w:r w:rsidR="00DA2199">
        <w:rPr>
          <w:lang w:val="cs-CZ"/>
        </w:rPr>
        <w:t> </w:t>
      </w:r>
      <w:r w:rsidRPr="00096052">
        <w:rPr>
          <w:lang w:val="cs-CZ"/>
        </w:rPr>
        <w:t>to formálně zrušit (nebo výrazně rozvolnit) fiskální pravidla daná zákonem č.</w:t>
      </w:r>
      <w:r w:rsidR="00740953" w:rsidRPr="00096052">
        <w:rPr>
          <w:lang w:val="cs-CZ"/>
        </w:rPr>
        <w:t> </w:t>
      </w:r>
      <w:r w:rsidRPr="00096052">
        <w:rPr>
          <w:lang w:val="cs-CZ"/>
        </w:rPr>
        <w:t xml:space="preserve">23/2017 Sb., </w:t>
      </w:r>
      <w:r w:rsidR="00DA2199" w:rsidRPr="00096052">
        <w:rPr>
          <w:lang w:val="cs-CZ"/>
        </w:rPr>
        <w:t>o</w:t>
      </w:r>
      <w:r w:rsidR="00DA2199">
        <w:rPr>
          <w:lang w:val="cs-CZ"/>
        </w:rPr>
        <w:t> </w:t>
      </w:r>
      <w:r w:rsidRPr="00096052">
        <w:rPr>
          <w:lang w:val="cs-CZ"/>
        </w:rPr>
        <w:t>pravidlech rozpočtové odpovědnosti.</w:t>
      </w:r>
    </w:p>
    <w:p w14:paraId="5E870A29" w14:textId="77777777" w:rsidR="00245CC7" w:rsidRPr="00096052" w:rsidRDefault="00245CC7" w:rsidP="0045534A">
      <w:pPr>
        <w:rPr>
          <w:lang w:val="cs-CZ"/>
        </w:rPr>
      </w:pPr>
      <w:r w:rsidRPr="00096052">
        <w:rPr>
          <w:lang w:val="cs-CZ"/>
        </w:rPr>
        <w:t>Výčet zvažovaných variant tak zní:</w:t>
      </w:r>
    </w:p>
    <w:p w14:paraId="7D9DBD0E" w14:textId="20EC3BB2" w:rsidR="00245CC7" w:rsidRPr="0045534A" w:rsidRDefault="00245CC7" w:rsidP="0045534A">
      <w:pPr>
        <w:pStyle w:val="Odstavecseseznamem"/>
        <w:numPr>
          <w:ilvl w:val="0"/>
          <w:numId w:val="7"/>
        </w:numPr>
        <w:rPr>
          <w:lang w:val="cs-CZ"/>
        </w:rPr>
      </w:pPr>
      <w:r w:rsidRPr="0045534A">
        <w:rPr>
          <w:lang w:val="cs-CZ"/>
        </w:rPr>
        <w:t xml:space="preserve">Varianta </w:t>
      </w:r>
      <w:r w:rsidR="00DA2199" w:rsidRPr="0045534A">
        <w:rPr>
          <w:lang w:val="cs-CZ"/>
        </w:rPr>
        <w:t>0</w:t>
      </w:r>
      <w:r w:rsidR="00DA2199">
        <w:rPr>
          <w:lang w:val="cs-CZ"/>
        </w:rPr>
        <w:t> </w:t>
      </w:r>
      <w:r w:rsidRPr="0045534A">
        <w:rPr>
          <w:lang w:val="cs-CZ"/>
        </w:rPr>
        <w:t>– vláda neprovede žádnou konsolidaci.</w:t>
      </w:r>
    </w:p>
    <w:p w14:paraId="276AC417" w14:textId="08AEA744" w:rsidR="00245CC7" w:rsidRPr="0045534A" w:rsidRDefault="00245CC7" w:rsidP="0045534A">
      <w:pPr>
        <w:pStyle w:val="Odstavecseseznamem"/>
        <w:numPr>
          <w:ilvl w:val="0"/>
          <w:numId w:val="7"/>
        </w:numPr>
        <w:rPr>
          <w:lang w:val="cs-CZ"/>
        </w:rPr>
      </w:pPr>
      <w:r w:rsidRPr="0045534A">
        <w:rPr>
          <w:lang w:val="cs-CZ"/>
        </w:rPr>
        <w:t xml:space="preserve">Varianta </w:t>
      </w:r>
      <w:r w:rsidR="00DA2199" w:rsidRPr="0045534A">
        <w:rPr>
          <w:lang w:val="cs-CZ"/>
        </w:rPr>
        <w:t>1</w:t>
      </w:r>
      <w:r w:rsidR="00DA2199">
        <w:rPr>
          <w:lang w:val="cs-CZ"/>
        </w:rPr>
        <w:t> </w:t>
      </w:r>
      <w:r w:rsidRPr="0045534A">
        <w:rPr>
          <w:lang w:val="cs-CZ"/>
        </w:rPr>
        <w:t>– vláda provede konsolidaci, která bude více zaměřena na příjmovou stranu státního rozpočtu.</w:t>
      </w:r>
    </w:p>
    <w:p w14:paraId="45F15F87" w14:textId="6BE1A9C7" w:rsidR="00245CC7" w:rsidRPr="0045534A" w:rsidRDefault="00245CC7" w:rsidP="0045534A">
      <w:pPr>
        <w:pStyle w:val="Odstavecseseznamem"/>
        <w:numPr>
          <w:ilvl w:val="0"/>
          <w:numId w:val="7"/>
        </w:numPr>
        <w:rPr>
          <w:lang w:val="cs-CZ"/>
        </w:rPr>
      </w:pPr>
      <w:r w:rsidRPr="0045534A">
        <w:rPr>
          <w:lang w:val="cs-CZ"/>
        </w:rPr>
        <w:t xml:space="preserve">Varianta </w:t>
      </w:r>
      <w:r w:rsidR="00DA2199" w:rsidRPr="0045534A">
        <w:rPr>
          <w:lang w:val="cs-CZ"/>
        </w:rPr>
        <w:t>2</w:t>
      </w:r>
      <w:r w:rsidR="00DA2199">
        <w:rPr>
          <w:lang w:val="cs-CZ"/>
        </w:rPr>
        <w:t> </w:t>
      </w:r>
      <w:r w:rsidRPr="0045534A">
        <w:rPr>
          <w:lang w:val="cs-CZ"/>
        </w:rPr>
        <w:t>– vláda provede konsolidaci, která bude více zaměřena na výdajovou stranu státního rozpočtu.</w:t>
      </w:r>
    </w:p>
    <w:p w14:paraId="5B78C5CD" w14:textId="53D40957" w:rsidR="00245CC7" w:rsidRPr="003C741E" w:rsidRDefault="00245CC7" w:rsidP="0045534A">
      <w:pPr>
        <w:pStyle w:val="Nadpis1"/>
        <w:rPr>
          <w:caps/>
        </w:rPr>
      </w:pPr>
      <w:bookmarkStart w:id="13" w:name="_Toc135651293"/>
      <w:r w:rsidRPr="00096052">
        <w:rPr>
          <w:rFonts w:eastAsia="MS Mincho"/>
          <w:lang w:val="cs-CZ"/>
        </w:rPr>
        <w:t xml:space="preserve">Vyhodnocení nákladů </w:t>
      </w:r>
      <w:r w:rsidR="00DA2199" w:rsidRPr="00096052">
        <w:rPr>
          <w:rFonts w:eastAsia="MS Mincho"/>
          <w:lang w:val="cs-CZ"/>
        </w:rPr>
        <w:t>a</w:t>
      </w:r>
      <w:r w:rsidR="00DA2199">
        <w:rPr>
          <w:rFonts w:eastAsia="MS Mincho"/>
          <w:lang w:val="cs-CZ"/>
        </w:rPr>
        <w:t> </w:t>
      </w:r>
      <w:r w:rsidRPr="00096052">
        <w:rPr>
          <w:rFonts w:eastAsia="MS Mincho"/>
          <w:lang w:val="cs-CZ"/>
        </w:rPr>
        <w:t>přínosů</w:t>
      </w:r>
      <w:bookmarkEnd w:id="13"/>
    </w:p>
    <w:p w14:paraId="4349342C" w14:textId="3FDE5DD0" w:rsidR="00245CC7" w:rsidRPr="00096052" w:rsidRDefault="00245CC7" w:rsidP="0045534A">
      <w:pPr>
        <w:pStyle w:val="Nadpis2"/>
        <w:rPr>
          <w:rFonts w:eastAsia="MS Mincho"/>
          <w:lang w:val="cs-CZ"/>
        </w:rPr>
      </w:pPr>
      <w:bookmarkStart w:id="14" w:name="_Toc135651294"/>
      <w:r w:rsidRPr="00096052">
        <w:rPr>
          <w:rFonts w:eastAsia="MS Mincho"/>
          <w:lang w:val="cs-CZ"/>
        </w:rPr>
        <w:t xml:space="preserve">Identifikace nákladů </w:t>
      </w:r>
      <w:r w:rsidR="00DA2199" w:rsidRPr="00096052">
        <w:rPr>
          <w:rFonts w:eastAsia="MS Mincho"/>
          <w:lang w:val="cs-CZ"/>
        </w:rPr>
        <w:t>a</w:t>
      </w:r>
      <w:r w:rsidR="00DA2199">
        <w:rPr>
          <w:rFonts w:eastAsia="MS Mincho"/>
          <w:lang w:val="cs-CZ"/>
        </w:rPr>
        <w:t> </w:t>
      </w:r>
      <w:r w:rsidRPr="00096052">
        <w:rPr>
          <w:rFonts w:eastAsia="MS Mincho"/>
          <w:lang w:val="cs-CZ"/>
        </w:rPr>
        <w:t>přínosů</w:t>
      </w:r>
      <w:bookmarkEnd w:id="14"/>
    </w:p>
    <w:p w14:paraId="6A6348A2" w14:textId="5C76B897" w:rsidR="00245CC7" w:rsidRPr="002F0D7D" w:rsidRDefault="00245CC7" w:rsidP="00D752FA">
      <w:pPr>
        <w:widowControl/>
        <w:spacing w:line="264" w:lineRule="auto"/>
        <w:rPr>
          <w:rFonts w:eastAsia="MS Mincho"/>
          <w:szCs w:val="24"/>
          <w:lang w:val="cs-CZ"/>
        </w:rPr>
      </w:pPr>
      <w:r w:rsidRPr="002F0D7D">
        <w:rPr>
          <w:rFonts w:eastAsia="MS Mincho"/>
          <w:szCs w:val="24"/>
          <w:lang w:val="cs-CZ"/>
        </w:rPr>
        <w:t xml:space="preserve">Z makroekonomického pohledu lze identifikovat náklady fiskální konsolidace zejména v době jejího průběhu. Naopak přínosy lze pozorovat především po dosažení cílového stavu </w:t>
      </w:r>
      <w:r w:rsidR="00DA2199" w:rsidRPr="002F0D7D">
        <w:rPr>
          <w:rFonts w:eastAsia="MS Mincho"/>
          <w:szCs w:val="24"/>
          <w:lang w:val="cs-CZ"/>
        </w:rPr>
        <w:t>a </w:t>
      </w:r>
      <w:r w:rsidRPr="002F0D7D">
        <w:rPr>
          <w:rFonts w:eastAsia="MS Mincho"/>
          <w:szCs w:val="24"/>
          <w:lang w:val="cs-CZ"/>
        </w:rPr>
        <w:t>ustálení podmínek.</w:t>
      </w:r>
    </w:p>
    <w:p w14:paraId="0B33E9CA" w14:textId="2FEE6931" w:rsidR="00245CC7" w:rsidRPr="00096052" w:rsidRDefault="00245CC7" w:rsidP="0045534A">
      <w:pPr>
        <w:pStyle w:val="Nadpis2"/>
        <w:rPr>
          <w:rFonts w:eastAsia="MS Mincho"/>
          <w:lang w:val="cs-CZ"/>
        </w:rPr>
      </w:pPr>
      <w:bookmarkStart w:id="15" w:name="_Toc135651295"/>
      <w:r w:rsidRPr="00096052">
        <w:rPr>
          <w:rFonts w:eastAsia="MS Mincho"/>
          <w:lang w:val="cs-CZ"/>
        </w:rPr>
        <w:t>Náklady</w:t>
      </w:r>
      <w:bookmarkEnd w:id="15"/>
      <w:r w:rsidRPr="00096052">
        <w:rPr>
          <w:rFonts w:eastAsia="MS Mincho"/>
          <w:lang w:val="cs-CZ"/>
        </w:rPr>
        <w:t xml:space="preserve"> </w:t>
      </w:r>
    </w:p>
    <w:p w14:paraId="619C9D1C" w14:textId="6BA5A125" w:rsidR="00245CC7" w:rsidRPr="00096052" w:rsidRDefault="00245CC7" w:rsidP="0045534A">
      <w:pPr>
        <w:rPr>
          <w:lang w:val="cs-CZ"/>
        </w:rPr>
      </w:pPr>
      <w:r w:rsidRPr="00096052">
        <w:rPr>
          <w:lang w:val="cs-CZ"/>
        </w:rPr>
        <w:t xml:space="preserve">Mezi náklady patří </w:t>
      </w:r>
      <w:r w:rsidR="00122A5A" w:rsidRPr="00096052">
        <w:rPr>
          <w:lang w:val="cs-CZ"/>
        </w:rPr>
        <w:t>zbrzdění</w:t>
      </w:r>
      <w:r w:rsidRPr="00096052">
        <w:rPr>
          <w:lang w:val="cs-CZ"/>
        </w:rPr>
        <w:t xml:space="preserve"> nebo dokonce pokles hospodářského výkonu dané země, růst nezaměstnanosti, negativní sociální dopady, rizika ztráty kredibility </w:t>
      </w:r>
      <w:r w:rsidR="00DA2199" w:rsidRPr="00096052">
        <w:rPr>
          <w:lang w:val="cs-CZ"/>
        </w:rPr>
        <w:t>a</w:t>
      </w:r>
      <w:r w:rsidR="00DA2199">
        <w:rPr>
          <w:lang w:val="cs-CZ"/>
        </w:rPr>
        <w:t> </w:t>
      </w:r>
      <w:r w:rsidRPr="00096052">
        <w:rPr>
          <w:lang w:val="cs-CZ"/>
        </w:rPr>
        <w:t>politického kapitálu (je-</w:t>
      </w:r>
      <w:r w:rsidRPr="00096052">
        <w:rPr>
          <w:lang w:val="cs-CZ"/>
        </w:rPr>
        <w:lastRenderedPageBreak/>
        <w:t xml:space="preserve">li konsolidace špatně komunikována </w:t>
      </w:r>
      <w:r w:rsidR="00DA2199" w:rsidRPr="00096052">
        <w:rPr>
          <w:lang w:val="cs-CZ"/>
        </w:rPr>
        <w:t>a</w:t>
      </w:r>
      <w:r w:rsidR="00DA2199">
        <w:rPr>
          <w:lang w:val="cs-CZ"/>
        </w:rPr>
        <w:t> </w:t>
      </w:r>
      <w:r w:rsidRPr="00096052">
        <w:rPr>
          <w:lang w:val="cs-CZ"/>
        </w:rPr>
        <w:t>ve výsledku neúspěšná).</w:t>
      </w:r>
    </w:p>
    <w:p w14:paraId="5EBBC7B3" w14:textId="536B3A27" w:rsidR="00245CC7" w:rsidRPr="00096052" w:rsidRDefault="00245CC7" w:rsidP="0045534A">
      <w:pPr>
        <w:pStyle w:val="Nadpis2"/>
        <w:rPr>
          <w:rFonts w:eastAsia="MS Mincho"/>
          <w:lang w:val="cs-CZ"/>
        </w:rPr>
      </w:pPr>
      <w:bookmarkStart w:id="16" w:name="_Toc135651296"/>
      <w:r w:rsidRPr="00096052">
        <w:rPr>
          <w:rFonts w:eastAsia="MS Mincho"/>
          <w:lang w:val="cs-CZ"/>
        </w:rPr>
        <w:t>Přínosy</w:t>
      </w:r>
      <w:bookmarkEnd w:id="16"/>
    </w:p>
    <w:p w14:paraId="64E90EDE" w14:textId="54937B3B" w:rsidR="00245CC7" w:rsidRPr="00096052" w:rsidRDefault="00245CC7" w:rsidP="0045534A">
      <w:pPr>
        <w:rPr>
          <w:lang w:val="cs-CZ"/>
        </w:rPr>
      </w:pPr>
      <w:r w:rsidRPr="00096052">
        <w:rPr>
          <w:lang w:val="cs-CZ"/>
        </w:rPr>
        <w:t xml:space="preserve">V případě úspěšné konsolidace se jedná </w:t>
      </w:r>
      <w:r w:rsidR="00DA2199" w:rsidRPr="00096052">
        <w:rPr>
          <w:lang w:val="cs-CZ"/>
        </w:rPr>
        <w:t>o</w:t>
      </w:r>
      <w:r w:rsidR="00DA2199">
        <w:rPr>
          <w:lang w:val="cs-CZ"/>
        </w:rPr>
        <w:t> </w:t>
      </w:r>
      <w:r w:rsidRPr="00096052">
        <w:rPr>
          <w:lang w:val="cs-CZ"/>
        </w:rPr>
        <w:t xml:space="preserve">posílení zdraví veřejných financí, které mohou lépe plnit své funkce (alokační, redistribuční </w:t>
      </w:r>
      <w:r w:rsidR="00DA2199" w:rsidRPr="00096052">
        <w:rPr>
          <w:lang w:val="cs-CZ"/>
        </w:rPr>
        <w:t>a</w:t>
      </w:r>
      <w:r w:rsidR="00DA2199">
        <w:rPr>
          <w:lang w:val="cs-CZ"/>
        </w:rPr>
        <w:t> </w:t>
      </w:r>
      <w:r w:rsidRPr="00096052">
        <w:rPr>
          <w:lang w:val="cs-CZ"/>
        </w:rPr>
        <w:t xml:space="preserve">zejména pak stabilizační), </w:t>
      </w:r>
      <w:r w:rsidR="00DA2199" w:rsidRPr="00096052">
        <w:rPr>
          <w:lang w:val="cs-CZ"/>
        </w:rPr>
        <w:t>a</w:t>
      </w:r>
      <w:r w:rsidR="00DA2199">
        <w:rPr>
          <w:lang w:val="cs-CZ"/>
        </w:rPr>
        <w:t> </w:t>
      </w:r>
      <w:r w:rsidRPr="00096052">
        <w:rPr>
          <w:lang w:val="cs-CZ"/>
        </w:rPr>
        <w:t xml:space="preserve">snížení rizik dlouhodobé udržitelnosti, které posilují pozitivní očekávání veřejnosti. Přínosem je </w:t>
      </w:r>
      <w:r w:rsidR="00DA2199" w:rsidRPr="00096052">
        <w:rPr>
          <w:lang w:val="cs-CZ"/>
        </w:rPr>
        <w:t>i</w:t>
      </w:r>
      <w:r w:rsidR="00DA2199">
        <w:rPr>
          <w:lang w:val="cs-CZ"/>
        </w:rPr>
        <w:t> </w:t>
      </w:r>
      <w:r w:rsidRPr="00096052">
        <w:rPr>
          <w:lang w:val="cs-CZ"/>
        </w:rPr>
        <w:t>možnost komplementárních strukturálních změn, které jsou v čase nezbytné (</w:t>
      </w:r>
      <w:r w:rsidR="00DA2199" w:rsidRPr="00096052">
        <w:rPr>
          <w:lang w:val="cs-CZ"/>
        </w:rPr>
        <w:t>z</w:t>
      </w:r>
      <w:r w:rsidR="00DA2199">
        <w:rPr>
          <w:lang w:val="cs-CZ"/>
        </w:rPr>
        <w:t> </w:t>
      </w:r>
      <w:r w:rsidRPr="00096052">
        <w:rPr>
          <w:lang w:val="cs-CZ"/>
        </w:rPr>
        <w:t>důvodu přirozených proměn institucí).</w:t>
      </w:r>
    </w:p>
    <w:p w14:paraId="12D10C9D" w14:textId="34C0BCD8" w:rsidR="00245CC7" w:rsidRPr="00096052" w:rsidRDefault="00245CC7" w:rsidP="0045534A">
      <w:pPr>
        <w:pStyle w:val="Nadpis2"/>
        <w:rPr>
          <w:rFonts w:eastAsia="MS Mincho"/>
          <w:lang w:val="cs-CZ"/>
        </w:rPr>
      </w:pPr>
      <w:bookmarkStart w:id="17" w:name="_Toc135651297"/>
      <w:r w:rsidRPr="00096052">
        <w:rPr>
          <w:rFonts w:eastAsia="MS Mincho"/>
          <w:lang w:val="cs-CZ"/>
        </w:rPr>
        <w:t xml:space="preserve">Vyhodnocení nákladů </w:t>
      </w:r>
      <w:r w:rsidR="00DA2199" w:rsidRPr="00096052">
        <w:rPr>
          <w:rFonts w:eastAsia="MS Mincho"/>
          <w:lang w:val="cs-CZ"/>
        </w:rPr>
        <w:t>a</w:t>
      </w:r>
      <w:r w:rsidR="00DA2199">
        <w:rPr>
          <w:rFonts w:eastAsia="MS Mincho"/>
          <w:lang w:val="cs-CZ"/>
        </w:rPr>
        <w:t> </w:t>
      </w:r>
      <w:r w:rsidRPr="00096052">
        <w:rPr>
          <w:rFonts w:eastAsia="MS Mincho"/>
          <w:lang w:val="cs-CZ"/>
        </w:rPr>
        <w:t>přínosů variant</w:t>
      </w:r>
      <w:bookmarkEnd w:id="17"/>
    </w:p>
    <w:p w14:paraId="78DDB12F" w14:textId="63EB13B0" w:rsidR="00245CC7" w:rsidRPr="00096052" w:rsidRDefault="00245CC7" w:rsidP="0045534A">
      <w:pPr>
        <w:rPr>
          <w:lang w:val="cs-CZ"/>
        </w:rPr>
      </w:pPr>
      <w:r w:rsidRPr="00096052">
        <w:rPr>
          <w:lang w:val="cs-CZ"/>
        </w:rPr>
        <w:t>Konsolidace veřejných financí je v zásadě investicí vlády do budoucnosti země. Podobně jako jiné investice má své počáteční náklady, které je nutné přinést např. ve formě vyšší daňové zátěže, nižší</w:t>
      </w:r>
      <w:r w:rsidR="00740953" w:rsidRPr="00096052">
        <w:rPr>
          <w:lang w:val="cs-CZ"/>
        </w:rPr>
        <w:t>ch</w:t>
      </w:r>
      <w:r w:rsidRPr="00096052">
        <w:rPr>
          <w:lang w:val="cs-CZ"/>
        </w:rPr>
        <w:t xml:space="preserve"> benefitů z různých sociálních schémat apod. Přínosy se projeví v delším časovém horizontu ve formě nižších úrokových sazeb, vyšší stabilit</w:t>
      </w:r>
      <w:r w:rsidR="00740953" w:rsidRPr="00096052">
        <w:rPr>
          <w:lang w:val="cs-CZ"/>
        </w:rPr>
        <w:t>y</w:t>
      </w:r>
      <w:r w:rsidRPr="00096052">
        <w:rPr>
          <w:lang w:val="cs-CZ"/>
        </w:rPr>
        <w:t xml:space="preserve"> systému </w:t>
      </w:r>
      <w:r w:rsidR="00DA2199" w:rsidRPr="00096052">
        <w:rPr>
          <w:lang w:val="cs-CZ"/>
        </w:rPr>
        <w:t>a</w:t>
      </w:r>
      <w:r w:rsidR="00DA2199">
        <w:rPr>
          <w:lang w:val="cs-CZ"/>
        </w:rPr>
        <w:t> </w:t>
      </w:r>
      <w:r w:rsidRPr="00096052">
        <w:rPr>
          <w:lang w:val="cs-CZ"/>
        </w:rPr>
        <w:t xml:space="preserve">tedy jistoty obyvatel, že stát bude schopen aktivně přijímat nutná </w:t>
      </w:r>
      <w:r w:rsidR="00DA2199" w:rsidRPr="00096052">
        <w:rPr>
          <w:lang w:val="cs-CZ"/>
        </w:rPr>
        <w:t>a</w:t>
      </w:r>
      <w:r w:rsidR="00DA2199">
        <w:rPr>
          <w:lang w:val="cs-CZ"/>
        </w:rPr>
        <w:t> </w:t>
      </w:r>
      <w:r w:rsidRPr="00096052">
        <w:rPr>
          <w:lang w:val="cs-CZ"/>
        </w:rPr>
        <w:t xml:space="preserve">potřebná hospodářsko-politická rozhodnutí, jasné </w:t>
      </w:r>
      <w:r w:rsidR="00DA2199" w:rsidRPr="00096052">
        <w:rPr>
          <w:lang w:val="cs-CZ"/>
        </w:rPr>
        <w:t>a</w:t>
      </w:r>
      <w:r w:rsidR="00DA2199">
        <w:rPr>
          <w:lang w:val="cs-CZ"/>
        </w:rPr>
        <w:t> </w:t>
      </w:r>
      <w:r w:rsidRPr="00096052">
        <w:rPr>
          <w:lang w:val="cs-CZ"/>
        </w:rPr>
        <w:t xml:space="preserve">stabilní podmínky přístupu do sociálních systémů (např. penze, zdravotnictví). Větší stabilita je prostředím podporujícím investiční aktivitu </w:t>
      </w:r>
      <w:r w:rsidR="00DA2199" w:rsidRPr="00096052">
        <w:rPr>
          <w:lang w:val="cs-CZ"/>
        </w:rPr>
        <w:t>a</w:t>
      </w:r>
      <w:r w:rsidR="00DA2199">
        <w:rPr>
          <w:lang w:val="cs-CZ"/>
        </w:rPr>
        <w:t> </w:t>
      </w:r>
      <w:r w:rsidRPr="00096052">
        <w:rPr>
          <w:lang w:val="cs-CZ"/>
        </w:rPr>
        <w:t>budoucí blahobyt obyvatel ČR.</w:t>
      </w:r>
    </w:p>
    <w:p w14:paraId="6BE34338" w14:textId="208C709D" w:rsidR="00245CC7" w:rsidRPr="00096052" w:rsidRDefault="00245CC7" w:rsidP="0045534A">
      <w:pPr>
        <w:rPr>
          <w:lang w:val="cs-CZ"/>
        </w:rPr>
      </w:pPr>
      <w:r w:rsidRPr="00096052">
        <w:rPr>
          <w:lang w:val="cs-CZ"/>
        </w:rPr>
        <w:t xml:space="preserve">Jednou z předních otázek </w:t>
      </w:r>
      <w:r w:rsidR="00DA2199" w:rsidRPr="00096052">
        <w:rPr>
          <w:lang w:val="cs-CZ"/>
        </w:rPr>
        <w:t>u</w:t>
      </w:r>
      <w:r w:rsidR="00DA2199">
        <w:rPr>
          <w:lang w:val="cs-CZ"/>
        </w:rPr>
        <w:t> </w:t>
      </w:r>
      <w:r w:rsidRPr="00096052">
        <w:rPr>
          <w:lang w:val="cs-CZ"/>
        </w:rPr>
        <w:t xml:space="preserve">fiskální konsolidace bývá její dopad na ekonomický růst. Tento vliv nelze popřít, avšak jeho dopad je rozdílný podle variant. Zvýšení daňové zátěže vede nepřímo k poklesu agregátní poptávky skrze nižší disponibilní důchod ekonomických subjektů </w:t>
      </w:r>
      <w:r w:rsidR="00DA2199" w:rsidRPr="00096052">
        <w:rPr>
          <w:lang w:val="cs-CZ"/>
        </w:rPr>
        <w:t>a</w:t>
      </w:r>
      <w:r w:rsidR="00DA2199">
        <w:rPr>
          <w:lang w:val="cs-CZ"/>
        </w:rPr>
        <w:t> </w:t>
      </w:r>
      <w:r w:rsidRPr="00096052">
        <w:rPr>
          <w:lang w:val="cs-CZ"/>
        </w:rPr>
        <w:t xml:space="preserve">následně poklesu soukromé spotřeby </w:t>
      </w:r>
      <w:r w:rsidR="00DA2199" w:rsidRPr="00096052">
        <w:rPr>
          <w:lang w:val="cs-CZ"/>
        </w:rPr>
        <w:t>a</w:t>
      </w:r>
      <w:r w:rsidR="00DA2199">
        <w:rPr>
          <w:lang w:val="cs-CZ"/>
        </w:rPr>
        <w:t> </w:t>
      </w:r>
      <w:r w:rsidRPr="00096052">
        <w:rPr>
          <w:lang w:val="cs-CZ"/>
        </w:rPr>
        <w:t xml:space="preserve">soukromých investic. </w:t>
      </w:r>
      <w:r w:rsidR="00DA2199" w:rsidRPr="00096052">
        <w:rPr>
          <w:lang w:val="cs-CZ"/>
        </w:rPr>
        <w:t>U</w:t>
      </w:r>
      <w:r w:rsidR="00DA2199">
        <w:rPr>
          <w:lang w:val="cs-CZ"/>
        </w:rPr>
        <w:t> </w:t>
      </w:r>
      <w:r w:rsidRPr="00096052">
        <w:rPr>
          <w:lang w:val="cs-CZ"/>
        </w:rPr>
        <w:t xml:space="preserve">snížení výdajů jde </w:t>
      </w:r>
      <w:r w:rsidR="00DA2199" w:rsidRPr="00096052">
        <w:rPr>
          <w:lang w:val="cs-CZ"/>
        </w:rPr>
        <w:t>o</w:t>
      </w:r>
      <w:r w:rsidR="00DA2199">
        <w:rPr>
          <w:lang w:val="cs-CZ"/>
        </w:rPr>
        <w:t> </w:t>
      </w:r>
      <w:r w:rsidRPr="00096052">
        <w:rPr>
          <w:lang w:val="cs-CZ"/>
        </w:rPr>
        <w:t xml:space="preserve">přímý </w:t>
      </w:r>
      <w:r w:rsidR="00DA2199" w:rsidRPr="00096052">
        <w:rPr>
          <w:lang w:val="cs-CZ"/>
        </w:rPr>
        <w:t>i</w:t>
      </w:r>
      <w:r w:rsidR="00DA2199">
        <w:rPr>
          <w:lang w:val="cs-CZ"/>
        </w:rPr>
        <w:t> </w:t>
      </w:r>
      <w:r w:rsidRPr="00096052">
        <w:rPr>
          <w:lang w:val="cs-CZ"/>
        </w:rPr>
        <w:t xml:space="preserve">nepřímý vliv na agregátní poptávku, kdy jednak vláda sama snižuje své nákupy </w:t>
      </w:r>
      <w:r w:rsidR="00DA2199" w:rsidRPr="00096052">
        <w:rPr>
          <w:lang w:val="cs-CZ"/>
        </w:rPr>
        <w:t>a</w:t>
      </w:r>
      <w:r w:rsidR="00DA2199">
        <w:rPr>
          <w:lang w:val="cs-CZ"/>
        </w:rPr>
        <w:t> </w:t>
      </w:r>
      <w:r w:rsidRPr="00096052">
        <w:rPr>
          <w:lang w:val="cs-CZ"/>
        </w:rPr>
        <w:t xml:space="preserve">dále skrze nižší transfery (sociální dávky, dotace) negativně ovlivní soukromé výdaje. Dopady na ekonomický růst se skutečně liší dle kompozice, přičemž negativní dopady na agregátní poptávku jsou z minulých zkušeností výrazně nižší </w:t>
      </w:r>
      <w:r w:rsidR="00DA2199" w:rsidRPr="00096052">
        <w:rPr>
          <w:lang w:val="cs-CZ"/>
        </w:rPr>
        <w:t>u</w:t>
      </w:r>
      <w:r w:rsidR="00DA2199">
        <w:rPr>
          <w:lang w:val="cs-CZ"/>
        </w:rPr>
        <w:t> </w:t>
      </w:r>
      <w:r w:rsidRPr="00096052">
        <w:rPr>
          <w:lang w:val="cs-CZ"/>
        </w:rPr>
        <w:t>konsolidací, které se ve větší míře spoléhají na výdajovou stranu.</w:t>
      </w:r>
      <w:r w:rsidRPr="0045534A">
        <w:rPr>
          <w:rStyle w:val="StylZnakapoznpodarouLatinkaArial"/>
        </w:rPr>
        <w:footnoteReference w:id="11"/>
      </w:r>
    </w:p>
    <w:p w14:paraId="0896B1F5" w14:textId="3F16F764" w:rsidR="00245CC7" w:rsidRPr="00096052" w:rsidRDefault="00245CC7" w:rsidP="0045534A">
      <w:pPr>
        <w:rPr>
          <w:lang w:val="cs-CZ"/>
        </w:rPr>
      </w:pPr>
      <w:r w:rsidRPr="00096052">
        <w:rPr>
          <w:lang w:val="cs-CZ"/>
        </w:rPr>
        <w:t xml:space="preserve">Na druhou stranu, ekonomický růst bude výrazně ovlivněn </w:t>
      </w:r>
      <w:r w:rsidR="00DA2199" w:rsidRPr="00096052">
        <w:rPr>
          <w:lang w:val="cs-CZ"/>
        </w:rPr>
        <w:t>i</w:t>
      </w:r>
      <w:r w:rsidR="00DA2199">
        <w:rPr>
          <w:lang w:val="cs-CZ"/>
        </w:rPr>
        <w:t> </w:t>
      </w:r>
      <w:r w:rsidRPr="00096052">
        <w:rPr>
          <w:lang w:val="cs-CZ"/>
        </w:rPr>
        <w:t xml:space="preserve">při absenci konsolidace. Vyšší úrokové sazby na finančním trhu (zvýrazněné zhoršeným ratingovým hodnocením) prohloubí fiskální problémy </w:t>
      </w:r>
      <w:r w:rsidR="00DA2199" w:rsidRPr="00096052">
        <w:rPr>
          <w:lang w:val="cs-CZ"/>
        </w:rPr>
        <w:t>a</w:t>
      </w:r>
      <w:r w:rsidR="00DA2199">
        <w:rPr>
          <w:lang w:val="cs-CZ"/>
        </w:rPr>
        <w:t> </w:t>
      </w:r>
      <w:r w:rsidRPr="00096052">
        <w:rPr>
          <w:lang w:val="cs-CZ"/>
        </w:rPr>
        <w:t xml:space="preserve">zdraží kapitál </w:t>
      </w:r>
      <w:r w:rsidR="00DA2199" w:rsidRPr="00096052">
        <w:rPr>
          <w:lang w:val="cs-CZ"/>
        </w:rPr>
        <w:t>i</w:t>
      </w:r>
      <w:r w:rsidR="00DA2199">
        <w:rPr>
          <w:lang w:val="cs-CZ"/>
        </w:rPr>
        <w:t> </w:t>
      </w:r>
      <w:r w:rsidRPr="00096052">
        <w:rPr>
          <w:lang w:val="cs-CZ"/>
        </w:rPr>
        <w:t>pro soukromé subjekty.</w:t>
      </w:r>
      <w:r w:rsidRPr="0045534A">
        <w:rPr>
          <w:rStyle w:val="StylZnakapoznpodarouLatinkaArial"/>
        </w:rPr>
        <w:footnoteReference w:id="12"/>
      </w:r>
      <w:r w:rsidRPr="00096052">
        <w:rPr>
          <w:lang w:val="cs-CZ"/>
        </w:rPr>
        <w:t xml:space="preserve"> Dříve nebo později navíc vláda bude muset přistoupit ke konsolidaci, třeba v důsledku soustavného tlaku ze strany evropských orgánů, která však bude muset být mnohem intenzivnější </w:t>
      </w:r>
      <w:r w:rsidR="00DA2199" w:rsidRPr="00096052">
        <w:rPr>
          <w:lang w:val="cs-CZ"/>
        </w:rPr>
        <w:t>a</w:t>
      </w:r>
      <w:r w:rsidR="00DA2199">
        <w:rPr>
          <w:lang w:val="cs-CZ"/>
        </w:rPr>
        <w:t> </w:t>
      </w:r>
      <w:r w:rsidRPr="00096052">
        <w:rPr>
          <w:lang w:val="cs-CZ"/>
        </w:rPr>
        <w:t xml:space="preserve">velmi pravděpodobně </w:t>
      </w:r>
      <w:r w:rsidR="00BD41D0">
        <w:rPr>
          <w:noProof/>
          <w:lang w:val="cs-CZ"/>
        </w:rPr>
        <w:t>by byla</w:t>
      </w:r>
      <w:r w:rsidRPr="00096052">
        <w:rPr>
          <w:lang w:val="cs-CZ"/>
        </w:rPr>
        <w:t xml:space="preserve"> v době hospodářského propadu, kdy se nahromaděné problémy projevují nejintenzivněji. Dopad na ekonomický růst tak bude </w:t>
      </w:r>
      <w:r w:rsidR="00DA2199" w:rsidRPr="00096052">
        <w:rPr>
          <w:lang w:val="cs-CZ"/>
        </w:rPr>
        <w:t>i</w:t>
      </w:r>
      <w:r w:rsidR="00DA2199">
        <w:rPr>
          <w:lang w:val="cs-CZ"/>
        </w:rPr>
        <w:t> </w:t>
      </w:r>
      <w:r w:rsidRPr="00096052">
        <w:rPr>
          <w:lang w:val="cs-CZ"/>
        </w:rPr>
        <w:t>v nulové variantě, jen může přijít později.</w:t>
      </w:r>
    </w:p>
    <w:p w14:paraId="1835CC2A" w14:textId="0442E134" w:rsidR="00245CC7" w:rsidRPr="00096052" w:rsidRDefault="00245CC7" w:rsidP="0045534A">
      <w:pPr>
        <w:rPr>
          <w:lang w:val="cs-CZ"/>
        </w:rPr>
      </w:pPr>
      <w:r w:rsidRPr="00096052">
        <w:rPr>
          <w:lang w:val="cs-CZ"/>
        </w:rPr>
        <w:t xml:space="preserve">Konsolidace by se měla provádět s cílem jejího úspěchu, tedy skutečného projevu v nižších deficitech </w:t>
      </w:r>
      <w:r w:rsidR="00DA2199" w:rsidRPr="00096052">
        <w:rPr>
          <w:lang w:val="cs-CZ"/>
        </w:rPr>
        <w:t>a</w:t>
      </w:r>
      <w:r w:rsidR="00DA2199">
        <w:rPr>
          <w:lang w:val="cs-CZ"/>
        </w:rPr>
        <w:t> </w:t>
      </w:r>
      <w:r w:rsidRPr="00096052">
        <w:rPr>
          <w:lang w:val="cs-CZ"/>
        </w:rPr>
        <w:t xml:space="preserve">zadlužení. Jak je zřejmé z nižších multiplikátorů, pravděpodobnost úspěchu leží spíše na variantě, jež přinese nižší hospodářský propad, tedy na variantě s převažujícími výdaji. Navíc pokud se má saldo státního rozpočtu zlepšit </w:t>
      </w:r>
      <w:r w:rsidR="00DA2199" w:rsidRPr="00096052">
        <w:rPr>
          <w:lang w:val="cs-CZ"/>
        </w:rPr>
        <w:t>o</w:t>
      </w:r>
      <w:r w:rsidR="00DA2199">
        <w:rPr>
          <w:lang w:val="cs-CZ"/>
        </w:rPr>
        <w:t> </w:t>
      </w:r>
      <w:r w:rsidRPr="00096052">
        <w:rPr>
          <w:lang w:val="cs-CZ"/>
        </w:rPr>
        <w:t xml:space="preserve">70 mld. Kč, pak při nižším ekonomickém růstu bude nutné přijmout opatření za více než 70 mld. Kč. </w:t>
      </w:r>
      <w:r w:rsidR="00DA2199" w:rsidRPr="00096052">
        <w:rPr>
          <w:lang w:val="cs-CZ"/>
        </w:rPr>
        <w:t>I</w:t>
      </w:r>
      <w:r w:rsidR="00DA2199">
        <w:rPr>
          <w:lang w:val="cs-CZ"/>
        </w:rPr>
        <w:t> </w:t>
      </w:r>
      <w:r w:rsidRPr="00096052">
        <w:rPr>
          <w:lang w:val="cs-CZ"/>
        </w:rPr>
        <w:t>to snižuje pravděpodobnost úspěchu.</w:t>
      </w:r>
    </w:p>
    <w:p w14:paraId="62E617A9" w14:textId="544F0AB7" w:rsidR="00245CC7" w:rsidRPr="00096052" w:rsidRDefault="00245CC7" w:rsidP="0045534A">
      <w:pPr>
        <w:rPr>
          <w:lang w:val="cs-CZ"/>
        </w:rPr>
      </w:pPr>
      <w:r w:rsidRPr="00096052">
        <w:rPr>
          <w:lang w:val="cs-CZ"/>
        </w:rPr>
        <w:t xml:space="preserve">Konsolidace může být příležitostí ke spojení s řadou strukturálních reforem, přičemž změna daňového mixu je často diskutovaným příkladem. Jiným je revize sociálních výdajů. Pokud vláda bude mít snahu </w:t>
      </w:r>
      <w:r w:rsidR="00DA2199" w:rsidRPr="00096052">
        <w:rPr>
          <w:lang w:val="cs-CZ"/>
        </w:rPr>
        <w:t>o</w:t>
      </w:r>
      <w:r w:rsidR="00DA2199">
        <w:rPr>
          <w:lang w:val="cs-CZ"/>
        </w:rPr>
        <w:t> </w:t>
      </w:r>
      <w:r w:rsidRPr="00096052">
        <w:rPr>
          <w:lang w:val="cs-CZ"/>
        </w:rPr>
        <w:t xml:space="preserve">výběr dodatečných příjmů </w:t>
      </w:r>
      <w:r w:rsidR="00DA2199" w:rsidRPr="00096052">
        <w:rPr>
          <w:lang w:val="cs-CZ"/>
        </w:rPr>
        <w:t>a</w:t>
      </w:r>
      <w:r w:rsidR="00DA2199">
        <w:rPr>
          <w:lang w:val="cs-CZ"/>
        </w:rPr>
        <w:t> </w:t>
      </w:r>
      <w:r w:rsidRPr="00096052">
        <w:rPr>
          <w:lang w:val="cs-CZ"/>
        </w:rPr>
        <w:t xml:space="preserve">začne tím měnit systém veřejných </w:t>
      </w:r>
      <w:r w:rsidRPr="00096052">
        <w:rPr>
          <w:lang w:val="cs-CZ"/>
        </w:rPr>
        <w:lastRenderedPageBreak/>
        <w:t xml:space="preserve">rozpočtů, nabízí se možnost </w:t>
      </w:r>
      <w:r w:rsidR="00DA2199" w:rsidRPr="00096052">
        <w:rPr>
          <w:lang w:val="cs-CZ"/>
        </w:rPr>
        <w:t>i</w:t>
      </w:r>
      <w:r w:rsidR="00DA2199">
        <w:rPr>
          <w:lang w:val="cs-CZ"/>
        </w:rPr>
        <w:t> </w:t>
      </w:r>
      <w:r w:rsidRPr="00096052">
        <w:rPr>
          <w:lang w:val="cs-CZ"/>
        </w:rPr>
        <w:t xml:space="preserve">změny struktury daňových příjmů, aby lépe odpovídal současné situaci. V případě absence konsolidace nebo </w:t>
      </w:r>
      <w:r w:rsidRPr="00D752FA">
        <w:rPr>
          <w:noProof/>
          <w:lang w:val="cs-CZ"/>
        </w:rPr>
        <w:t>konsolidac</w:t>
      </w:r>
      <w:r w:rsidR="00BD41D0">
        <w:rPr>
          <w:noProof/>
          <w:lang w:val="cs-CZ"/>
        </w:rPr>
        <w:t>e</w:t>
      </w:r>
      <w:r w:rsidRPr="00096052">
        <w:rPr>
          <w:lang w:val="cs-CZ"/>
        </w:rPr>
        <w:t xml:space="preserve"> v důsledku krizových podmínek jsou strukturální změny často mimo zájem vlád </w:t>
      </w:r>
      <w:r w:rsidR="00DA2199" w:rsidRPr="00096052">
        <w:rPr>
          <w:lang w:val="cs-CZ"/>
        </w:rPr>
        <w:t>a</w:t>
      </w:r>
      <w:r w:rsidR="00DA2199">
        <w:rPr>
          <w:lang w:val="cs-CZ"/>
        </w:rPr>
        <w:t> </w:t>
      </w:r>
      <w:r w:rsidRPr="00096052">
        <w:rPr>
          <w:lang w:val="cs-CZ"/>
        </w:rPr>
        <w:t>nahrazují je snadno dosažitelné škrty např. v investicích.</w:t>
      </w:r>
    </w:p>
    <w:p w14:paraId="30269546" w14:textId="1A3DC83D" w:rsidR="00245CC7" w:rsidRPr="001741CC" w:rsidRDefault="00245CC7" w:rsidP="0045534A">
      <w:pPr>
        <w:rPr>
          <w:lang w:val="cs-CZ"/>
        </w:rPr>
      </w:pPr>
      <w:r w:rsidRPr="00096052">
        <w:rPr>
          <w:lang w:val="cs-CZ"/>
        </w:rPr>
        <w:t xml:space="preserve">Konsolidace však rovněž nese náklady, ať už mezi aktuálně žijícími generacemi obyvatel, tak mezi generacemi současnými </w:t>
      </w:r>
      <w:r w:rsidR="00DA2199" w:rsidRPr="00096052">
        <w:rPr>
          <w:lang w:val="cs-CZ"/>
        </w:rPr>
        <w:t>a</w:t>
      </w:r>
      <w:r w:rsidR="00DA2199">
        <w:rPr>
          <w:lang w:val="cs-CZ"/>
        </w:rPr>
        <w:t> </w:t>
      </w:r>
      <w:r w:rsidRPr="00096052">
        <w:rPr>
          <w:lang w:val="cs-CZ"/>
        </w:rPr>
        <w:t>budoucími. Převážně daňově zaměřená konsolidace vede k nižším nákladům pro příjemce sociálních dávek včetně seniorů</w:t>
      </w:r>
      <w:r w:rsidR="0086395D">
        <w:rPr>
          <w:lang w:val="cs-CZ"/>
        </w:rPr>
        <w:t xml:space="preserve"> (je-li konsolidace samozřejmě prováděna převážně přes důchodové daně)</w:t>
      </w:r>
      <w:r w:rsidRPr="00096052">
        <w:rPr>
          <w:lang w:val="cs-CZ"/>
        </w:rPr>
        <w:t xml:space="preserve">. Vyšší daně se zřejmě projeví zejména </w:t>
      </w:r>
      <w:r w:rsidR="00DA2199" w:rsidRPr="00096052">
        <w:rPr>
          <w:lang w:val="cs-CZ"/>
        </w:rPr>
        <w:t>u</w:t>
      </w:r>
      <w:r w:rsidR="00DA2199">
        <w:rPr>
          <w:lang w:val="cs-CZ"/>
        </w:rPr>
        <w:t> </w:t>
      </w:r>
      <w:r w:rsidRPr="00096052">
        <w:rPr>
          <w:lang w:val="cs-CZ"/>
        </w:rPr>
        <w:t xml:space="preserve">střední </w:t>
      </w:r>
      <w:r w:rsidR="00DA2199" w:rsidRPr="00096052">
        <w:rPr>
          <w:lang w:val="cs-CZ"/>
        </w:rPr>
        <w:t>a</w:t>
      </w:r>
      <w:r w:rsidR="00DA2199">
        <w:rPr>
          <w:lang w:val="cs-CZ"/>
        </w:rPr>
        <w:t> </w:t>
      </w:r>
      <w:r w:rsidRPr="00096052">
        <w:rPr>
          <w:lang w:val="cs-CZ"/>
        </w:rPr>
        <w:t xml:space="preserve">vyšší třídy nebo podniků. Případné zvyšování daní ze spotřeby, které se projeví v inflaci, má v tomto typu konsolidace větší šanci být kompenzováno valorizací (jakkoliv to na druhou stranu snižuje pravděpodobnost úspěchu celého procesu konsolidace). V případě mezigenerační solidarity je to však odlišné. Vyšší daně pokryjí současnou nerovnováhu, avšak nepovedou k poklesu tlaku na dlouhodobé sociální výdaje, tedy neřeší zvyšující se tlaky ze strany stárnoucí populace. </w:t>
      </w:r>
      <w:r w:rsidR="00FF33F8">
        <w:rPr>
          <w:lang w:val="cs-CZ"/>
        </w:rPr>
        <w:t>Současné v</w:t>
      </w:r>
      <w:r w:rsidRPr="00096052">
        <w:rPr>
          <w:lang w:val="cs-CZ"/>
        </w:rPr>
        <w:t xml:space="preserve">yšší výdaje </w:t>
      </w:r>
      <w:r w:rsidR="00E94F4C">
        <w:rPr>
          <w:noProof/>
          <w:lang w:val="cs-CZ"/>
        </w:rPr>
        <w:t>na</w:t>
      </w:r>
      <w:r w:rsidRPr="00096052">
        <w:rPr>
          <w:lang w:val="cs-CZ"/>
        </w:rPr>
        <w:t xml:space="preserve"> sociální </w:t>
      </w:r>
      <w:r w:rsidRPr="00D752FA">
        <w:rPr>
          <w:noProof/>
          <w:lang w:val="cs-CZ"/>
        </w:rPr>
        <w:t>dáv</w:t>
      </w:r>
      <w:r w:rsidR="00E94F4C">
        <w:rPr>
          <w:noProof/>
          <w:lang w:val="cs-CZ"/>
        </w:rPr>
        <w:t>ky</w:t>
      </w:r>
      <w:r w:rsidRPr="00096052">
        <w:rPr>
          <w:lang w:val="cs-CZ"/>
        </w:rPr>
        <w:t xml:space="preserve"> znamen</w:t>
      </w:r>
      <w:r w:rsidR="005F3B17" w:rsidRPr="00096052">
        <w:rPr>
          <w:lang w:val="cs-CZ"/>
        </w:rPr>
        <w:t>ají</w:t>
      </w:r>
      <w:r w:rsidR="00FF33F8">
        <w:rPr>
          <w:lang w:val="cs-CZ"/>
        </w:rPr>
        <w:t xml:space="preserve"> tlaky na</w:t>
      </w:r>
      <w:r w:rsidRPr="00096052">
        <w:rPr>
          <w:lang w:val="cs-CZ"/>
        </w:rPr>
        <w:t xml:space="preserve"> jejich výraznější redukci v budoucnu, na což při stejné daňové zátěži doplatí budoucí generace. Jakkoliv může být konsolidace </w:t>
      </w:r>
      <w:r w:rsidR="00E94F4C">
        <w:rPr>
          <w:noProof/>
          <w:lang w:val="cs-CZ"/>
        </w:rPr>
        <w:t xml:space="preserve">orientovaná </w:t>
      </w:r>
      <w:r w:rsidRPr="00096052">
        <w:rPr>
          <w:lang w:val="cs-CZ"/>
        </w:rPr>
        <w:t xml:space="preserve">na příjmy šetrnější vůči nízkopříjmovým v dnešním světě, bude mnohem nákladnější vůči budoucím generacím. </w:t>
      </w:r>
      <w:r w:rsidR="00DA2199" w:rsidRPr="00096052">
        <w:rPr>
          <w:lang w:val="cs-CZ"/>
        </w:rPr>
        <w:t>U</w:t>
      </w:r>
      <w:r w:rsidR="00DA2199">
        <w:rPr>
          <w:lang w:val="cs-CZ"/>
        </w:rPr>
        <w:t> </w:t>
      </w:r>
      <w:r w:rsidRPr="00096052">
        <w:rPr>
          <w:lang w:val="cs-CZ"/>
        </w:rPr>
        <w:t>výdajové konsolidace je tomu naopak.</w:t>
      </w:r>
    </w:p>
    <w:p w14:paraId="5B49C8F5" w14:textId="6C48D7B3" w:rsidR="00245CC7" w:rsidRPr="00096052" w:rsidRDefault="00245CC7" w:rsidP="0045534A">
      <w:pPr>
        <w:pStyle w:val="Nadpis1"/>
        <w:rPr>
          <w:rFonts w:eastAsia="MS Mincho"/>
          <w:lang w:val="cs-CZ"/>
        </w:rPr>
      </w:pPr>
      <w:bookmarkStart w:id="18" w:name="_Toc135651298"/>
      <w:r w:rsidRPr="00096052">
        <w:rPr>
          <w:rFonts w:eastAsia="MS Mincho"/>
          <w:lang w:val="cs-CZ"/>
        </w:rPr>
        <w:t xml:space="preserve">Stanovení pořadí variant </w:t>
      </w:r>
      <w:r w:rsidR="00DA2199" w:rsidRPr="00096052">
        <w:rPr>
          <w:rFonts w:eastAsia="MS Mincho"/>
          <w:lang w:val="cs-CZ"/>
        </w:rPr>
        <w:t>a</w:t>
      </w:r>
      <w:r w:rsidR="00DA2199">
        <w:rPr>
          <w:rFonts w:eastAsia="MS Mincho"/>
          <w:lang w:val="cs-CZ"/>
        </w:rPr>
        <w:t> </w:t>
      </w:r>
      <w:r w:rsidRPr="00096052">
        <w:rPr>
          <w:rFonts w:eastAsia="MS Mincho"/>
          <w:lang w:val="cs-CZ"/>
        </w:rPr>
        <w:t>výběr nejvhodnějšího řešení</w:t>
      </w:r>
      <w:bookmarkEnd w:id="18"/>
    </w:p>
    <w:p w14:paraId="38AF480E" w14:textId="628FF257" w:rsidR="00245CC7" w:rsidRPr="00096052" w:rsidRDefault="00245CC7" w:rsidP="0045534A">
      <w:pPr>
        <w:rPr>
          <w:lang w:val="cs-CZ" w:eastAsia="ja-JP"/>
        </w:rPr>
      </w:pPr>
      <w:r w:rsidRPr="00096052">
        <w:rPr>
          <w:lang w:val="cs-CZ" w:eastAsia="ja-JP"/>
        </w:rPr>
        <w:t xml:space="preserve">Varianty jsou ohodnoceny pořadím od nejvhodnější (1) po nejméně výhodnou (3). Nejvíce pozitivní/nejméně negativní předpokládaný dopad je brán jako nejvhodnější </w:t>
      </w:r>
      <w:r w:rsidR="00DA2199" w:rsidRPr="00096052">
        <w:rPr>
          <w:lang w:val="cs-CZ" w:eastAsia="ja-JP"/>
        </w:rPr>
        <w:t>a</w:t>
      </w:r>
      <w:r w:rsidR="00DA2199">
        <w:rPr>
          <w:lang w:val="cs-CZ" w:eastAsia="ja-JP"/>
        </w:rPr>
        <w:t> </w:t>
      </w:r>
      <w:r w:rsidRPr="00096052">
        <w:rPr>
          <w:lang w:val="cs-CZ" w:eastAsia="ja-JP"/>
        </w:rPr>
        <w:t xml:space="preserve">naopak. Jednotlivé pořadí ve všech výše popsaných kritériích je nakonec zprůměrováno </w:t>
      </w:r>
      <w:r w:rsidR="00DA2199" w:rsidRPr="00096052">
        <w:rPr>
          <w:lang w:val="cs-CZ" w:eastAsia="ja-JP"/>
        </w:rPr>
        <w:t>a</w:t>
      </w:r>
      <w:r w:rsidR="00DA2199">
        <w:rPr>
          <w:lang w:val="cs-CZ" w:eastAsia="ja-JP"/>
        </w:rPr>
        <w:t> </w:t>
      </w:r>
      <w:r w:rsidRPr="00096052">
        <w:rPr>
          <w:lang w:val="cs-CZ" w:eastAsia="ja-JP"/>
        </w:rPr>
        <w:t>varianta s nejnižším průměrem je varianta preferovaná.</w:t>
      </w:r>
    </w:p>
    <w:p w14:paraId="376C0DE3" w14:textId="4C23F948" w:rsidR="00245CC7" w:rsidRPr="00096052" w:rsidRDefault="00245CC7" w:rsidP="00D752FA">
      <w:pPr>
        <w:widowControl/>
        <w:rPr>
          <w:rStyle w:val="Siln"/>
          <w:lang w:val="cs-CZ"/>
        </w:rPr>
      </w:pPr>
      <w:r w:rsidRPr="00096052">
        <w:rPr>
          <w:rStyle w:val="Siln"/>
          <w:lang w:val="cs-CZ"/>
        </w:rPr>
        <w:t xml:space="preserve">Tabulka </w:t>
      </w:r>
      <w:r w:rsidR="00122A5A">
        <w:rPr>
          <w:rStyle w:val="Siln"/>
          <w:lang w:val="cs-CZ"/>
        </w:rPr>
        <w:t>5</w:t>
      </w:r>
      <w:r w:rsidRPr="00096052">
        <w:rPr>
          <w:rStyle w:val="Siln"/>
          <w:lang w:val="cs-CZ"/>
        </w:rPr>
        <w:t>: Vyhodnocení variant</w:t>
      </w:r>
    </w:p>
    <w:p w14:paraId="475D9E46" w14:textId="77777777" w:rsidR="00245CC7" w:rsidRPr="00096052" w:rsidRDefault="00245CC7" w:rsidP="009A766E">
      <w:pPr>
        <w:rPr>
          <w:lang w:val="cs-CZ" w:eastAsia="ja-JP"/>
        </w:rPr>
      </w:pPr>
      <w:r w:rsidRPr="00096052">
        <w:rPr>
          <w:noProof/>
          <w:lang w:val="cs-CZ" w:eastAsia="cs-CZ"/>
        </w:rPr>
        <w:drawing>
          <wp:inline distT="0" distB="0" distL="0" distR="0" wp14:anchorId="4E1B5A18" wp14:editId="0A5C3558">
            <wp:extent cx="5080000" cy="1320800"/>
            <wp:effectExtent l="0" t="0" r="0" b="0"/>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1320800"/>
                    </a:xfrm>
                    <a:prstGeom prst="rect">
                      <a:avLst/>
                    </a:prstGeom>
                    <a:noFill/>
                    <a:ln>
                      <a:noFill/>
                    </a:ln>
                  </pic:spPr>
                </pic:pic>
              </a:graphicData>
            </a:graphic>
          </wp:inline>
        </w:drawing>
      </w:r>
    </w:p>
    <w:p w14:paraId="6D8DB0FA" w14:textId="54DE820F" w:rsidR="00245CC7" w:rsidRPr="00096052" w:rsidRDefault="00245CC7" w:rsidP="0045534A">
      <w:pPr>
        <w:rPr>
          <w:lang w:val="cs-CZ" w:eastAsia="ja-JP"/>
        </w:rPr>
      </w:pPr>
      <w:r w:rsidRPr="00096052">
        <w:rPr>
          <w:lang w:val="cs-CZ" w:eastAsia="ja-JP"/>
        </w:rPr>
        <w:t xml:space="preserve">Nejvhodnější variantou se jeví varianta </w:t>
      </w:r>
      <w:r w:rsidR="00DA2199" w:rsidRPr="00096052">
        <w:rPr>
          <w:lang w:val="cs-CZ" w:eastAsia="ja-JP"/>
        </w:rPr>
        <w:t>č.</w:t>
      </w:r>
      <w:r w:rsidR="00DA2199">
        <w:rPr>
          <w:lang w:val="cs-CZ" w:eastAsia="ja-JP"/>
        </w:rPr>
        <w:t> </w:t>
      </w:r>
      <w:r w:rsidRPr="00096052">
        <w:rPr>
          <w:lang w:val="cs-CZ" w:eastAsia="ja-JP"/>
        </w:rPr>
        <w:t xml:space="preserve">2, tedy provedení konsolidace zaměřené převážně na výdaje, která má dle literatury věnující se konsolidacím nejmenší šanci poškodit růst (dokonce je řada případů, kdy ho dokonce ani v době konsolidace nepoškodily, </w:t>
      </w:r>
      <w:r w:rsidR="006F1F8A">
        <w:rPr>
          <w:lang w:val="cs-CZ" w:eastAsia="ja-JP"/>
        </w:rPr>
        <w:t>vzhledem k </w:t>
      </w:r>
      <w:r w:rsidRPr="00096052">
        <w:rPr>
          <w:lang w:val="cs-CZ" w:eastAsia="ja-JP"/>
        </w:rPr>
        <w:t>multiplikátor</w:t>
      </w:r>
      <w:r w:rsidR="006F1F8A">
        <w:rPr>
          <w:lang w:val="cs-CZ" w:eastAsia="ja-JP"/>
        </w:rPr>
        <w:t>u</w:t>
      </w:r>
      <w:r w:rsidRPr="00096052">
        <w:rPr>
          <w:lang w:val="cs-CZ" w:eastAsia="ja-JP"/>
        </w:rPr>
        <w:t xml:space="preserve"> </w:t>
      </w:r>
      <w:r w:rsidR="006F1F8A">
        <w:rPr>
          <w:lang w:val="cs-CZ" w:eastAsia="ja-JP"/>
        </w:rPr>
        <w:t>blížícím se</w:t>
      </w:r>
      <w:r w:rsidRPr="00096052">
        <w:rPr>
          <w:lang w:val="cs-CZ" w:eastAsia="ja-JP"/>
        </w:rPr>
        <w:t xml:space="preserve"> nule). Varianta </w:t>
      </w:r>
      <w:r w:rsidR="00DA2199" w:rsidRPr="00096052">
        <w:rPr>
          <w:lang w:val="cs-CZ" w:eastAsia="ja-JP"/>
        </w:rPr>
        <w:t>2</w:t>
      </w:r>
      <w:r w:rsidR="00DA2199">
        <w:rPr>
          <w:lang w:val="cs-CZ" w:eastAsia="ja-JP"/>
        </w:rPr>
        <w:t> </w:t>
      </w:r>
      <w:r w:rsidRPr="00096052">
        <w:rPr>
          <w:lang w:val="cs-CZ" w:eastAsia="ja-JP"/>
        </w:rPr>
        <w:t>má obecně nejvyšší šanci na úspěch, neboť z historických srovnání mají větší míru úspěšnosti zřetelně více případy konsolidací zaměřené na výdaje.</w:t>
      </w:r>
      <w:r w:rsidRPr="0045534A">
        <w:rPr>
          <w:rStyle w:val="StylZnakapoznpodarouLatinkaArial"/>
        </w:rPr>
        <w:footnoteReference w:id="13"/>
      </w:r>
      <w:r w:rsidRPr="00096052">
        <w:rPr>
          <w:lang w:val="cs-CZ" w:eastAsia="ja-JP"/>
        </w:rPr>
        <w:t xml:space="preserve"> Možnost změn ve struktuře je srovnatelná </w:t>
      </w:r>
      <w:r w:rsidR="00DA2199" w:rsidRPr="00096052">
        <w:rPr>
          <w:lang w:val="cs-CZ" w:eastAsia="ja-JP"/>
        </w:rPr>
        <w:t>u</w:t>
      </w:r>
      <w:r w:rsidR="00DA2199">
        <w:rPr>
          <w:lang w:val="cs-CZ" w:eastAsia="ja-JP"/>
        </w:rPr>
        <w:t> </w:t>
      </w:r>
      <w:r w:rsidRPr="00096052">
        <w:rPr>
          <w:lang w:val="cs-CZ" w:eastAsia="ja-JP"/>
        </w:rPr>
        <w:t xml:space="preserve">obou typů konsolidací za předpokladu, že se týkají obou stran rozpočtu (tedy jde </w:t>
      </w:r>
      <w:r w:rsidR="00DA2199" w:rsidRPr="00096052">
        <w:rPr>
          <w:lang w:val="cs-CZ" w:eastAsia="ja-JP"/>
        </w:rPr>
        <w:t>o</w:t>
      </w:r>
      <w:r w:rsidR="00DA2199">
        <w:rPr>
          <w:lang w:val="cs-CZ" w:eastAsia="ja-JP"/>
        </w:rPr>
        <w:t> </w:t>
      </w:r>
      <w:r w:rsidRPr="00096052">
        <w:rPr>
          <w:lang w:val="cs-CZ" w:eastAsia="ja-JP"/>
        </w:rPr>
        <w:t xml:space="preserve">převážně výdajové/příjmové, nikoliv </w:t>
      </w:r>
      <w:r w:rsidR="00DA2199" w:rsidRPr="00096052">
        <w:rPr>
          <w:lang w:val="cs-CZ" w:eastAsia="ja-JP"/>
        </w:rPr>
        <w:t>o</w:t>
      </w:r>
      <w:r w:rsidR="00DA2199">
        <w:rPr>
          <w:lang w:val="cs-CZ" w:eastAsia="ja-JP"/>
        </w:rPr>
        <w:t> </w:t>
      </w:r>
      <w:r w:rsidRPr="00096052">
        <w:rPr>
          <w:lang w:val="cs-CZ" w:eastAsia="ja-JP"/>
        </w:rPr>
        <w:t>výhradně výdajové/příjmové). Větší důraz na daně má z principu menší dopad na nízkopříjmové než změny na výdajové straně</w:t>
      </w:r>
      <w:r w:rsidRPr="0045534A">
        <w:rPr>
          <w:rStyle w:val="StylZnakapoznpodarouLatinkaArial"/>
        </w:rPr>
        <w:footnoteReference w:id="14"/>
      </w:r>
      <w:r w:rsidRPr="00096052">
        <w:rPr>
          <w:lang w:val="cs-CZ" w:eastAsia="ja-JP"/>
        </w:rPr>
        <w:t xml:space="preserve">, nicméně jen rozsáhlejší změny na výdajové straně mají potenciál </w:t>
      </w:r>
      <w:r w:rsidRPr="00096052">
        <w:rPr>
          <w:lang w:val="cs-CZ" w:eastAsia="ja-JP"/>
        </w:rPr>
        <w:lastRenderedPageBreak/>
        <w:t>zajistit dlouhodobou udržitelnost veřejných financí.</w:t>
      </w:r>
    </w:p>
    <w:p w14:paraId="6FCB66F2" w14:textId="577F3C78" w:rsidR="00245CC7" w:rsidRPr="00096052" w:rsidRDefault="00245CC7" w:rsidP="0045534A">
      <w:pPr>
        <w:rPr>
          <w:lang w:val="cs-CZ" w:eastAsia="ja-JP"/>
        </w:rPr>
      </w:pPr>
      <w:r w:rsidRPr="00096052">
        <w:rPr>
          <w:lang w:val="cs-CZ" w:eastAsia="ja-JP"/>
        </w:rPr>
        <w:t xml:space="preserve">ČR je země s relativně nízkou daňovou zátěží. Daňová kvóta (tedy podíl příjmů z daní </w:t>
      </w:r>
      <w:r w:rsidR="00DA2199" w:rsidRPr="00096052">
        <w:rPr>
          <w:lang w:val="cs-CZ" w:eastAsia="ja-JP"/>
        </w:rPr>
        <w:t>a</w:t>
      </w:r>
      <w:r w:rsidR="00DA2199">
        <w:rPr>
          <w:lang w:val="cs-CZ" w:eastAsia="ja-JP"/>
        </w:rPr>
        <w:t> </w:t>
      </w:r>
      <w:r w:rsidRPr="00096052">
        <w:rPr>
          <w:lang w:val="cs-CZ" w:eastAsia="ja-JP"/>
        </w:rPr>
        <w:t xml:space="preserve">sociálních odvodů na HDP) v ČR dosahovala v roce 2021 hodnoty 36 %, zatímco průměr EU byl necelých 42 %. V roce 2022 podle předběžných odhadů daňová kvóta v ČR dále klesla zhruba </w:t>
      </w:r>
      <w:r w:rsidR="00DA2199" w:rsidRPr="00096052">
        <w:rPr>
          <w:lang w:val="cs-CZ" w:eastAsia="ja-JP"/>
        </w:rPr>
        <w:t>o</w:t>
      </w:r>
      <w:r w:rsidR="00DA2199">
        <w:rPr>
          <w:lang w:val="cs-CZ" w:eastAsia="ja-JP"/>
        </w:rPr>
        <w:t> </w:t>
      </w:r>
      <w:r w:rsidR="00DA2199" w:rsidRPr="00096052">
        <w:rPr>
          <w:lang w:val="cs-CZ" w:eastAsia="ja-JP"/>
        </w:rPr>
        <w:t>1</w:t>
      </w:r>
      <w:r w:rsidR="00DA2199">
        <w:rPr>
          <w:lang w:val="cs-CZ" w:eastAsia="ja-JP"/>
        </w:rPr>
        <w:t> </w:t>
      </w:r>
      <w:r w:rsidRPr="00096052">
        <w:rPr>
          <w:lang w:val="cs-CZ" w:eastAsia="ja-JP"/>
        </w:rPr>
        <w:t xml:space="preserve">procentní bod. Je proto zcela možné, aby vláda ČR provedla konsolidaci, která se bude spoléhat sice ve větší míře na snižování výdajů, ale součástí mixu mohou být </w:t>
      </w:r>
      <w:r w:rsidR="00DA2199" w:rsidRPr="00096052">
        <w:rPr>
          <w:lang w:val="cs-CZ" w:eastAsia="ja-JP"/>
        </w:rPr>
        <w:t>i</w:t>
      </w:r>
      <w:r w:rsidR="00DA2199">
        <w:rPr>
          <w:lang w:val="cs-CZ" w:eastAsia="ja-JP"/>
        </w:rPr>
        <w:t> </w:t>
      </w:r>
      <w:r w:rsidRPr="00096052">
        <w:rPr>
          <w:lang w:val="cs-CZ" w:eastAsia="ja-JP"/>
        </w:rPr>
        <w:t>zvýšené příjmy, aniž by to nutně ohrožovalo pravděpodobnost úspěchu.</w:t>
      </w:r>
      <w:r w:rsidRPr="0045534A">
        <w:rPr>
          <w:rStyle w:val="StylZnakapoznpodarouLatinkaArial"/>
        </w:rPr>
        <w:footnoteReference w:id="15"/>
      </w:r>
    </w:p>
    <w:p w14:paraId="69394321" w14:textId="4303B152" w:rsidR="00245CC7" w:rsidRPr="00096052" w:rsidRDefault="00245CC7" w:rsidP="0045534A">
      <w:pPr>
        <w:rPr>
          <w:lang w:val="cs-CZ" w:eastAsia="ja-JP"/>
        </w:rPr>
      </w:pPr>
      <w:r w:rsidRPr="00096052">
        <w:rPr>
          <w:lang w:val="cs-CZ" w:eastAsia="ja-JP"/>
        </w:rPr>
        <w:t>Navrhovaný poměr konsolidace v poměru 1:</w:t>
      </w:r>
      <w:r w:rsidR="00DA2199" w:rsidRPr="00096052">
        <w:rPr>
          <w:lang w:val="cs-CZ" w:eastAsia="ja-JP"/>
        </w:rPr>
        <w:t>2</w:t>
      </w:r>
      <w:r w:rsidR="00DA2199">
        <w:rPr>
          <w:lang w:val="cs-CZ" w:eastAsia="ja-JP"/>
        </w:rPr>
        <w:t> </w:t>
      </w:r>
      <w:r w:rsidRPr="00096052">
        <w:rPr>
          <w:lang w:val="cs-CZ" w:eastAsia="ja-JP"/>
        </w:rPr>
        <w:t xml:space="preserve">ve prospěch snížených výdajů se zdá být pro ČR naprosto optimální, což potvrzují </w:t>
      </w:r>
      <w:r w:rsidR="00DA2199" w:rsidRPr="00096052">
        <w:rPr>
          <w:lang w:val="cs-CZ" w:eastAsia="ja-JP"/>
        </w:rPr>
        <w:t>i</w:t>
      </w:r>
      <w:r w:rsidR="00DA2199">
        <w:rPr>
          <w:lang w:val="cs-CZ" w:eastAsia="ja-JP"/>
        </w:rPr>
        <w:t> </w:t>
      </w:r>
      <w:r w:rsidRPr="00096052">
        <w:rPr>
          <w:lang w:val="cs-CZ" w:eastAsia="ja-JP"/>
        </w:rPr>
        <w:t>závěry z ekonomické literatury věnující se dané problematice.</w:t>
      </w:r>
      <w:r w:rsidRPr="0045534A">
        <w:rPr>
          <w:rStyle w:val="StylZnakapoznpodarouLatinkaArial"/>
        </w:rPr>
        <w:footnoteReference w:id="16"/>
      </w:r>
    </w:p>
    <w:p w14:paraId="44DE74BB" w14:textId="77777777" w:rsidR="00245CC7" w:rsidRPr="00096052" w:rsidRDefault="00245CC7" w:rsidP="00D752FA">
      <w:pPr>
        <w:widowControl/>
        <w:rPr>
          <w:rStyle w:val="Siln"/>
          <w:lang w:val="cs-CZ"/>
        </w:rPr>
      </w:pPr>
      <w:r w:rsidRPr="00096052">
        <w:rPr>
          <w:rStyle w:val="Siln"/>
          <w:lang w:val="cs-CZ"/>
        </w:rPr>
        <w:t>Obrázek 2: Daňová zátěž v zemích EU</w:t>
      </w:r>
      <w:r w:rsidR="0031136C" w:rsidRPr="00096052">
        <w:rPr>
          <w:rStyle w:val="Siln"/>
          <w:lang w:val="cs-CZ"/>
        </w:rPr>
        <w:t xml:space="preserve"> (rok 2021)</w:t>
      </w:r>
    </w:p>
    <w:p w14:paraId="2530FB15" w14:textId="77777777" w:rsidR="0031136C" w:rsidRPr="00096052" w:rsidRDefault="0031136C" w:rsidP="00D752FA">
      <w:pPr>
        <w:widowControl/>
        <w:rPr>
          <w:rStyle w:val="Siln"/>
          <w:b w:val="0"/>
          <w:i/>
          <w:sz w:val="18"/>
          <w:szCs w:val="18"/>
          <w:lang w:val="cs-CZ"/>
        </w:rPr>
      </w:pPr>
      <w:r w:rsidRPr="00096052">
        <w:rPr>
          <w:rStyle w:val="Siln"/>
          <w:b w:val="0"/>
          <w:i/>
          <w:sz w:val="18"/>
          <w:szCs w:val="18"/>
          <w:lang w:val="cs-CZ"/>
        </w:rPr>
        <w:t>% HDP</w:t>
      </w:r>
    </w:p>
    <w:p w14:paraId="631D239A" w14:textId="77777777" w:rsidR="00245CC7" w:rsidRPr="00096052" w:rsidRDefault="0031136C" w:rsidP="009A766E">
      <w:pPr>
        <w:rPr>
          <w:lang w:val="cs-CZ" w:eastAsia="ja-JP"/>
        </w:rPr>
      </w:pPr>
      <w:r w:rsidRPr="00096052">
        <w:rPr>
          <w:noProof/>
          <w:lang w:val="cs-CZ" w:eastAsia="cs-CZ"/>
        </w:rPr>
        <w:drawing>
          <wp:inline distT="0" distB="0" distL="0" distR="0" wp14:anchorId="0E7736A8" wp14:editId="0E787BAA">
            <wp:extent cx="5760720" cy="215579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155797"/>
                    </a:xfrm>
                    <a:prstGeom prst="rect">
                      <a:avLst/>
                    </a:prstGeom>
                    <a:noFill/>
                    <a:ln>
                      <a:noFill/>
                    </a:ln>
                  </pic:spPr>
                </pic:pic>
              </a:graphicData>
            </a:graphic>
          </wp:inline>
        </w:drawing>
      </w:r>
    </w:p>
    <w:p w14:paraId="6FEBB604" w14:textId="77777777" w:rsidR="00245CC7" w:rsidRPr="001741CC" w:rsidRDefault="00245CC7" w:rsidP="00D752FA">
      <w:pPr>
        <w:widowControl/>
        <w:tabs>
          <w:tab w:val="left" w:pos="817"/>
        </w:tabs>
        <w:spacing w:before="120" w:line="264" w:lineRule="auto"/>
        <w:rPr>
          <w:rStyle w:val="Zdraznnjemn"/>
          <w:lang w:val="cs-CZ"/>
        </w:rPr>
      </w:pPr>
      <w:r w:rsidRPr="00096052">
        <w:rPr>
          <w:rStyle w:val="Zdraznnjemn"/>
          <w:lang w:val="cs-CZ" w:eastAsia="ja-JP"/>
        </w:rPr>
        <w:t xml:space="preserve">Zdroj: Eurostat </w:t>
      </w:r>
    </w:p>
    <w:p w14:paraId="40B2A6F2" w14:textId="565A4EAE" w:rsidR="00245CC7" w:rsidRPr="00096052" w:rsidRDefault="00245CC7" w:rsidP="0045534A">
      <w:pPr>
        <w:pStyle w:val="Nadpis1"/>
        <w:rPr>
          <w:rFonts w:eastAsia="MS Mincho"/>
          <w:lang w:val="cs-CZ"/>
        </w:rPr>
      </w:pPr>
      <w:bookmarkStart w:id="19" w:name="_Toc135651299"/>
      <w:r w:rsidRPr="00096052">
        <w:rPr>
          <w:rFonts w:eastAsia="MS Mincho"/>
          <w:lang w:val="cs-CZ"/>
        </w:rPr>
        <w:t xml:space="preserve">Implementace doporučené varianty </w:t>
      </w:r>
      <w:r w:rsidR="00DA2199" w:rsidRPr="00096052">
        <w:rPr>
          <w:rFonts w:eastAsia="MS Mincho"/>
          <w:lang w:val="cs-CZ"/>
        </w:rPr>
        <w:t>a</w:t>
      </w:r>
      <w:r w:rsidR="00DA2199">
        <w:rPr>
          <w:rFonts w:eastAsia="MS Mincho"/>
          <w:lang w:val="cs-CZ"/>
        </w:rPr>
        <w:t> </w:t>
      </w:r>
      <w:r w:rsidRPr="00096052">
        <w:rPr>
          <w:rFonts w:eastAsia="MS Mincho"/>
          <w:lang w:val="cs-CZ"/>
        </w:rPr>
        <w:t>vynucování</w:t>
      </w:r>
      <w:bookmarkEnd w:id="19"/>
    </w:p>
    <w:p w14:paraId="20BB768C" w14:textId="4ECA759E" w:rsidR="00245CC7" w:rsidRPr="001741CC" w:rsidRDefault="005F3B17" w:rsidP="0045534A">
      <w:pPr>
        <w:rPr>
          <w:lang w:val="cs-CZ"/>
        </w:rPr>
      </w:pPr>
      <w:r w:rsidRPr="00096052">
        <w:rPr>
          <w:lang w:val="cs-CZ" w:eastAsia="ja-JP"/>
        </w:rPr>
        <w:t>Za i</w:t>
      </w:r>
      <w:r w:rsidR="00245CC7" w:rsidRPr="00096052">
        <w:rPr>
          <w:lang w:val="cs-CZ" w:eastAsia="ja-JP"/>
        </w:rPr>
        <w:t>mplementac</w:t>
      </w:r>
      <w:r w:rsidRPr="00096052">
        <w:rPr>
          <w:lang w:val="cs-CZ" w:eastAsia="ja-JP"/>
        </w:rPr>
        <w:t>i</w:t>
      </w:r>
      <w:r w:rsidR="00245CC7" w:rsidRPr="00096052">
        <w:rPr>
          <w:lang w:val="cs-CZ" w:eastAsia="ja-JP"/>
        </w:rPr>
        <w:t xml:space="preserve"> konsolidační strategie, která bude vycházet z optimální varianty zaměřené převážně na výdajovou stranu, odpovídá vláda. Ta by se měla v rámci všech stran koalice shodnout na konkrétních opatřeních </w:t>
      </w:r>
      <w:r w:rsidR="00DA2199" w:rsidRPr="00096052">
        <w:rPr>
          <w:lang w:val="cs-CZ" w:eastAsia="ja-JP"/>
        </w:rPr>
        <w:t>a</w:t>
      </w:r>
      <w:r w:rsidR="00DA2199">
        <w:rPr>
          <w:lang w:val="cs-CZ" w:eastAsia="ja-JP"/>
        </w:rPr>
        <w:t> </w:t>
      </w:r>
      <w:r w:rsidR="00245CC7" w:rsidRPr="00096052">
        <w:rPr>
          <w:lang w:val="cs-CZ" w:eastAsia="ja-JP"/>
        </w:rPr>
        <w:t xml:space="preserve">následně je ve formě tohoto navrhovaného zákona schválit </w:t>
      </w:r>
      <w:r w:rsidR="00DA2199" w:rsidRPr="00096052">
        <w:rPr>
          <w:lang w:val="cs-CZ" w:eastAsia="ja-JP"/>
        </w:rPr>
        <w:t>v</w:t>
      </w:r>
      <w:r w:rsidR="00DA2199">
        <w:rPr>
          <w:lang w:val="cs-CZ" w:eastAsia="ja-JP"/>
        </w:rPr>
        <w:t> </w:t>
      </w:r>
      <w:r w:rsidR="00245CC7" w:rsidRPr="00096052">
        <w:rPr>
          <w:lang w:val="cs-CZ" w:eastAsia="ja-JP"/>
        </w:rPr>
        <w:t xml:space="preserve">Parlamentu ČR. Jednotlivá opatření pak budou realizována příslušnými kapitolami státního rozpočtu </w:t>
      </w:r>
      <w:r w:rsidR="00DA2199" w:rsidRPr="00096052">
        <w:rPr>
          <w:lang w:val="cs-CZ" w:eastAsia="ja-JP"/>
        </w:rPr>
        <w:t>a</w:t>
      </w:r>
      <w:r w:rsidR="00DA2199">
        <w:rPr>
          <w:lang w:val="cs-CZ" w:eastAsia="ja-JP"/>
        </w:rPr>
        <w:t> </w:t>
      </w:r>
      <w:r w:rsidR="00245CC7" w:rsidRPr="00096052">
        <w:rPr>
          <w:lang w:val="cs-CZ" w:eastAsia="ja-JP"/>
        </w:rPr>
        <w:t>podřízenými organizacemi (Finanční správa ČR, Celní správa ČR, Česká správa sociálního zabezpečení).</w:t>
      </w:r>
    </w:p>
    <w:p w14:paraId="52BF8A29" w14:textId="00374057" w:rsidR="00245CC7" w:rsidRPr="00096052" w:rsidRDefault="00245CC7" w:rsidP="00230367">
      <w:pPr>
        <w:pStyle w:val="Nadpis1"/>
        <w:rPr>
          <w:rFonts w:eastAsia="MS Mincho"/>
          <w:lang w:val="cs-CZ"/>
        </w:rPr>
      </w:pPr>
      <w:bookmarkStart w:id="20" w:name="_Toc135651300"/>
      <w:r w:rsidRPr="00096052">
        <w:rPr>
          <w:rFonts w:eastAsia="MS Mincho"/>
          <w:lang w:val="cs-CZ"/>
        </w:rPr>
        <w:t>Přezkum účinnosti regulace</w:t>
      </w:r>
      <w:bookmarkEnd w:id="20"/>
    </w:p>
    <w:p w14:paraId="192434AB" w14:textId="56B21358" w:rsidR="00245CC7" w:rsidRPr="00096052" w:rsidRDefault="00DA2199" w:rsidP="00230367">
      <w:pPr>
        <w:rPr>
          <w:lang w:val="cs-CZ"/>
        </w:rPr>
      </w:pPr>
      <w:r w:rsidRPr="00096052">
        <w:rPr>
          <w:lang w:val="cs-CZ"/>
        </w:rPr>
        <w:t>S</w:t>
      </w:r>
      <w:r>
        <w:rPr>
          <w:lang w:val="cs-CZ"/>
        </w:rPr>
        <w:t> </w:t>
      </w:r>
      <w:r w:rsidR="00245CC7" w:rsidRPr="00096052">
        <w:rPr>
          <w:lang w:val="cs-CZ"/>
        </w:rPr>
        <w:t xml:space="preserve">ohledem na doporučenou variantu (soubor konsolidačních opatření) bude účinnost regulace přezkoumávána formou průběžného sledování klíčových ukazatelů hospodaření sektoru vládních institucí, dopadu do fiskální predikce </w:t>
      </w:r>
      <w:r w:rsidRPr="00096052">
        <w:rPr>
          <w:lang w:val="cs-CZ"/>
        </w:rPr>
        <w:t>a</w:t>
      </w:r>
      <w:r>
        <w:rPr>
          <w:lang w:val="cs-CZ"/>
        </w:rPr>
        <w:t> </w:t>
      </w:r>
      <w:r w:rsidR="00245CC7" w:rsidRPr="00096052">
        <w:rPr>
          <w:lang w:val="cs-CZ"/>
        </w:rPr>
        <w:t>do ukazatelů dlouhodobé udržitelnosti veřejných financí.</w:t>
      </w:r>
    </w:p>
    <w:p w14:paraId="1D053B92" w14:textId="215A6705" w:rsidR="00245CC7" w:rsidRPr="00096052" w:rsidRDefault="00245CC7" w:rsidP="00230367">
      <w:pPr>
        <w:pStyle w:val="Nadpis1"/>
        <w:rPr>
          <w:rFonts w:eastAsia="MS Mincho"/>
          <w:lang w:val="cs-CZ"/>
        </w:rPr>
      </w:pPr>
      <w:bookmarkStart w:id="21" w:name="_Toc135651301"/>
      <w:r w:rsidRPr="00096052">
        <w:rPr>
          <w:rFonts w:eastAsia="MS Mincho"/>
          <w:lang w:val="cs-CZ"/>
        </w:rPr>
        <w:t xml:space="preserve">Konzultace </w:t>
      </w:r>
      <w:r w:rsidR="00DA2199" w:rsidRPr="00096052">
        <w:rPr>
          <w:rFonts w:eastAsia="MS Mincho"/>
          <w:lang w:val="cs-CZ"/>
        </w:rPr>
        <w:t>a</w:t>
      </w:r>
      <w:r w:rsidR="00DA2199">
        <w:rPr>
          <w:rFonts w:eastAsia="MS Mincho"/>
          <w:lang w:val="cs-CZ"/>
        </w:rPr>
        <w:t> </w:t>
      </w:r>
      <w:r w:rsidRPr="00096052">
        <w:rPr>
          <w:rFonts w:eastAsia="MS Mincho"/>
          <w:lang w:val="cs-CZ"/>
        </w:rPr>
        <w:t>zdroje dat</w:t>
      </w:r>
      <w:bookmarkEnd w:id="21"/>
    </w:p>
    <w:p w14:paraId="6CCB1366" w14:textId="77777777" w:rsidR="00245CC7" w:rsidRPr="00096052" w:rsidRDefault="00245CC7" w:rsidP="00230367">
      <w:pPr>
        <w:rPr>
          <w:lang w:val="cs-CZ"/>
        </w:rPr>
      </w:pPr>
      <w:r w:rsidRPr="00096052">
        <w:rPr>
          <w:lang w:val="cs-CZ"/>
        </w:rPr>
        <w:t xml:space="preserve">Fiskální konsolidace je komplexní hospodářsko-politické téma, kterému se věnuje řada </w:t>
      </w:r>
      <w:r w:rsidRPr="00096052">
        <w:rPr>
          <w:lang w:val="cs-CZ"/>
        </w:rPr>
        <w:lastRenderedPageBreak/>
        <w:t>renomovaných autorů. Patrně největší pozornost tomuto fenoménu byla věnována na počátku nového tisíciletí po epizodách ze 70. až 90. let.</w:t>
      </w:r>
    </w:p>
    <w:p w14:paraId="45B41535" w14:textId="1C8CDF0A" w:rsidR="00245CC7" w:rsidRPr="00096052" w:rsidRDefault="00245CC7" w:rsidP="00230367">
      <w:pPr>
        <w:rPr>
          <w:lang w:val="cs-CZ"/>
        </w:rPr>
      </w:pPr>
      <w:r w:rsidRPr="00096052">
        <w:rPr>
          <w:lang w:val="cs-CZ"/>
        </w:rPr>
        <w:t>V zásadě až do 90. let se diskutovala fiskální politika z hlediska vlivu na ekonomický růst dle keynesovských tezí, že expanzivní fiskální politika zvyšuje hospodářský růst, zatímco restriktivní ho tlumí. Tato teze vycházela z díla Johna Maynarda Keynese</w:t>
      </w:r>
      <w:r w:rsidRPr="00096052">
        <w:rPr>
          <w:vertAlign w:val="superscript"/>
          <w:lang w:val="cs-CZ"/>
        </w:rPr>
        <w:footnoteReference w:id="17"/>
      </w:r>
      <w:r w:rsidRPr="00096052">
        <w:rPr>
          <w:lang w:val="cs-CZ"/>
        </w:rPr>
        <w:t xml:space="preserve"> </w:t>
      </w:r>
      <w:r w:rsidR="00DA2199" w:rsidRPr="00096052">
        <w:rPr>
          <w:lang w:val="cs-CZ"/>
        </w:rPr>
        <w:t>a</w:t>
      </w:r>
      <w:r w:rsidR="00DA2199">
        <w:rPr>
          <w:lang w:val="cs-CZ"/>
        </w:rPr>
        <w:t> </w:t>
      </w:r>
      <w:r w:rsidRPr="00096052">
        <w:rPr>
          <w:lang w:val="cs-CZ"/>
        </w:rPr>
        <w:t xml:space="preserve">zpopularizována </w:t>
      </w:r>
      <w:r w:rsidR="005F3B17" w:rsidRPr="00096052">
        <w:rPr>
          <w:lang w:val="cs-CZ"/>
        </w:rPr>
        <w:t xml:space="preserve">byla </w:t>
      </w:r>
      <w:r w:rsidRPr="00096052">
        <w:rPr>
          <w:lang w:val="cs-CZ"/>
        </w:rPr>
        <w:t>zejména učebnicí Paula Samuelsona</w:t>
      </w:r>
      <w:r w:rsidRPr="00096052">
        <w:rPr>
          <w:vertAlign w:val="superscript"/>
          <w:lang w:val="cs-CZ"/>
        </w:rPr>
        <w:footnoteReference w:id="18"/>
      </w:r>
      <w:r w:rsidRPr="00096052">
        <w:rPr>
          <w:lang w:val="cs-CZ"/>
        </w:rPr>
        <w:t>.</w:t>
      </w:r>
    </w:p>
    <w:p w14:paraId="289E747D" w14:textId="1870101D" w:rsidR="00245CC7" w:rsidRPr="00096052" w:rsidRDefault="00245CC7" w:rsidP="00230367">
      <w:pPr>
        <w:rPr>
          <w:lang w:val="cs-CZ"/>
        </w:rPr>
      </w:pPr>
      <w:r w:rsidRPr="00096052">
        <w:rPr>
          <w:lang w:val="cs-CZ"/>
        </w:rPr>
        <w:t>V první polovině 90. let se objevily studie, které stavěly na tzv. ne-keynesovských efektech fiskální restrikce, kdy fiskální konsolidace nemusí vést k poklesu hospodářské aktivity, ale naopak j</w:t>
      </w:r>
      <w:r w:rsidR="006F1F8A">
        <w:rPr>
          <w:lang w:val="cs-CZ"/>
        </w:rPr>
        <w:t>i</w:t>
      </w:r>
      <w:r w:rsidRPr="00096052">
        <w:rPr>
          <w:lang w:val="cs-CZ"/>
        </w:rPr>
        <w:t xml:space="preserve"> dokonce může zvýšit.</w:t>
      </w:r>
      <w:r w:rsidRPr="00096052">
        <w:rPr>
          <w:vertAlign w:val="superscript"/>
          <w:lang w:val="cs-CZ"/>
        </w:rPr>
        <w:footnoteReference w:id="19"/>
      </w:r>
      <w:r w:rsidRPr="00096052">
        <w:rPr>
          <w:lang w:val="cs-CZ"/>
        </w:rPr>
        <w:t xml:space="preserve"> To podpořila zejména úspěšná fiskální konsolidace ve Švédsku, která během tří let transformovala deficit </w:t>
      </w:r>
      <w:r w:rsidR="00DA2199" w:rsidRPr="00096052">
        <w:rPr>
          <w:lang w:val="cs-CZ"/>
        </w:rPr>
        <w:t>7</w:t>
      </w:r>
      <w:r w:rsidR="00DA2199">
        <w:rPr>
          <w:lang w:val="cs-CZ"/>
        </w:rPr>
        <w:t> </w:t>
      </w:r>
      <w:r w:rsidRPr="00096052">
        <w:rPr>
          <w:lang w:val="cs-CZ"/>
        </w:rPr>
        <w:t>% HDP v roce 1995 na přebytek 0,8</w:t>
      </w:r>
      <w:r w:rsidR="001239BE" w:rsidRPr="00096052">
        <w:rPr>
          <w:lang w:val="cs-CZ"/>
        </w:rPr>
        <w:t> </w:t>
      </w:r>
      <w:r w:rsidRPr="00096052">
        <w:rPr>
          <w:lang w:val="cs-CZ"/>
        </w:rPr>
        <w:t xml:space="preserve">% HDP v roce 1998. </w:t>
      </w:r>
      <w:r w:rsidR="00DA2199" w:rsidRPr="00096052">
        <w:rPr>
          <w:lang w:val="cs-CZ"/>
        </w:rPr>
        <w:t>I</w:t>
      </w:r>
      <w:r w:rsidR="00DA2199">
        <w:rPr>
          <w:lang w:val="cs-CZ"/>
        </w:rPr>
        <w:t> </w:t>
      </w:r>
      <w:r w:rsidRPr="00096052">
        <w:rPr>
          <w:lang w:val="cs-CZ"/>
        </w:rPr>
        <w:t xml:space="preserve">přes tak silnou konsolidaci švédský růst HDP v roce 1996 pouze zpomalil z hodnot kolem </w:t>
      </w:r>
      <w:r w:rsidR="00DA2199" w:rsidRPr="00096052">
        <w:rPr>
          <w:lang w:val="cs-CZ"/>
        </w:rPr>
        <w:t>4</w:t>
      </w:r>
      <w:r w:rsidR="00DA2199">
        <w:rPr>
          <w:lang w:val="cs-CZ"/>
        </w:rPr>
        <w:t> </w:t>
      </w:r>
      <w:r w:rsidRPr="00096052">
        <w:rPr>
          <w:lang w:val="cs-CZ"/>
        </w:rPr>
        <w:t>% na 1,</w:t>
      </w:r>
      <w:r w:rsidR="00DA2199" w:rsidRPr="00096052">
        <w:rPr>
          <w:lang w:val="cs-CZ"/>
        </w:rPr>
        <w:t>6</w:t>
      </w:r>
      <w:r w:rsidR="00DA2199">
        <w:rPr>
          <w:lang w:val="cs-CZ"/>
        </w:rPr>
        <w:t> </w:t>
      </w:r>
      <w:r w:rsidRPr="00096052">
        <w:rPr>
          <w:lang w:val="cs-CZ"/>
        </w:rPr>
        <w:t>%, ale v následujících dvou letech se dynamika dostala zpět nad 4</w:t>
      </w:r>
      <w:r w:rsidR="001239BE" w:rsidRPr="00096052">
        <w:rPr>
          <w:lang w:val="cs-CZ"/>
        </w:rPr>
        <w:t> </w:t>
      </w:r>
      <w:r w:rsidRPr="00096052">
        <w:rPr>
          <w:lang w:val="cs-CZ"/>
        </w:rPr>
        <w:t xml:space="preserve">%. </w:t>
      </w:r>
    </w:p>
    <w:p w14:paraId="61E797E8" w14:textId="3770A82C" w:rsidR="00245CC7" w:rsidRPr="00096052" w:rsidRDefault="00245CC7" w:rsidP="00230367">
      <w:pPr>
        <w:rPr>
          <w:lang w:val="cs-CZ"/>
        </w:rPr>
      </w:pPr>
      <w:r w:rsidRPr="00096052">
        <w:rPr>
          <w:lang w:val="cs-CZ"/>
        </w:rPr>
        <w:t xml:space="preserve">Popud </w:t>
      </w:r>
      <w:r w:rsidR="00DA2199" w:rsidRPr="00096052">
        <w:rPr>
          <w:lang w:val="cs-CZ"/>
        </w:rPr>
        <w:t>k</w:t>
      </w:r>
      <w:r w:rsidR="00DA2199">
        <w:rPr>
          <w:lang w:val="cs-CZ"/>
        </w:rPr>
        <w:t> </w:t>
      </w:r>
      <w:r w:rsidR="006F1F8A">
        <w:rPr>
          <w:lang w:val="cs-CZ"/>
        </w:rPr>
        <w:t>tamní</w:t>
      </w:r>
      <w:r w:rsidRPr="00096052">
        <w:rPr>
          <w:lang w:val="cs-CZ"/>
        </w:rPr>
        <w:t xml:space="preserve"> fiskální konsolidaci zavdala hospodářská recese z počátku 90. let, jež odhalila mnoho problémů, kterými švédská ekonomika trpěla. Mezi tyto problémy náležel nefunkční systém odměňování vyznačující se malou vazbou mezi mzdou </w:t>
      </w:r>
      <w:r w:rsidR="00DA2199" w:rsidRPr="00096052">
        <w:rPr>
          <w:lang w:val="cs-CZ"/>
        </w:rPr>
        <w:t>a</w:t>
      </w:r>
      <w:r w:rsidR="00DA2199">
        <w:rPr>
          <w:lang w:val="cs-CZ"/>
        </w:rPr>
        <w:t> </w:t>
      </w:r>
      <w:r w:rsidRPr="00096052">
        <w:rPr>
          <w:lang w:val="cs-CZ"/>
        </w:rPr>
        <w:t xml:space="preserve">produktivitou, dlouhodobě rostoucí veřejné výdaje, oslabení konkurenceschopnosti švédského exportního průmyslu </w:t>
      </w:r>
      <w:r w:rsidR="00096052" w:rsidRPr="00096052">
        <w:rPr>
          <w:lang w:val="cs-CZ"/>
        </w:rPr>
        <w:t>vyžadujícího</w:t>
      </w:r>
      <w:r w:rsidRPr="00096052">
        <w:rPr>
          <w:lang w:val="cs-CZ"/>
        </w:rPr>
        <w:t xml:space="preserve"> celkovou restrukturalizaci, nefunkční regulace převažující na trzích, malé pobídky k práci vzhledem </w:t>
      </w:r>
      <w:r w:rsidR="00DA2199" w:rsidRPr="00096052">
        <w:rPr>
          <w:lang w:val="cs-CZ"/>
        </w:rPr>
        <w:t>k</w:t>
      </w:r>
      <w:r w:rsidR="00DA2199">
        <w:rPr>
          <w:lang w:val="cs-CZ"/>
        </w:rPr>
        <w:t> </w:t>
      </w:r>
      <w:r w:rsidRPr="00096052">
        <w:rPr>
          <w:lang w:val="cs-CZ"/>
        </w:rPr>
        <w:t xml:space="preserve">velmi nízké míře nezaměstnanosti </w:t>
      </w:r>
      <w:r w:rsidR="00DA2199" w:rsidRPr="00096052">
        <w:rPr>
          <w:lang w:val="cs-CZ"/>
        </w:rPr>
        <w:t>a</w:t>
      </w:r>
      <w:r w:rsidR="00DA2199">
        <w:rPr>
          <w:lang w:val="cs-CZ"/>
        </w:rPr>
        <w:t> </w:t>
      </w:r>
      <w:r w:rsidRPr="00096052">
        <w:rPr>
          <w:lang w:val="cs-CZ"/>
        </w:rPr>
        <w:t xml:space="preserve">konečně neudržitelný systém sociálních dávek, </w:t>
      </w:r>
      <w:r w:rsidR="002F4AD1">
        <w:rPr>
          <w:noProof/>
          <w:lang w:val="cs-CZ"/>
        </w:rPr>
        <w:t>včetně</w:t>
      </w:r>
      <w:r>
        <w:rPr>
          <w:noProof/>
          <w:lang w:val="cs-CZ"/>
        </w:rPr>
        <w:t xml:space="preserve"> systém</w:t>
      </w:r>
      <w:r w:rsidR="002F4AD1">
        <w:rPr>
          <w:noProof/>
          <w:lang w:val="cs-CZ"/>
        </w:rPr>
        <w:t>u</w:t>
      </w:r>
      <w:r w:rsidRPr="00096052">
        <w:rPr>
          <w:lang w:val="cs-CZ"/>
        </w:rPr>
        <w:t xml:space="preserve"> penzí. Reakcí na to byly reformy, jež mimo jiné zahrnovaly fiskální rámec s daným cílem přebytku </w:t>
      </w:r>
      <w:r w:rsidR="00DA2199" w:rsidRPr="00096052">
        <w:rPr>
          <w:lang w:val="cs-CZ"/>
        </w:rPr>
        <w:t>a</w:t>
      </w:r>
      <w:r w:rsidR="00DA2199">
        <w:rPr>
          <w:lang w:val="cs-CZ"/>
        </w:rPr>
        <w:t> </w:t>
      </w:r>
      <w:r w:rsidRPr="00096052">
        <w:rPr>
          <w:lang w:val="cs-CZ"/>
        </w:rPr>
        <w:t xml:space="preserve">výdajovými stropy, dále též snížení korporátních daní </w:t>
      </w:r>
      <w:r w:rsidR="00DA2199" w:rsidRPr="00096052">
        <w:rPr>
          <w:lang w:val="cs-CZ"/>
        </w:rPr>
        <w:t>a</w:t>
      </w:r>
      <w:r w:rsidR="00DA2199">
        <w:rPr>
          <w:lang w:val="cs-CZ"/>
        </w:rPr>
        <w:t> </w:t>
      </w:r>
      <w:r w:rsidRPr="00096052">
        <w:rPr>
          <w:lang w:val="cs-CZ"/>
        </w:rPr>
        <w:t>současně rozšíření daňového základu pro DPH.</w:t>
      </w:r>
      <w:r w:rsidRPr="0045534A">
        <w:rPr>
          <w:rStyle w:val="StylZnakapoznpodarouLatinkaArial"/>
        </w:rPr>
        <w:footnoteReference w:id="20"/>
      </w:r>
    </w:p>
    <w:p w14:paraId="0CBB777A" w14:textId="331B91F4" w:rsidR="00245CC7" w:rsidRPr="00096052" w:rsidRDefault="00245CC7" w:rsidP="00230367">
      <w:pPr>
        <w:rPr>
          <w:lang w:val="cs-CZ"/>
        </w:rPr>
      </w:pPr>
      <w:r w:rsidRPr="00096052">
        <w:rPr>
          <w:lang w:val="cs-CZ"/>
        </w:rPr>
        <w:t>Henriksson</w:t>
      </w:r>
      <w:r w:rsidRPr="00096052">
        <w:rPr>
          <w:vertAlign w:val="superscript"/>
          <w:lang w:val="cs-CZ"/>
        </w:rPr>
        <w:footnoteReference w:id="21"/>
      </w:r>
      <w:r w:rsidRPr="00096052">
        <w:rPr>
          <w:lang w:val="cs-CZ"/>
        </w:rPr>
        <w:t xml:space="preserve"> podává deset lekcí ze švédské zkušenosti. Ty se týkají důvodů konsolidace, tedy že zdravé veřejné finance jsou předpokladem ekonomického růstu </w:t>
      </w:r>
      <w:r w:rsidR="00DA2199" w:rsidRPr="00096052">
        <w:rPr>
          <w:lang w:val="cs-CZ"/>
        </w:rPr>
        <w:t>a</w:t>
      </w:r>
      <w:r w:rsidR="00DA2199">
        <w:rPr>
          <w:lang w:val="cs-CZ"/>
        </w:rPr>
        <w:t> </w:t>
      </w:r>
      <w:r w:rsidRPr="00096052">
        <w:rPr>
          <w:lang w:val="cs-CZ"/>
        </w:rPr>
        <w:t xml:space="preserve">pokud existují dluhy, není svoboda. Dále mluví </w:t>
      </w:r>
      <w:r w:rsidR="00DA2199" w:rsidRPr="00096052">
        <w:rPr>
          <w:lang w:val="cs-CZ"/>
        </w:rPr>
        <w:t>o</w:t>
      </w:r>
      <w:r w:rsidR="00DA2199">
        <w:rPr>
          <w:lang w:val="cs-CZ"/>
        </w:rPr>
        <w:t> </w:t>
      </w:r>
      <w:r w:rsidRPr="00096052">
        <w:rPr>
          <w:lang w:val="cs-CZ"/>
        </w:rPr>
        <w:t xml:space="preserve">jasném odhodlání ze strany vlády, jasných cílech, kterých je nutné se držet za všech okolností. Dále že konsolidace by měla být připravena jako soubor opatření přes co nejvíc zájmových skupin, protože deficity jsou problémem všech </w:t>
      </w:r>
      <w:r w:rsidR="00DA2199" w:rsidRPr="00096052">
        <w:rPr>
          <w:lang w:val="cs-CZ"/>
        </w:rPr>
        <w:t>a</w:t>
      </w:r>
      <w:r w:rsidR="00DA2199">
        <w:rPr>
          <w:lang w:val="cs-CZ"/>
        </w:rPr>
        <w:t> </w:t>
      </w:r>
      <w:r w:rsidRPr="00096052">
        <w:rPr>
          <w:lang w:val="cs-CZ"/>
        </w:rPr>
        <w:t xml:space="preserve">tudíž všichni musí zaplatit část nákladů. Z tohoto důvodu rovněž apeluje na nezavádění automatických valorizací všude tam, kde je to možné. Konsolidace by měla být prováděna v součinnosti s místními vládami. Konečně radí, aby vláda byla upřímná, nezlehčovala situaci </w:t>
      </w:r>
      <w:r w:rsidR="00DA2199" w:rsidRPr="00096052">
        <w:rPr>
          <w:lang w:val="cs-CZ"/>
        </w:rPr>
        <w:t>a</w:t>
      </w:r>
      <w:r w:rsidR="00DA2199">
        <w:rPr>
          <w:lang w:val="cs-CZ"/>
        </w:rPr>
        <w:t> </w:t>
      </w:r>
      <w:r w:rsidRPr="00096052">
        <w:rPr>
          <w:lang w:val="cs-CZ"/>
        </w:rPr>
        <w:t>byla konzistentní (tedy aby škrty ve výdajích nedoprovázela snižováním daní apod.).</w:t>
      </w:r>
    </w:p>
    <w:p w14:paraId="0EE32EC8" w14:textId="2829B850" w:rsidR="00245CC7" w:rsidRPr="00096052" w:rsidRDefault="00245CC7" w:rsidP="00230367">
      <w:pPr>
        <w:rPr>
          <w:lang w:val="cs-CZ"/>
        </w:rPr>
      </w:pPr>
      <w:r w:rsidRPr="00096052">
        <w:rPr>
          <w:lang w:val="cs-CZ"/>
        </w:rPr>
        <w:t xml:space="preserve">K podobným závěrům došli ve svém textu Larsson </w:t>
      </w:r>
      <w:r w:rsidR="00DA2199" w:rsidRPr="00096052">
        <w:rPr>
          <w:lang w:val="cs-CZ"/>
        </w:rPr>
        <w:t>a</w:t>
      </w:r>
      <w:r w:rsidR="00DA2199">
        <w:rPr>
          <w:lang w:val="cs-CZ"/>
        </w:rPr>
        <w:t> </w:t>
      </w:r>
      <w:r w:rsidRPr="00096052">
        <w:rPr>
          <w:lang w:val="cs-CZ"/>
        </w:rPr>
        <w:t>Sonnegård,</w:t>
      </w:r>
      <w:r w:rsidRPr="0045534A">
        <w:rPr>
          <w:rStyle w:val="StylZnakapoznpodarouLatinkaArial"/>
        </w:rPr>
        <w:footnoteReference w:id="22"/>
      </w:r>
      <w:r w:rsidRPr="00096052">
        <w:rPr>
          <w:lang w:val="cs-CZ"/>
        </w:rPr>
        <w:t xml:space="preserve"> kteří shrnuli důvody úspěchu švédské konsolidace veřejných financí. Prvotní hluboká fiskální krize pomohla dosažení širokého konsenzu </w:t>
      </w:r>
      <w:r w:rsidR="00DA2199" w:rsidRPr="00096052">
        <w:rPr>
          <w:lang w:val="cs-CZ"/>
        </w:rPr>
        <w:t>o</w:t>
      </w:r>
      <w:r w:rsidR="00DA2199">
        <w:rPr>
          <w:lang w:val="cs-CZ"/>
        </w:rPr>
        <w:t> </w:t>
      </w:r>
      <w:r w:rsidRPr="00096052">
        <w:rPr>
          <w:lang w:val="cs-CZ"/>
        </w:rPr>
        <w:t xml:space="preserve">přednostech rozpočtové disciplíny </w:t>
      </w:r>
      <w:r w:rsidR="00DA2199" w:rsidRPr="00096052">
        <w:rPr>
          <w:lang w:val="cs-CZ"/>
        </w:rPr>
        <w:t>s</w:t>
      </w:r>
      <w:r w:rsidR="00DA2199">
        <w:rPr>
          <w:lang w:val="cs-CZ"/>
        </w:rPr>
        <w:t> </w:t>
      </w:r>
      <w:r w:rsidRPr="00096052">
        <w:rPr>
          <w:lang w:val="cs-CZ"/>
        </w:rPr>
        <w:t xml:space="preserve">dlouhodobými dopady. Současně </w:t>
      </w:r>
      <w:r w:rsidRPr="00096052">
        <w:rPr>
          <w:lang w:val="cs-CZ"/>
        </w:rPr>
        <w:lastRenderedPageBreak/>
        <w:t xml:space="preserve">byly vhodně definovány fiskální cíle, fiskální politika byla prováděna transparentně </w:t>
      </w:r>
      <w:r w:rsidR="00DA2199" w:rsidRPr="00096052">
        <w:rPr>
          <w:lang w:val="cs-CZ"/>
        </w:rPr>
        <w:t>a</w:t>
      </w:r>
      <w:r w:rsidR="00DA2199">
        <w:rPr>
          <w:lang w:val="cs-CZ"/>
        </w:rPr>
        <w:t> </w:t>
      </w:r>
      <w:r w:rsidRPr="00096052">
        <w:rPr>
          <w:lang w:val="cs-CZ"/>
        </w:rPr>
        <w:t xml:space="preserve">předvídatelně. Autoři uvedli, že je </w:t>
      </w:r>
      <w:r w:rsidR="00096052" w:rsidRPr="00096052">
        <w:rPr>
          <w:lang w:val="cs-CZ"/>
        </w:rPr>
        <w:t>rovněž</w:t>
      </w:r>
      <w:r w:rsidRPr="00096052">
        <w:rPr>
          <w:lang w:val="cs-CZ"/>
        </w:rPr>
        <w:t xml:space="preserve"> důležité zpracovat rámec rozpočtového rozhodování; velmi žádoucí je zejména dobré nastavení vyhodnocení příslušných daňových </w:t>
      </w:r>
      <w:r w:rsidR="00DA2199" w:rsidRPr="00096052">
        <w:rPr>
          <w:lang w:val="cs-CZ"/>
        </w:rPr>
        <w:t>a</w:t>
      </w:r>
      <w:r w:rsidR="00DA2199">
        <w:rPr>
          <w:lang w:val="cs-CZ"/>
        </w:rPr>
        <w:t> </w:t>
      </w:r>
      <w:r w:rsidRPr="00096052">
        <w:rPr>
          <w:lang w:val="cs-CZ"/>
        </w:rPr>
        <w:t xml:space="preserve">výdajových rozhodnutí; příběh švédské konsolidace </w:t>
      </w:r>
      <w:r w:rsidR="00096052" w:rsidRPr="00096052">
        <w:rPr>
          <w:lang w:val="cs-CZ"/>
        </w:rPr>
        <w:t>veřejných</w:t>
      </w:r>
      <w:r w:rsidRPr="00096052">
        <w:rPr>
          <w:lang w:val="cs-CZ"/>
        </w:rPr>
        <w:t xml:space="preserve"> financí podle autorů ukázal, že kvalifikovaná hospodářsko-politická diskuse může být pro účinnou aplikaci fiskální disciplíny důležitější než závazná pravidla. V neposlední řadě fiskální konsolidace </w:t>
      </w:r>
      <w:r w:rsidR="00DA2199" w:rsidRPr="00096052">
        <w:rPr>
          <w:lang w:val="cs-CZ"/>
        </w:rPr>
        <w:t>a</w:t>
      </w:r>
      <w:r w:rsidR="00DA2199">
        <w:rPr>
          <w:lang w:val="cs-CZ"/>
        </w:rPr>
        <w:t> </w:t>
      </w:r>
      <w:r w:rsidRPr="00096052">
        <w:rPr>
          <w:lang w:val="cs-CZ"/>
        </w:rPr>
        <w:t xml:space="preserve">udržitelnost není závislá pouze na rozhodnutích přijatých ve fiskální sféře, ale je potřeba provést </w:t>
      </w:r>
      <w:r w:rsidR="00DA2199" w:rsidRPr="00096052">
        <w:rPr>
          <w:lang w:val="cs-CZ"/>
        </w:rPr>
        <w:t>i</w:t>
      </w:r>
      <w:r w:rsidR="00DA2199">
        <w:rPr>
          <w:lang w:val="cs-CZ"/>
        </w:rPr>
        <w:t> </w:t>
      </w:r>
      <w:r w:rsidRPr="00096052">
        <w:rPr>
          <w:lang w:val="cs-CZ"/>
        </w:rPr>
        <w:t>reformy zabezpečující dlouhodobý hospodářský růst.</w:t>
      </w:r>
    </w:p>
    <w:p w14:paraId="3C866F9F" w14:textId="75144EBF" w:rsidR="00245CC7" w:rsidRPr="00096052" w:rsidRDefault="00245CC7" w:rsidP="00230367">
      <w:pPr>
        <w:rPr>
          <w:lang w:val="cs-CZ"/>
        </w:rPr>
      </w:pPr>
      <w:r w:rsidRPr="00096052">
        <w:rPr>
          <w:lang w:val="cs-CZ"/>
        </w:rPr>
        <w:t xml:space="preserve">Švédské zkušenosti z 90. let </w:t>
      </w:r>
      <w:r w:rsidR="00DA2199" w:rsidRPr="00096052">
        <w:rPr>
          <w:lang w:val="cs-CZ"/>
        </w:rPr>
        <w:t>a</w:t>
      </w:r>
      <w:r w:rsidR="00DA2199">
        <w:rPr>
          <w:lang w:val="cs-CZ"/>
        </w:rPr>
        <w:t> </w:t>
      </w:r>
      <w:r w:rsidRPr="00096052">
        <w:rPr>
          <w:lang w:val="cs-CZ"/>
        </w:rPr>
        <w:t xml:space="preserve">reformám fiskálního rámce se věnují </w:t>
      </w:r>
      <w:r w:rsidR="00DA2199" w:rsidRPr="00096052">
        <w:rPr>
          <w:lang w:val="cs-CZ"/>
        </w:rPr>
        <w:t>i</w:t>
      </w:r>
      <w:r w:rsidR="00DA2199">
        <w:rPr>
          <w:lang w:val="cs-CZ"/>
        </w:rPr>
        <w:t> </w:t>
      </w:r>
      <w:r w:rsidRPr="00096052">
        <w:rPr>
          <w:lang w:val="cs-CZ"/>
        </w:rPr>
        <w:t xml:space="preserve">Andersson </w:t>
      </w:r>
      <w:r w:rsidR="00DA2199" w:rsidRPr="00096052">
        <w:rPr>
          <w:lang w:val="cs-CZ"/>
        </w:rPr>
        <w:t>a</w:t>
      </w:r>
      <w:r w:rsidR="00DA2199">
        <w:rPr>
          <w:lang w:val="cs-CZ"/>
        </w:rPr>
        <w:t> </w:t>
      </w:r>
      <w:r w:rsidRPr="00096052">
        <w:rPr>
          <w:lang w:val="cs-CZ"/>
        </w:rPr>
        <w:t>Jonung.</w:t>
      </w:r>
      <w:r w:rsidRPr="00096052">
        <w:rPr>
          <w:vertAlign w:val="superscript"/>
          <w:lang w:val="cs-CZ"/>
        </w:rPr>
        <w:footnoteReference w:id="23"/>
      </w:r>
      <w:r w:rsidRPr="00096052">
        <w:rPr>
          <w:lang w:val="cs-CZ"/>
        </w:rPr>
        <w:t xml:space="preserve"> Ti varují před přílišným fiskálním aktivizmem </w:t>
      </w:r>
      <w:r w:rsidR="00DA2199" w:rsidRPr="00096052">
        <w:rPr>
          <w:lang w:val="cs-CZ"/>
        </w:rPr>
        <w:t>a</w:t>
      </w:r>
      <w:r w:rsidR="00DA2199">
        <w:rPr>
          <w:lang w:val="cs-CZ"/>
        </w:rPr>
        <w:t> </w:t>
      </w:r>
      <w:r w:rsidRPr="00096052">
        <w:rPr>
          <w:lang w:val="cs-CZ"/>
        </w:rPr>
        <w:t xml:space="preserve">doporučují používat fiskální diskreci zejména v hlubších krizích, zatímco nízký růst by měl být spíše řešen strukturálními reformami na straně nabídky. </w:t>
      </w:r>
      <w:r w:rsidR="001239BE" w:rsidRPr="00096052">
        <w:rPr>
          <w:lang w:val="cs-CZ"/>
        </w:rPr>
        <w:t>Na datech</w:t>
      </w:r>
      <w:r w:rsidRPr="00096052">
        <w:rPr>
          <w:lang w:val="cs-CZ"/>
        </w:rPr>
        <w:t xml:space="preserve"> od roku 1750 analyzují vývoj veřejného zadlužení </w:t>
      </w:r>
      <w:r w:rsidR="00DA2199" w:rsidRPr="00096052">
        <w:rPr>
          <w:lang w:val="cs-CZ"/>
        </w:rPr>
        <w:t>a</w:t>
      </w:r>
      <w:r w:rsidR="00DA2199">
        <w:rPr>
          <w:lang w:val="cs-CZ"/>
        </w:rPr>
        <w:t> </w:t>
      </w:r>
      <w:r w:rsidRPr="00096052">
        <w:rPr>
          <w:lang w:val="cs-CZ"/>
        </w:rPr>
        <w:t xml:space="preserve">z posledních dekád 20. století jeho výrazný nárůst </w:t>
      </w:r>
      <w:r w:rsidR="00DA2199" w:rsidRPr="00096052">
        <w:rPr>
          <w:lang w:val="cs-CZ"/>
        </w:rPr>
        <w:t>a</w:t>
      </w:r>
      <w:r w:rsidR="00DA2199">
        <w:rPr>
          <w:lang w:val="cs-CZ"/>
        </w:rPr>
        <w:t> </w:t>
      </w:r>
      <w:r w:rsidRPr="00096052">
        <w:rPr>
          <w:lang w:val="cs-CZ"/>
        </w:rPr>
        <w:t>následnou potřebu konsolidace. Docház</w:t>
      </w:r>
      <w:r w:rsidR="00FA67FF" w:rsidRPr="00096052">
        <w:rPr>
          <w:lang w:val="cs-CZ"/>
        </w:rPr>
        <w:t>ej</w:t>
      </w:r>
      <w:r w:rsidRPr="00096052">
        <w:rPr>
          <w:lang w:val="cs-CZ"/>
        </w:rPr>
        <w:t>í k závěru, že švédské výnosy na státní dluhopisy začínají divergovat od německých, když dluh překročí 40</w:t>
      </w:r>
      <w:r w:rsidR="006F1F8A">
        <w:rPr>
          <w:lang w:val="cs-CZ"/>
        </w:rPr>
        <w:t> </w:t>
      </w:r>
      <w:r w:rsidRPr="00096052">
        <w:rPr>
          <w:lang w:val="cs-CZ"/>
        </w:rPr>
        <w:t xml:space="preserve">% HDP </w:t>
      </w:r>
      <w:r w:rsidR="00DA2199" w:rsidRPr="00096052">
        <w:rPr>
          <w:lang w:val="cs-CZ"/>
        </w:rPr>
        <w:t>a</w:t>
      </w:r>
      <w:r w:rsidR="00DA2199">
        <w:rPr>
          <w:lang w:val="cs-CZ"/>
        </w:rPr>
        <w:t> </w:t>
      </w:r>
      <w:r w:rsidRPr="00096052">
        <w:rPr>
          <w:lang w:val="cs-CZ"/>
        </w:rPr>
        <w:t>obsluha dluhu se stává problematickou, přesáhne-li zadlužení úroveň 70 % HDP. Reforma fiskálního rámce Švédska zavedla podmínku cyklicky přebytkového rozpočtu ve výši 1/</w:t>
      </w:r>
      <w:r w:rsidR="00DA2199" w:rsidRPr="00096052">
        <w:rPr>
          <w:lang w:val="cs-CZ"/>
        </w:rPr>
        <w:t>3</w:t>
      </w:r>
      <w:r w:rsidR="00DA2199">
        <w:rPr>
          <w:lang w:val="cs-CZ"/>
        </w:rPr>
        <w:t> </w:t>
      </w:r>
      <w:r w:rsidRPr="00096052">
        <w:rPr>
          <w:lang w:val="cs-CZ"/>
        </w:rPr>
        <w:t xml:space="preserve">% HDP </w:t>
      </w:r>
      <w:r w:rsidR="00DA2199" w:rsidRPr="00096052">
        <w:rPr>
          <w:lang w:val="cs-CZ"/>
        </w:rPr>
        <w:t>a</w:t>
      </w:r>
      <w:r w:rsidR="00DA2199">
        <w:rPr>
          <w:lang w:val="cs-CZ"/>
        </w:rPr>
        <w:t> </w:t>
      </w:r>
      <w:r w:rsidRPr="00096052">
        <w:rPr>
          <w:lang w:val="cs-CZ"/>
        </w:rPr>
        <w:t>optimální úroveň dluhu na 35 % HDP (</w:t>
      </w:r>
      <w:r w:rsidR="006F1F8A">
        <w:rPr>
          <w:noProof/>
          <w:lang w:val="cs-CZ"/>
        </w:rPr>
        <w:t>±</w:t>
      </w:r>
      <w:r w:rsidRPr="00096052">
        <w:rPr>
          <w:lang w:val="cs-CZ"/>
        </w:rPr>
        <w:t xml:space="preserve"> </w:t>
      </w:r>
      <w:r w:rsidR="00DA2199" w:rsidRPr="00096052">
        <w:rPr>
          <w:lang w:val="cs-CZ"/>
        </w:rPr>
        <w:t>5</w:t>
      </w:r>
      <w:r w:rsidR="00DA2199">
        <w:rPr>
          <w:lang w:val="cs-CZ"/>
        </w:rPr>
        <w:t> </w:t>
      </w:r>
      <w:r w:rsidRPr="00096052">
        <w:rPr>
          <w:lang w:val="cs-CZ"/>
        </w:rPr>
        <w:t xml:space="preserve">procentních bodů), což je v zásadě současná úroveň švédského dluhu sektoru vládních institucí. Autoři na základě minulých dat </w:t>
      </w:r>
      <w:r w:rsidR="00DA2199" w:rsidRPr="00096052">
        <w:rPr>
          <w:lang w:val="cs-CZ"/>
        </w:rPr>
        <w:t>o</w:t>
      </w:r>
      <w:r w:rsidR="00DA2199">
        <w:rPr>
          <w:lang w:val="cs-CZ"/>
        </w:rPr>
        <w:t> </w:t>
      </w:r>
      <w:r w:rsidRPr="00096052">
        <w:rPr>
          <w:lang w:val="cs-CZ"/>
        </w:rPr>
        <w:t xml:space="preserve">fiskálních nákladech ekonomických </w:t>
      </w:r>
      <w:r w:rsidR="00DA2199" w:rsidRPr="00096052">
        <w:rPr>
          <w:lang w:val="cs-CZ"/>
        </w:rPr>
        <w:t>a</w:t>
      </w:r>
      <w:r w:rsidR="00DA2199">
        <w:rPr>
          <w:lang w:val="cs-CZ"/>
        </w:rPr>
        <w:t> </w:t>
      </w:r>
      <w:r w:rsidRPr="00096052">
        <w:rPr>
          <w:lang w:val="cs-CZ"/>
        </w:rPr>
        <w:t>zejména finančních nebo bankovních krizí docház</w:t>
      </w:r>
      <w:r w:rsidR="00FA67FF" w:rsidRPr="00096052">
        <w:rPr>
          <w:lang w:val="cs-CZ"/>
        </w:rPr>
        <w:t>ej</w:t>
      </w:r>
      <w:r w:rsidRPr="00096052">
        <w:rPr>
          <w:lang w:val="cs-CZ"/>
        </w:rPr>
        <w:t xml:space="preserve">í k závěru, že optimum by pro Švédsko mělo být </w:t>
      </w:r>
      <w:r w:rsidR="00DA2199" w:rsidRPr="00096052">
        <w:rPr>
          <w:lang w:val="cs-CZ"/>
        </w:rPr>
        <w:t>o</w:t>
      </w:r>
      <w:r w:rsidR="00DA2199">
        <w:rPr>
          <w:lang w:val="cs-CZ"/>
        </w:rPr>
        <w:t> </w:t>
      </w:r>
      <w:r w:rsidRPr="00096052">
        <w:rPr>
          <w:lang w:val="cs-CZ"/>
        </w:rPr>
        <w:t>dalších 10 procentních bodů níže.</w:t>
      </w:r>
    </w:p>
    <w:p w14:paraId="0C74ECC0" w14:textId="688E9340" w:rsidR="00245CC7" w:rsidRPr="00096052" w:rsidRDefault="00245CC7" w:rsidP="00230367">
      <w:pPr>
        <w:rPr>
          <w:lang w:val="cs-CZ"/>
        </w:rPr>
      </w:pPr>
      <w:r w:rsidRPr="00096052">
        <w:rPr>
          <w:lang w:val="cs-CZ"/>
        </w:rPr>
        <w:t xml:space="preserve">Podobný problém řeší </w:t>
      </w:r>
      <w:r w:rsidR="00DA2199" w:rsidRPr="00096052">
        <w:rPr>
          <w:lang w:val="cs-CZ"/>
        </w:rPr>
        <w:t>i</w:t>
      </w:r>
      <w:r w:rsidR="00DA2199">
        <w:rPr>
          <w:lang w:val="cs-CZ"/>
        </w:rPr>
        <w:t> </w:t>
      </w:r>
      <w:r w:rsidRPr="00096052">
        <w:rPr>
          <w:lang w:val="cs-CZ"/>
        </w:rPr>
        <w:t xml:space="preserve">Múcka </w:t>
      </w:r>
      <w:r w:rsidR="00DA2199" w:rsidRPr="00096052">
        <w:rPr>
          <w:lang w:val="cs-CZ"/>
        </w:rPr>
        <w:t>a</w:t>
      </w:r>
      <w:r w:rsidR="00DA2199">
        <w:rPr>
          <w:lang w:val="cs-CZ"/>
        </w:rPr>
        <w:t> </w:t>
      </w:r>
      <w:r w:rsidRPr="00096052">
        <w:rPr>
          <w:lang w:val="cs-CZ"/>
        </w:rPr>
        <w:t>Odór</w:t>
      </w:r>
      <w:r w:rsidRPr="0045534A">
        <w:rPr>
          <w:rStyle w:val="StylZnakapoznpodarouLatinkaArial"/>
        </w:rPr>
        <w:footnoteReference w:id="24"/>
      </w:r>
      <w:r w:rsidRPr="00096052">
        <w:rPr>
          <w:lang w:val="cs-CZ"/>
        </w:rPr>
        <w:t xml:space="preserve"> v případě Slovenska. Ti vyšli ze studií</w:t>
      </w:r>
      <w:r w:rsidRPr="0045534A">
        <w:rPr>
          <w:rStyle w:val="StylZnakapoznpodarouLatinkaArial"/>
        </w:rPr>
        <w:footnoteReference w:id="25"/>
      </w:r>
      <w:r w:rsidRPr="00096052">
        <w:rPr>
          <w:lang w:val="cs-CZ"/>
        </w:rPr>
        <w:t>, které podobným způsobem odhadovaly optimální veřejné zadlužení pro USA (</w:t>
      </w:r>
      <w:r w:rsidR="00DA2199" w:rsidRPr="00096052">
        <w:rPr>
          <w:lang w:val="cs-CZ"/>
        </w:rPr>
        <w:t>v</w:t>
      </w:r>
      <w:r w:rsidR="00DA2199">
        <w:rPr>
          <w:lang w:val="cs-CZ"/>
        </w:rPr>
        <w:t> </w:t>
      </w:r>
      <w:r w:rsidRPr="00096052">
        <w:rPr>
          <w:lang w:val="cs-CZ"/>
        </w:rPr>
        <w:t>tomto případě byl výsledek mírně převyšující 100 % HDP, ovšem opět v závislosti na specifikaci modelu!). Autoři vycház</w:t>
      </w:r>
      <w:r w:rsidR="00FA67FF" w:rsidRPr="00096052">
        <w:rPr>
          <w:lang w:val="cs-CZ"/>
        </w:rPr>
        <w:t>ej</w:t>
      </w:r>
      <w:r w:rsidRPr="00096052">
        <w:rPr>
          <w:lang w:val="cs-CZ"/>
        </w:rPr>
        <w:t xml:space="preserve">í z modelu ekonomiky s heterogenními agenty s nedokonalými trhy pojištění. Základní model rozšiřují </w:t>
      </w:r>
      <w:r w:rsidR="00DA2199" w:rsidRPr="00096052">
        <w:rPr>
          <w:lang w:val="cs-CZ"/>
        </w:rPr>
        <w:t>o</w:t>
      </w:r>
      <w:r w:rsidR="00DA2199">
        <w:rPr>
          <w:lang w:val="cs-CZ"/>
        </w:rPr>
        <w:t> </w:t>
      </w:r>
      <w:r w:rsidRPr="00096052">
        <w:rPr>
          <w:lang w:val="cs-CZ"/>
        </w:rPr>
        <w:t xml:space="preserve">produktivní vládní investice. </w:t>
      </w:r>
      <w:r w:rsidRPr="001741CC">
        <w:rPr>
          <w:lang w:val="cs-CZ"/>
        </w:rPr>
        <w:t xml:space="preserve">Kalibrací modelu na klíčové agregátní </w:t>
      </w:r>
      <w:r w:rsidR="00DA2199" w:rsidRPr="001741CC">
        <w:rPr>
          <w:lang w:val="cs-CZ"/>
        </w:rPr>
        <w:t>a</w:t>
      </w:r>
      <w:r w:rsidR="00DA2199">
        <w:rPr>
          <w:lang w:val="cs-CZ"/>
        </w:rPr>
        <w:t> </w:t>
      </w:r>
      <w:r w:rsidRPr="001741CC">
        <w:rPr>
          <w:lang w:val="cs-CZ"/>
        </w:rPr>
        <w:t xml:space="preserve">distribuční momenty slovenské ekonomiky určují citlivost optimální úrovně veřejného dluhu na přítomnost veřejných investic, dále pak jak se projeví zahrnutí přechodové dynamiky mezi stacionárními stavy do analýzy blahobytu </w:t>
      </w:r>
      <w:r w:rsidR="00DA2199" w:rsidRPr="001741CC">
        <w:rPr>
          <w:lang w:val="cs-CZ"/>
        </w:rPr>
        <w:t>a</w:t>
      </w:r>
      <w:r w:rsidR="00DA2199">
        <w:rPr>
          <w:lang w:val="cs-CZ"/>
        </w:rPr>
        <w:t> </w:t>
      </w:r>
      <w:r w:rsidRPr="001741CC">
        <w:rPr>
          <w:lang w:val="cs-CZ"/>
        </w:rPr>
        <w:t xml:space="preserve">fiskální reakční funkce. Dle nastavení </w:t>
      </w:r>
      <w:r w:rsidR="00DA2199" w:rsidRPr="001741CC">
        <w:rPr>
          <w:lang w:val="cs-CZ"/>
        </w:rPr>
        <w:t>a</w:t>
      </w:r>
      <w:r w:rsidR="00DA2199">
        <w:rPr>
          <w:lang w:val="cs-CZ"/>
        </w:rPr>
        <w:t> </w:t>
      </w:r>
      <w:r w:rsidRPr="001741CC">
        <w:rPr>
          <w:lang w:val="cs-CZ"/>
        </w:rPr>
        <w:t xml:space="preserve">specifikace modelu pak </w:t>
      </w:r>
      <w:r w:rsidRPr="00096052">
        <w:rPr>
          <w:lang w:val="cs-CZ"/>
        </w:rPr>
        <w:t>docház</w:t>
      </w:r>
      <w:r w:rsidR="00FA67FF" w:rsidRPr="00096052">
        <w:rPr>
          <w:lang w:val="cs-CZ"/>
        </w:rPr>
        <w:t>ej</w:t>
      </w:r>
      <w:r w:rsidRPr="00096052">
        <w:rPr>
          <w:lang w:val="cs-CZ"/>
        </w:rPr>
        <w:t>í</w:t>
      </w:r>
      <w:r w:rsidRPr="001741CC">
        <w:rPr>
          <w:lang w:val="cs-CZ"/>
        </w:rPr>
        <w:t xml:space="preserve"> </w:t>
      </w:r>
      <w:r w:rsidR="00DA2199" w:rsidRPr="001741CC">
        <w:rPr>
          <w:lang w:val="cs-CZ"/>
        </w:rPr>
        <w:t>k</w:t>
      </w:r>
      <w:r w:rsidR="00DA2199">
        <w:rPr>
          <w:lang w:val="cs-CZ"/>
        </w:rPr>
        <w:t> </w:t>
      </w:r>
      <w:r w:rsidRPr="001741CC">
        <w:rPr>
          <w:lang w:val="cs-CZ"/>
        </w:rPr>
        <w:t>závěru, že optimální úroveň zadlužení sektoru vládních institucí Slovenska se pohybuje mezi hodnotami 25 až 30 % HDP.</w:t>
      </w:r>
    </w:p>
    <w:p w14:paraId="7CAB27E3" w14:textId="6F5D5FE7" w:rsidR="00245CC7" w:rsidRPr="00096052" w:rsidRDefault="00245CC7" w:rsidP="00230367">
      <w:pPr>
        <w:rPr>
          <w:lang w:val="cs-CZ"/>
        </w:rPr>
      </w:pPr>
      <w:r w:rsidRPr="00096052">
        <w:rPr>
          <w:lang w:val="cs-CZ"/>
        </w:rPr>
        <w:t>Bibow</w:t>
      </w:r>
      <w:r w:rsidRPr="00096052">
        <w:rPr>
          <w:vertAlign w:val="superscript"/>
          <w:lang w:val="cs-CZ"/>
        </w:rPr>
        <w:footnoteReference w:id="26"/>
      </w:r>
      <w:r w:rsidRPr="00096052">
        <w:rPr>
          <w:lang w:val="cs-CZ"/>
        </w:rPr>
        <w:t xml:space="preserve"> rozlišuje dva typy konsolidace – konsolidaci vycházejí</w:t>
      </w:r>
      <w:r w:rsidR="00FA67FF" w:rsidRPr="00096052">
        <w:rPr>
          <w:lang w:val="cs-CZ"/>
        </w:rPr>
        <w:t>cí</w:t>
      </w:r>
      <w:r w:rsidRPr="00096052">
        <w:rPr>
          <w:lang w:val="cs-CZ"/>
        </w:rPr>
        <w:t xml:space="preserve"> ze silnějšího ekonomického růstu </w:t>
      </w:r>
      <w:r w:rsidR="00DA2199" w:rsidRPr="00096052">
        <w:rPr>
          <w:lang w:val="cs-CZ"/>
        </w:rPr>
        <w:t>a</w:t>
      </w:r>
      <w:r w:rsidR="00DA2199">
        <w:rPr>
          <w:lang w:val="cs-CZ"/>
        </w:rPr>
        <w:t> </w:t>
      </w:r>
      <w:r w:rsidRPr="00096052">
        <w:rPr>
          <w:lang w:val="cs-CZ"/>
        </w:rPr>
        <w:t xml:space="preserve">konsolidaci vycházející z úsporných opatření. Jde </w:t>
      </w:r>
      <w:r w:rsidR="00DA2199" w:rsidRPr="00096052">
        <w:rPr>
          <w:lang w:val="cs-CZ"/>
        </w:rPr>
        <w:t>o</w:t>
      </w:r>
      <w:r w:rsidR="00DA2199">
        <w:rPr>
          <w:lang w:val="cs-CZ"/>
        </w:rPr>
        <w:t> </w:t>
      </w:r>
      <w:r w:rsidRPr="00096052">
        <w:rPr>
          <w:lang w:val="cs-CZ"/>
        </w:rPr>
        <w:t xml:space="preserve">reakci na Givazziho </w:t>
      </w:r>
      <w:r w:rsidR="00DA2199" w:rsidRPr="00096052">
        <w:rPr>
          <w:lang w:val="cs-CZ"/>
        </w:rPr>
        <w:t>a</w:t>
      </w:r>
      <w:r w:rsidR="00DA2199">
        <w:rPr>
          <w:lang w:val="cs-CZ"/>
        </w:rPr>
        <w:t> </w:t>
      </w:r>
      <w:r w:rsidRPr="00096052">
        <w:rPr>
          <w:lang w:val="cs-CZ"/>
        </w:rPr>
        <w:t>Pagana</w:t>
      </w:r>
      <w:r w:rsidR="0086395D">
        <w:rPr>
          <w:lang w:val="cs-CZ"/>
        </w:rPr>
        <w:t xml:space="preserve"> (viz výše)</w:t>
      </w:r>
      <w:r w:rsidRPr="00096052">
        <w:rPr>
          <w:lang w:val="cs-CZ"/>
        </w:rPr>
        <w:t xml:space="preserve"> </w:t>
      </w:r>
      <w:r w:rsidR="00DA2199" w:rsidRPr="00096052">
        <w:rPr>
          <w:lang w:val="cs-CZ"/>
        </w:rPr>
        <w:t>o</w:t>
      </w:r>
      <w:r w:rsidR="00DA2199">
        <w:rPr>
          <w:lang w:val="cs-CZ"/>
        </w:rPr>
        <w:t> </w:t>
      </w:r>
      <w:r w:rsidRPr="00096052">
        <w:rPr>
          <w:lang w:val="cs-CZ"/>
        </w:rPr>
        <w:t xml:space="preserve">možnostech expanzivní konsolidace skrze úspory. Argumentuje, že fiskální restrikce sama </w:t>
      </w:r>
      <w:r w:rsidR="00DA2199" w:rsidRPr="00096052">
        <w:rPr>
          <w:lang w:val="cs-CZ"/>
        </w:rPr>
        <w:t>o</w:t>
      </w:r>
      <w:r w:rsidR="00DA2199">
        <w:rPr>
          <w:lang w:val="cs-CZ"/>
        </w:rPr>
        <w:t> </w:t>
      </w:r>
      <w:r w:rsidRPr="00096052">
        <w:rPr>
          <w:lang w:val="cs-CZ"/>
        </w:rPr>
        <w:t xml:space="preserve">sobě má negativní dopad na hospodářský růst </w:t>
      </w:r>
      <w:r w:rsidR="00DA2199" w:rsidRPr="00096052">
        <w:rPr>
          <w:lang w:val="cs-CZ"/>
        </w:rPr>
        <w:t>a</w:t>
      </w:r>
      <w:r w:rsidR="00DA2199">
        <w:rPr>
          <w:lang w:val="cs-CZ"/>
        </w:rPr>
        <w:t> </w:t>
      </w:r>
      <w:r w:rsidRPr="00096052">
        <w:rPr>
          <w:lang w:val="cs-CZ"/>
        </w:rPr>
        <w:t xml:space="preserve">záleží jen na tom, zda se zemím podaří nahradit </w:t>
      </w:r>
      <w:r w:rsidR="00FA67FF" w:rsidRPr="00096052">
        <w:rPr>
          <w:lang w:val="cs-CZ"/>
        </w:rPr>
        <w:t xml:space="preserve">ji </w:t>
      </w:r>
      <w:r w:rsidRPr="00096052">
        <w:rPr>
          <w:lang w:val="cs-CZ"/>
        </w:rPr>
        <w:t xml:space="preserve">růstem v jiných sektorech ekonomiky, např. exportu. To byl dle něho </w:t>
      </w:r>
      <w:r w:rsidR="00DA2199" w:rsidRPr="00096052">
        <w:rPr>
          <w:lang w:val="cs-CZ"/>
        </w:rPr>
        <w:t>i</w:t>
      </w:r>
      <w:r w:rsidR="00DA2199">
        <w:rPr>
          <w:lang w:val="cs-CZ"/>
        </w:rPr>
        <w:t> </w:t>
      </w:r>
      <w:r w:rsidRPr="00096052">
        <w:rPr>
          <w:lang w:val="cs-CZ"/>
        </w:rPr>
        <w:t xml:space="preserve">příklad Švédska, zatímco tento scénář prakticky nevyšel žádné velké zemi, která je relativně uzavřená. Z toho vyvozuje, že velké uzavřené ekonomiky mají šanci uspět, pokud koordinovanou fiskální </w:t>
      </w:r>
      <w:r w:rsidR="00DA2199" w:rsidRPr="00096052">
        <w:rPr>
          <w:lang w:val="cs-CZ"/>
        </w:rPr>
        <w:t>a</w:t>
      </w:r>
      <w:r w:rsidR="00DA2199">
        <w:rPr>
          <w:lang w:val="cs-CZ"/>
        </w:rPr>
        <w:t> </w:t>
      </w:r>
      <w:r w:rsidRPr="00096052">
        <w:rPr>
          <w:lang w:val="cs-CZ"/>
        </w:rPr>
        <w:t xml:space="preserve">měnovou politikou podporují ekonomický růst </w:t>
      </w:r>
      <w:r w:rsidR="00DA2199" w:rsidRPr="00096052">
        <w:rPr>
          <w:lang w:val="cs-CZ"/>
        </w:rPr>
        <w:t>a</w:t>
      </w:r>
      <w:r w:rsidR="00DA2199">
        <w:rPr>
          <w:lang w:val="cs-CZ"/>
        </w:rPr>
        <w:t> </w:t>
      </w:r>
      <w:r w:rsidRPr="00096052">
        <w:rPr>
          <w:lang w:val="cs-CZ"/>
        </w:rPr>
        <w:t xml:space="preserve">v jeho důsledku rostou příjmy </w:t>
      </w:r>
      <w:r w:rsidR="00DA2199" w:rsidRPr="00096052">
        <w:rPr>
          <w:lang w:val="cs-CZ"/>
        </w:rPr>
        <w:t>a</w:t>
      </w:r>
      <w:r w:rsidR="00DA2199">
        <w:rPr>
          <w:lang w:val="cs-CZ"/>
        </w:rPr>
        <w:t> </w:t>
      </w:r>
      <w:r w:rsidRPr="00096052">
        <w:rPr>
          <w:lang w:val="cs-CZ"/>
        </w:rPr>
        <w:t xml:space="preserve">klesají sociální výdaje. Na druhou stranu v případě malých otevřených ekonomik lze provést </w:t>
      </w:r>
      <w:r w:rsidRPr="00096052">
        <w:rPr>
          <w:lang w:val="cs-CZ"/>
        </w:rPr>
        <w:lastRenderedPageBreak/>
        <w:t xml:space="preserve">konsolidaci formou úsporných opatření </w:t>
      </w:r>
      <w:r w:rsidR="00DA2199" w:rsidRPr="00096052">
        <w:rPr>
          <w:lang w:val="cs-CZ"/>
        </w:rPr>
        <w:t>a</w:t>
      </w:r>
      <w:r w:rsidR="00DA2199">
        <w:rPr>
          <w:lang w:val="cs-CZ"/>
        </w:rPr>
        <w:t> </w:t>
      </w:r>
      <w:r w:rsidRPr="00096052">
        <w:rPr>
          <w:lang w:val="cs-CZ"/>
        </w:rPr>
        <w:t xml:space="preserve">dokonce se zcela vyhnout recesi, protože dopady restrikce samotné vyváží ekonomický růst okolních zemí. Jeho závěry </w:t>
      </w:r>
      <w:r w:rsidR="00DA2199" w:rsidRPr="00096052">
        <w:rPr>
          <w:lang w:val="cs-CZ"/>
        </w:rPr>
        <w:t>a</w:t>
      </w:r>
      <w:r w:rsidR="00DA2199">
        <w:rPr>
          <w:lang w:val="cs-CZ"/>
        </w:rPr>
        <w:t> </w:t>
      </w:r>
      <w:r w:rsidRPr="00096052">
        <w:rPr>
          <w:lang w:val="cs-CZ"/>
        </w:rPr>
        <w:t>konsekvence velmi korespondují např. s analýzou Stiglitze</w:t>
      </w:r>
      <w:r w:rsidRPr="00096052">
        <w:rPr>
          <w:vertAlign w:val="superscript"/>
          <w:lang w:val="cs-CZ"/>
        </w:rPr>
        <w:footnoteReference w:id="27"/>
      </w:r>
      <w:r w:rsidRPr="00096052">
        <w:rPr>
          <w:lang w:val="cs-CZ"/>
        </w:rPr>
        <w:t xml:space="preserve"> </w:t>
      </w:r>
      <w:r w:rsidR="00DA2199" w:rsidRPr="00096052">
        <w:rPr>
          <w:lang w:val="cs-CZ"/>
        </w:rPr>
        <w:t>o</w:t>
      </w:r>
      <w:r w:rsidR="00DA2199">
        <w:rPr>
          <w:lang w:val="cs-CZ"/>
        </w:rPr>
        <w:t> </w:t>
      </w:r>
      <w:r w:rsidRPr="00096052">
        <w:rPr>
          <w:lang w:val="cs-CZ"/>
        </w:rPr>
        <w:t xml:space="preserve">vývoji v eurozóně </w:t>
      </w:r>
      <w:r w:rsidR="00DA2199" w:rsidRPr="00096052">
        <w:rPr>
          <w:lang w:val="cs-CZ"/>
        </w:rPr>
        <w:t>a</w:t>
      </w:r>
      <w:r w:rsidR="00DA2199">
        <w:rPr>
          <w:lang w:val="cs-CZ"/>
        </w:rPr>
        <w:t> </w:t>
      </w:r>
      <w:r w:rsidRPr="00096052">
        <w:rPr>
          <w:lang w:val="cs-CZ"/>
        </w:rPr>
        <w:t>institucionálním uspořádání.</w:t>
      </w:r>
    </w:p>
    <w:p w14:paraId="4D261AC3" w14:textId="5C339AC0" w:rsidR="00245CC7" w:rsidRPr="00096052" w:rsidRDefault="00245CC7" w:rsidP="00230367">
      <w:pPr>
        <w:rPr>
          <w:lang w:val="cs-CZ"/>
        </w:rPr>
      </w:pPr>
      <w:r w:rsidRPr="00096052">
        <w:rPr>
          <w:lang w:val="cs-CZ"/>
        </w:rPr>
        <w:t xml:space="preserve">Vidina možnosti fiskální konsolidace bez vyvolání hospodářské recese vyvolala značný zájem v ekonomickém výzkumu </w:t>
      </w:r>
      <w:r w:rsidR="00DA2199" w:rsidRPr="00096052">
        <w:rPr>
          <w:lang w:val="cs-CZ"/>
        </w:rPr>
        <w:t>o</w:t>
      </w:r>
      <w:r w:rsidR="00DA2199">
        <w:rPr>
          <w:lang w:val="cs-CZ"/>
        </w:rPr>
        <w:t> </w:t>
      </w:r>
      <w:r w:rsidRPr="00096052">
        <w:rPr>
          <w:lang w:val="cs-CZ"/>
        </w:rPr>
        <w:t>hledání optimálního způsobu konsolidace skrze úsporná opatření.</w:t>
      </w:r>
    </w:p>
    <w:p w14:paraId="49DD88E0" w14:textId="157C6021" w:rsidR="00245CC7" w:rsidRPr="00096052" w:rsidRDefault="00245CC7" w:rsidP="00230367">
      <w:pPr>
        <w:rPr>
          <w:lang w:val="cs-CZ"/>
        </w:rPr>
      </w:pPr>
      <w:r w:rsidRPr="00096052">
        <w:rPr>
          <w:lang w:val="cs-CZ"/>
        </w:rPr>
        <w:t>OECD ve svém hospodářském výhledu v roce 2007</w:t>
      </w:r>
      <w:r w:rsidRPr="00096052">
        <w:rPr>
          <w:vertAlign w:val="superscript"/>
          <w:lang w:val="cs-CZ"/>
        </w:rPr>
        <w:footnoteReference w:id="28"/>
      </w:r>
      <w:r w:rsidRPr="00096052">
        <w:rPr>
          <w:lang w:val="cs-CZ"/>
        </w:rPr>
        <w:t xml:space="preserve"> upozornila na potřebu konsolidace v členských zemích, zejména pak v důsledku nákladů stárnutí populace. Dochází k závěru, že konsolidace byly intenzivnější, když nerovnováhy byly větší. Jde </w:t>
      </w:r>
      <w:r w:rsidR="00DA2199" w:rsidRPr="00096052">
        <w:rPr>
          <w:lang w:val="cs-CZ"/>
        </w:rPr>
        <w:t>o</w:t>
      </w:r>
      <w:r w:rsidR="00DA2199">
        <w:rPr>
          <w:lang w:val="cs-CZ"/>
        </w:rPr>
        <w:t> </w:t>
      </w:r>
      <w:r w:rsidRPr="00096052">
        <w:rPr>
          <w:lang w:val="cs-CZ"/>
        </w:rPr>
        <w:t xml:space="preserve">důsledek toho, že pokud není situace výrazně špatná, veřejnost nemusí potřebu konsolidace chápat jako urgentní, zatímco v krizové situaci nutnost řešení chápou úplně všichni </w:t>
      </w:r>
      <w:r w:rsidR="00DA2199" w:rsidRPr="00096052">
        <w:rPr>
          <w:lang w:val="cs-CZ"/>
        </w:rPr>
        <w:t>a</w:t>
      </w:r>
      <w:r w:rsidR="00DA2199">
        <w:rPr>
          <w:lang w:val="cs-CZ"/>
        </w:rPr>
        <w:t> </w:t>
      </w:r>
      <w:r w:rsidRPr="00096052">
        <w:rPr>
          <w:lang w:val="cs-CZ"/>
        </w:rPr>
        <w:t xml:space="preserve">je snazší ho prosadit. Konsolidace zaměřené na běžné výdaje se zdají být efektivnější než zvyšování daní, neboť úrokové sazby mají tendenci klesnout právě v době škrtů v běžných výdajích, soukromé úspory klesají </w:t>
      </w:r>
      <w:r w:rsidR="00DA2199" w:rsidRPr="00096052">
        <w:rPr>
          <w:lang w:val="cs-CZ"/>
        </w:rPr>
        <w:t>a</w:t>
      </w:r>
      <w:r w:rsidR="00DA2199">
        <w:rPr>
          <w:lang w:val="cs-CZ"/>
        </w:rPr>
        <w:t> </w:t>
      </w:r>
      <w:r w:rsidRPr="00096052">
        <w:rPr>
          <w:lang w:val="cs-CZ"/>
        </w:rPr>
        <w:t xml:space="preserve">růst HDP je vyšší. Riziko následného zrušení konsolidačních opatření je vyšší, pokud je konsolidace málo intenzivní </w:t>
      </w:r>
      <w:r w:rsidR="00DA2199" w:rsidRPr="00096052">
        <w:rPr>
          <w:lang w:val="cs-CZ"/>
        </w:rPr>
        <w:t>a</w:t>
      </w:r>
      <w:r w:rsidR="00DA2199">
        <w:rPr>
          <w:lang w:val="cs-CZ"/>
        </w:rPr>
        <w:t> </w:t>
      </w:r>
      <w:r w:rsidRPr="00096052">
        <w:rPr>
          <w:lang w:val="cs-CZ"/>
        </w:rPr>
        <w:t xml:space="preserve">krátká. Je zajímavé, že téměř pokaždé bylo rušení předchozích opatření spojeno se stranou výdajů. Konsolidace má rovněž šanci trvat déle, pokud začne v době silně negativní produkční mezery. Úspěšné konsolidaci napomáhá </w:t>
      </w:r>
      <w:r w:rsidR="00DA2199" w:rsidRPr="00096052">
        <w:rPr>
          <w:lang w:val="cs-CZ"/>
        </w:rPr>
        <w:t>i</w:t>
      </w:r>
      <w:r w:rsidR="00DA2199">
        <w:rPr>
          <w:lang w:val="cs-CZ"/>
        </w:rPr>
        <w:t> </w:t>
      </w:r>
      <w:r w:rsidRPr="00096052">
        <w:rPr>
          <w:lang w:val="cs-CZ"/>
        </w:rPr>
        <w:t>existence fiskálních pravidel, přičemž výdajová jsou účinnější než pravidla zaměřená na saldo.</w:t>
      </w:r>
    </w:p>
    <w:p w14:paraId="52D8D1A4" w14:textId="7DAE4600" w:rsidR="00245CC7" w:rsidRPr="00096052" w:rsidRDefault="00245CC7" w:rsidP="00230367">
      <w:pPr>
        <w:rPr>
          <w:lang w:val="cs-CZ"/>
        </w:rPr>
      </w:pPr>
      <w:r w:rsidRPr="00096052">
        <w:rPr>
          <w:lang w:val="cs-CZ"/>
        </w:rPr>
        <w:t xml:space="preserve">K podobným zjištěním dospěl </w:t>
      </w:r>
      <w:r w:rsidR="00DA2199" w:rsidRPr="00096052">
        <w:rPr>
          <w:lang w:val="cs-CZ"/>
        </w:rPr>
        <w:t>i</w:t>
      </w:r>
      <w:r w:rsidR="00DA2199">
        <w:rPr>
          <w:lang w:val="cs-CZ"/>
        </w:rPr>
        <w:t> </w:t>
      </w:r>
      <w:r w:rsidRPr="00096052">
        <w:rPr>
          <w:lang w:val="cs-CZ"/>
        </w:rPr>
        <w:t>Mezinárodní měnový fond.</w:t>
      </w:r>
      <w:r w:rsidRPr="00096052">
        <w:rPr>
          <w:vertAlign w:val="superscript"/>
          <w:lang w:val="cs-CZ"/>
        </w:rPr>
        <w:footnoteReference w:id="29"/>
      </w:r>
      <w:r w:rsidRPr="00096052">
        <w:rPr>
          <w:lang w:val="cs-CZ"/>
        </w:rPr>
        <w:t xml:space="preserve"> Velikost </w:t>
      </w:r>
      <w:r w:rsidR="00DA2199" w:rsidRPr="00096052">
        <w:rPr>
          <w:lang w:val="cs-CZ"/>
        </w:rPr>
        <w:t>a</w:t>
      </w:r>
      <w:r w:rsidR="00DA2199">
        <w:rPr>
          <w:lang w:val="cs-CZ"/>
        </w:rPr>
        <w:t> </w:t>
      </w:r>
      <w:r w:rsidRPr="00096052">
        <w:rPr>
          <w:lang w:val="cs-CZ"/>
        </w:rPr>
        <w:t xml:space="preserve">typ fiskální konsolidace ovlivňují úspěch celého procesu s tím, že úspěšnější jsou ty zaměřené na škrty běžných výdajů. Zároveň </w:t>
      </w:r>
      <w:r w:rsidR="00FA67FF" w:rsidRPr="00096052">
        <w:rPr>
          <w:lang w:val="cs-CZ"/>
        </w:rPr>
        <w:t xml:space="preserve">má </w:t>
      </w:r>
      <w:r w:rsidRPr="00096052">
        <w:rPr>
          <w:lang w:val="cs-CZ"/>
        </w:rPr>
        <w:t xml:space="preserve">výdajově orientovaná fiskální restrikce menší riziko vyvolat ekonomickou recesi. Rozsáhlým konsolidacím předcházel slabý makroekonomický výkon, jako pomalý růst HDP, vysoká inflace, vysoká nezaměstnanost, vysoké rozpočtové schodky nebo krize platební bilance. Pokud má být konsolidace expanzivní, musí být kredibilní </w:t>
      </w:r>
      <w:r w:rsidR="00DA2199" w:rsidRPr="00096052">
        <w:rPr>
          <w:lang w:val="cs-CZ"/>
        </w:rPr>
        <w:t>a</w:t>
      </w:r>
      <w:r w:rsidR="00DA2199">
        <w:rPr>
          <w:lang w:val="cs-CZ"/>
        </w:rPr>
        <w:t> </w:t>
      </w:r>
      <w:r w:rsidRPr="00096052">
        <w:rPr>
          <w:lang w:val="cs-CZ"/>
        </w:rPr>
        <w:t xml:space="preserve">efekt expanze přenášet skrze nižší úrokovou sazbu </w:t>
      </w:r>
      <w:r w:rsidR="00DA2199" w:rsidRPr="00096052">
        <w:rPr>
          <w:lang w:val="cs-CZ"/>
        </w:rPr>
        <w:t>a</w:t>
      </w:r>
      <w:r w:rsidR="00DA2199">
        <w:rPr>
          <w:lang w:val="cs-CZ"/>
        </w:rPr>
        <w:t> </w:t>
      </w:r>
      <w:r w:rsidRPr="00096052">
        <w:rPr>
          <w:lang w:val="cs-CZ"/>
        </w:rPr>
        <w:t xml:space="preserve">přes efekt bohatství (vyšší ceny aktiv) do vyšší soukromé spotřeby. Zároveň více expanzivně působí růst daní ze spotřeby oproti škrtům v produktivních výdajích. Rovněž hraje roli načasování, přičemž počátek konsolidace by měl být v záporné produkční mezeře. Mimoto mohou na expanzi působit strukturální reformy na nabídkové straně. Pozitivní vliv sehrávají </w:t>
      </w:r>
      <w:r w:rsidR="00DA2199" w:rsidRPr="00096052">
        <w:rPr>
          <w:lang w:val="cs-CZ"/>
        </w:rPr>
        <w:t>i</w:t>
      </w:r>
      <w:r w:rsidR="00DA2199">
        <w:rPr>
          <w:lang w:val="cs-CZ"/>
        </w:rPr>
        <w:t> </w:t>
      </w:r>
      <w:r w:rsidRPr="00096052">
        <w:rPr>
          <w:lang w:val="cs-CZ"/>
        </w:rPr>
        <w:t xml:space="preserve">fiskální pravidla. </w:t>
      </w:r>
      <w:r w:rsidR="000A76EA" w:rsidRPr="00096052">
        <w:rPr>
          <w:lang w:val="cs-CZ"/>
        </w:rPr>
        <w:t>V</w:t>
      </w:r>
      <w:r w:rsidRPr="00096052">
        <w:rPr>
          <w:lang w:val="cs-CZ"/>
        </w:rPr>
        <w:t xml:space="preserve"> literatuře se </w:t>
      </w:r>
      <w:r w:rsidR="000A76EA" w:rsidRPr="00096052">
        <w:rPr>
          <w:lang w:val="cs-CZ"/>
        </w:rPr>
        <w:t xml:space="preserve">však </w:t>
      </w:r>
      <w:r w:rsidRPr="00096052">
        <w:rPr>
          <w:lang w:val="cs-CZ"/>
        </w:rPr>
        <w:t xml:space="preserve">objevuje </w:t>
      </w:r>
      <w:r w:rsidR="00DA2199" w:rsidRPr="00096052">
        <w:rPr>
          <w:lang w:val="cs-CZ"/>
        </w:rPr>
        <w:t>i</w:t>
      </w:r>
      <w:r w:rsidR="00DA2199">
        <w:rPr>
          <w:lang w:val="cs-CZ"/>
        </w:rPr>
        <w:t> </w:t>
      </w:r>
      <w:r w:rsidRPr="00096052">
        <w:rPr>
          <w:lang w:val="cs-CZ"/>
        </w:rPr>
        <w:t>hypotéza, že expanzivní efekty na soukromý sektor během konsolidace mohou být specifické pro určitý typ zemí, proto je na místě opatrnost před generalizací takového tvrzení.</w:t>
      </w:r>
    </w:p>
    <w:p w14:paraId="62EF595E" w14:textId="5AF52D48" w:rsidR="00245CC7" w:rsidRPr="00096052" w:rsidRDefault="00245CC7" w:rsidP="00230367">
      <w:pPr>
        <w:rPr>
          <w:lang w:val="cs-CZ"/>
        </w:rPr>
      </w:pPr>
      <w:r w:rsidRPr="00096052">
        <w:rPr>
          <w:lang w:val="cs-CZ"/>
        </w:rPr>
        <w:t xml:space="preserve">Kredibilitu plánu fiskální konsolidace považovala brožura McCrae, Myerse </w:t>
      </w:r>
      <w:r w:rsidR="00DA2199" w:rsidRPr="00096052">
        <w:rPr>
          <w:lang w:val="cs-CZ"/>
        </w:rPr>
        <w:t>a</w:t>
      </w:r>
      <w:r w:rsidR="00DA2199">
        <w:rPr>
          <w:lang w:val="cs-CZ"/>
        </w:rPr>
        <w:t> </w:t>
      </w:r>
      <w:r w:rsidRPr="00096052">
        <w:rPr>
          <w:lang w:val="cs-CZ"/>
        </w:rPr>
        <w:t>Glatzel</w:t>
      </w:r>
      <w:r w:rsidRPr="0045534A">
        <w:rPr>
          <w:rStyle w:val="StylZnakapoznpodarouLatinkaArial"/>
        </w:rPr>
        <w:footnoteReference w:id="30"/>
      </w:r>
      <w:r w:rsidRPr="00096052">
        <w:rPr>
          <w:lang w:val="cs-CZ"/>
        </w:rPr>
        <w:t xml:space="preserve"> za klíčovou pro úspěšné provedení fiskální konsolidace. Rady autoři zasadili primárně do prostředí Velké Británie. </w:t>
      </w:r>
      <w:r w:rsidR="00DA2199" w:rsidRPr="00096052">
        <w:rPr>
          <w:lang w:val="cs-CZ"/>
        </w:rPr>
        <w:t>V</w:t>
      </w:r>
      <w:r w:rsidR="00DA2199">
        <w:rPr>
          <w:lang w:val="cs-CZ"/>
        </w:rPr>
        <w:t> </w:t>
      </w:r>
      <w:r w:rsidRPr="00096052">
        <w:rPr>
          <w:lang w:val="cs-CZ"/>
        </w:rPr>
        <w:t xml:space="preserve">první části se text věnuje politickým aspektům tvorby věrohodného konsolidačního plánu. Velké fiskální úpravy potřebují politické zdůvodnění schopné vybudovat mezi veřejností „mandát“ vlády ke změně. To je velmi důležitý aspekt, konsolidace bude nepochybně vystavena tlaku ze strany subjektů, jež opatření negativně postihnou nejvíce. Celý proces by měl být dle dokumentu motivován vhodně formulovanou politickou otázkou, dále by odborná veřejnost měla být zapojena do diskuse </w:t>
      </w:r>
      <w:r w:rsidR="00DA2199" w:rsidRPr="00096052">
        <w:rPr>
          <w:lang w:val="cs-CZ"/>
        </w:rPr>
        <w:t>a</w:t>
      </w:r>
      <w:r w:rsidR="00DA2199">
        <w:rPr>
          <w:lang w:val="cs-CZ"/>
        </w:rPr>
        <w:t> </w:t>
      </w:r>
      <w:r w:rsidRPr="00096052">
        <w:rPr>
          <w:lang w:val="cs-CZ"/>
        </w:rPr>
        <w:t xml:space="preserve">rozhodování. Vláda by měla být připravena použít výsledky z této procedury do svých dalších činů – opačné uchopení závěrů veřejné diskuse by mohlo působit jen jako laciná PR akce, postup vlády tak znevěrohodnit </w:t>
      </w:r>
      <w:r w:rsidR="00DA2199" w:rsidRPr="00096052">
        <w:rPr>
          <w:lang w:val="cs-CZ"/>
        </w:rPr>
        <w:t>a</w:t>
      </w:r>
      <w:r w:rsidR="00DA2199">
        <w:rPr>
          <w:lang w:val="cs-CZ"/>
        </w:rPr>
        <w:t> </w:t>
      </w:r>
      <w:r w:rsidRPr="00096052">
        <w:rPr>
          <w:lang w:val="cs-CZ"/>
        </w:rPr>
        <w:t xml:space="preserve">učinit jej kontraproduktivním. Nakonec by opatření měla být představena jako jeden balíček, neboť se </w:t>
      </w:r>
      <w:r w:rsidR="00DA2199" w:rsidRPr="00096052">
        <w:rPr>
          <w:lang w:val="cs-CZ"/>
        </w:rPr>
        <w:t>v</w:t>
      </w:r>
      <w:r w:rsidR="00DA2199">
        <w:rPr>
          <w:lang w:val="cs-CZ"/>
        </w:rPr>
        <w:t> </w:t>
      </w:r>
      <w:r w:rsidRPr="00096052">
        <w:rPr>
          <w:lang w:val="cs-CZ"/>
        </w:rPr>
        <w:t xml:space="preserve">tomto případě obtížněji hledají protiargumenty k jednotlivým opatřením. Úspěch fiskální </w:t>
      </w:r>
      <w:r w:rsidRPr="00096052">
        <w:rPr>
          <w:lang w:val="cs-CZ"/>
        </w:rPr>
        <w:lastRenderedPageBreak/>
        <w:t xml:space="preserve">konsolidace rovněž vyžaduje rozhodné nasazení, odhodlání </w:t>
      </w:r>
      <w:r w:rsidR="00DA2199" w:rsidRPr="00096052">
        <w:rPr>
          <w:lang w:val="cs-CZ"/>
        </w:rPr>
        <w:t>a</w:t>
      </w:r>
      <w:r w:rsidR="00DA2199">
        <w:rPr>
          <w:lang w:val="cs-CZ"/>
        </w:rPr>
        <w:t> </w:t>
      </w:r>
      <w:r w:rsidRPr="00096052">
        <w:rPr>
          <w:lang w:val="cs-CZ"/>
        </w:rPr>
        <w:t xml:space="preserve">silný leadership vedoucích politických reprezentantů za účelem vytvoření očekávání, že vláda myslí konsolidaci vážně. Velmi důležitá je proto také kolegialita </w:t>
      </w:r>
      <w:r w:rsidR="00DA2199" w:rsidRPr="00096052">
        <w:rPr>
          <w:lang w:val="cs-CZ"/>
        </w:rPr>
        <w:t>a</w:t>
      </w:r>
      <w:r w:rsidR="00DA2199">
        <w:rPr>
          <w:lang w:val="cs-CZ"/>
        </w:rPr>
        <w:t> </w:t>
      </w:r>
      <w:r w:rsidRPr="00096052">
        <w:rPr>
          <w:lang w:val="cs-CZ"/>
        </w:rPr>
        <w:t xml:space="preserve">důvěra </w:t>
      </w:r>
      <w:r w:rsidR="00DA2199" w:rsidRPr="00096052">
        <w:rPr>
          <w:lang w:val="cs-CZ"/>
        </w:rPr>
        <w:t>v</w:t>
      </w:r>
      <w:r w:rsidR="00DA2199">
        <w:rPr>
          <w:lang w:val="cs-CZ"/>
        </w:rPr>
        <w:t> </w:t>
      </w:r>
      <w:r w:rsidRPr="00096052">
        <w:rPr>
          <w:lang w:val="cs-CZ"/>
        </w:rPr>
        <w:t xml:space="preserve">plán </w:t>
      </w:r>
      <w:r w:rsidR="00DA2199" w:rsidRPr="00096052">
        <w:rPr>
          <w:lang w:val="cs-CZ"/>
        </w:rPr>
        <w:t>v</w:t>
      </w:r>
      <w:r w:rsidR="00DA2199">
        <w:rPr>
          <w:lang w:val="cs-CZ"/>
        </w:rPr>
        <w:t> </w:t>
      </w:r>
      <w:r w:rsidRPr="00096052">
        <w:rPr>
          <w:lang w:val="cs-CZ"/>
        </w:rPr>
        <w:t xml:space="preserve">rámci vlády samotné. Nakonec je uvedeno, že ti, kteří jsou odpovědní za realizaci plánů, by jejich provedení měli převzít přímo do svých rukou, což povede nejen </w:t>
      </w:r>
      <w:r w:rsidR="00DA2199" w:rsidRPr="00096052">
        <w:rPr>
          <w:lang w:val="cs-CZ"/>
        </w:rPr>
        <w:t>k</w:t>
      </w:r>
      <w:r w:rsidR="00DA2199">
        <w:rPr>
          <w:lang w:val="cs-CZ"/>
        </w:rPr>
        <w:t> </w:t>
      </w:r>
      <w:r w:rsidRPr="00096052">
        <w:rPr>
          <w:lang w:val="cs-CZ"/>
        </w:rPr>
        <w:t xml:space="preserve">lepším plánům, ale může to také nasměrovat energii </w:t>
      </w:r>
      <w:r w:rsidR="00DA2199" w:rsidRPr="00096052">
        <w:rPr>
          <w:lang w:val="cs-CZ"/>
        </w:rPr>
        <w:t>k</w:t>
      </w:r>
      <w:r w:rsidR="00DA2199">
        <w:rPr>
          <w:lang w:val="cs-CZ"/>
        </w:rPr>
        <w:t> </w:t>
      </w:r>
      <w:r w:rsidRPr="00096052">
        <w:rPr>
          <w:lang w:val="cs-CZ"/>
        </w:rPr>
        <w:t xml:space="preserve">udržení služeb ohrožených škrty. </w:t>
      </w:r>
      <w:r w:rsidR="00DA2199" w:rsidRPr="00096052">
        <w:rPr>
          <w:lang w:val="cs-CZ"/>
        </w:rPr>
        <w:t>Z</w:t>
      </w:r>
      <w:r w:rsidR="00DA2199">
        <w:rPr>
          <w:lang w:val="cs-CZ"/>
        </w:rPr>
        <w:t> </w:t>
      </w:r>
      <w:r w:rsidRPr="00096052">
        <w:rPr>
          <w:lang w:val="cs-CZ"/>
        </w:rPr>
        <w:t xml:space="preserve">hlediska obsahu autoři poukázali na to, že základem každého plánu je důvěryhodnost. Nejvhodnějšími mechanismy pro důvěryhodnou konsolidaci jsou ty, které se projeví nejzřetelněji </w:t>
      </w:r>
      <w:r w:rsidR="00DA2199" w:rsidRPr="00096052">
        <w:rPr>
          <w:lang w:val="cs-CZ"/>
        </w:rPr>
        <w:t>a</w:t>
      </w:r>
      <w:r w:rsidR="00DA2199">
        <w:rPr>
          <w:lang w:val="cs-CZ"/>
        </w:rPr>
        <w:t> </w:t>
      </w:r>
      <w:r w:rsidRPr="00096052">
        <w:rPr>
          <w:lang w:val="cs-CZ"/>
        </w:rPr>
        <w:t xml:space="preserve">které jsou nejvíce pod kontrolou centrální vlády. </w:t>
      </w:r>
      <w:r w:rsidR="00DA2199" w:rsidRPr="00096052">
        <w:rPr>
          <w:lang w:val="cs-CZ"/>
        </w:rPr>
        <w:t>Z</w:t>
      </w:r>
      <w:r w:rsidR="00DA2199">
        <w:rPr>
          <w:lang w:val="cs-CZ"/>
        </w:rPr>
        <w:t> </w:t>
      </w:r>
      <w:r w:rsidRPr="00096052">
        <w:rPr>
          <w:lang w:val="cs-CZ"/>
        </w:rPr>
        <w:t xml:space="preserve">konkrétních opatření se </w:t>
      </w:r>
      <w:r w:rsidR="00DA2199" w:rsidRPr="00096052">
        <w:rPr>
          <w:lang w:val="cs-CZ"/>
        </w:rPr>
        <w:t>v</w:t>
      </w:r>
      <w:r w:rsidR="00DA2199">
        <w:rPr>
          <w:lang w:val="cs-CZ"/>
        </w:rPr>
        <w:t> </w:t>
      </w:r>
      <w:r w:rsidRPr="00096052">
        <w:rPr>
          <w:lang w:val="cs-CZ"/>
        </w:rPr>
        <w:t xml:space="preserve">prvé řadě jedná </w:t>
      </w:r>
      <w:r w:rsidR="00DA2199" w:rsidRPr="00096052">
        <w:rPr>
          <w:lang w:val="cs-CZ"/>
        </w:rPr>
        <w:t>o</w:t>
      </w:r>
      <w:r w:rsidR="00DA2199">
        <w:rPr>
          <w:lang w:val="cs-CZ"/>
        </w:rPr>
        <w:t> </w:t>
      </w:r>
      <w:r w:rsidRPr="00096052">
        <w:rPr>
          <w:lang w:val="cs-CZ"/>
        </w:rPr>
        <w:t xml:space="preserve">zvyšování daní. Poukazuje se zde na zkušenosti Velké Británie 90. let – daně zde byly téměř zcela kontrolovány centrální vládou </w:t>
      </w:r>
      <w:r w:rsidR="00DA2199" w:rsidRPr="00096052">
        <w:rPr>
          <w:lang w:val="cs-CZ"/>
        </w:rPr>
        <w:t>a</w:t>
      </w:r>
      <w:r w:rsidR="00DA2199">
        <w:rPr>
          <w:lang w:val="cs-CZ"/>
        </w:rPr>
        <w:t> </w:t>
      </w:r>
      <w:r w:rsidRPr="00096052">
        <w:rPr>
          <w:lang w:val="cs-CZ"/>
        </w:rPr>
        <w:t xml:space="preserve">výsledkem nárůstu bylo zjevně získání dodatečné hotovosti k pokrytí nerovnováhy ve veřejných financích. Podobně zvýšení daní představovalo polovinu úspěšných konsolidací ve Švédsku. Jako další opatření McCrae, Myers </w:t>
      </w:r>
      <w:r w:rsidR="00DA2199" w:rsidRPr="00096052">
        <w:rPr>
          <w:lang w:val="cs-CZ"/>
        </w:rPr>
        <w:t>a</w:t>
      </w:r>
      <w:r w:rsidR="00DA2199">
        <w:rPr>
          <w:lang w:val="cs-CZ"/>
        </w:rPr>
        <w:t> </w:t>
      </w:r>
      <w:r w:rsidRPr="00096052">
        <w:rPr>
          <w:lang w:val="cs-CZ"/>
        </w:rPr>
        <w:t xml:space="preserve">Glatzel radili snížení sociálních dávek, které přímo kontroluje ústřední vláda </w:t>
      </w:r>
      <w:r w:rsidR="00DA2199" w:rsidRPr="00096052">
        <w:rPr>
          <w:lang w:val="cs-CZ"/>
        </w:rPr>
        <w:t>a</w:t>
      </w:r>
      <w:r w:rsidR="00DA2199">
        <w:rPr>
          <w:lang w:val="cs-CZ"/>
        </w:rPr>
        <w:t> </w:t>
      </w:r>
      <w:r w:rsidRPr="00096052">
        <w:rPr>
          <w:lang w:val="cs-CZ"/>
        </w:rPr>
        <w:t xml:space="preserve">jakékoli snížení automaticky redukuje výdaje vlády. </w:t>
      </w:r>
      <w:r w:rsidR="00DA2199" w:rsidRPr="00096052">
        <w:rPr>
          <w:lang w:val="cs-CZ"/>
        </w:rPr>
        <w:t>S</w:t>
      </w:r>
      <w:r w:rsidR="00DA2199">
        <w:rPr>
          <w:lang w:val="cs-CZ"/>
        </w:rPr>
        <w:t> </w:t>
      </w:r>
      <w:r w:rsidRPr="00096052">
        <w:rPr>
          <w:lang w:val="cs-CZ"/>
        </w:rPr>
        <w:t>podobným odůvodněním také doporučili redukci mezd či penzí. Další zdroje příjmů mohou být také získány různým zpoplatňováním služeb – zde měl autorský kolektiv na mysli primárně zavedení poplatků za předpis či zavedení školného.</w:t>
      </w:r>
    </w:p>
    <w:p w14:paraId="13444E5B" w14:textId="6886AC23" w:rsidR="00245CC7" w:rsidRPr="00096052" w:rsidRDefault="00245CC7" w:rsidP="00230367">
      <w:pPr>
        <w:rPr>
          <w:lang w:val="cs-CZ"/>
        </w:rPr>
      </w:pPr>
      <w:r w:rsidRPr="00096052">
        <w:rPr>
          <w:lang w:val="cs-CZ"/>
        </w:rPr>
        <w:t xml:space="preserve">Heylen </w:t>
      </w:r>
      <w:r w:rsidR="00DA2199" w:rsidRPr="00096052">
        <w:rPr>
          <w:lang w:val="cs-CZ"/>
        </w:rPr>
        <w:t>a</w:t>
      </w:r>
      <w:r w:rsidR="00DA2199">
        <w:rPr>
          <w:lang w:val="cs-CZ"/>
        </w:rPr>
        <w:t> </w:t>
      </w:r>
      <w:r w:rsidRPr="00096052">
        <w:rPr>
          <w:lang w:val="cs-CZ"/>
        </w:rPr>
        <w:t>Everaert</w:t>
      </w:r>
      <w:r w:rsidRPr="00096052">
        <w:rPr>
          <w:vertAlign w:val="superscript"/>
          <w:lang w:val="cs-CZ"/>
        </w:rPr>
        <w:footnoteReference w:id="31"/>
      </w:r>
      <w:r w:rsidRPr="00096052">
        <w:rPr>
          <w:lang w:val="cs-CZ"/>
        </w:rPr>
        <w:t xml:space="preserve"> testují konsensuální závěry </w:t>
      </w:r>
      <w:r w:rsidR="00DA2199" w:rsidRPr="00096052">
        <w:rPr>
          <w:lang w:val="cs-CZ"/>
        </w:rPr>
        <w:t>o</w:t>
      </w:r>
      <w:r w:rsidR="00DA2199">
        <w:rPr>
          <w:lang w:val="cs-CZ"/>
        </w:rPr>
        <w:t> </w:t>
      </w:r>
      <w:r w:rsidRPr="00096052">
        <w:rPr>
          <w:lang w:val="cs-CZ"/>
        </w:rPr>
        <w:t xml:space="preserve">efektech konsolidace z hlediska načasování nebo složení. Podle nich je načasování zásadní, ale upřesňují, že úspěšná konsolidace může být jen tehdy, pokud je silný ekonomický růst </w:t>
      </w:r>
      <w:r w:rsidR="00DA2199" w:rsidRPr="00096052">
        <w:rPr>
          <w:lang w:val="cs-CZ"/>
        </w:rPr>
        <w:t>a</w:t>
      </w:r>
      <w:r w:rsidR="00DA2199">
        <w:rPr>
          <w:lang w:val="cs-CZ"/>
        </w:rPr>
        <w:t> </w:t>
      </w:r>
      <w:r w:rsidRPr="00096052">
        <w:rPr>
          <w:lang w:val="cs-CZ"/>
        </w:rPr>
        <w:t xml:space="preserve">produkční mezera roste, zatímco v době poklesu produkční mezery </w:t>
      </w:r>
      <w:r w:rsidR="000A76EA" w:rsidRPr="00096052">
        <w:rPr>
          <w:lang w:val="cs-CZ"/>
        </w:rPr>
        <w:t xml:space="preserve">má </w:t>
      </w:r>
      <w:r w:rsidRPr="00096052">
        <w:rPr>
          <w:lang w:val="cs-CZ"/>
        </w:rPr>
        <w:t xml:space="preserve">konsolidace tendenci selhávat. Z hlediska složení napadají tvrzení, že pro úspěšnost konsolidace je nutné provést škrty v oblasti objemu platů ve veřejném sektoru </w:t>
      </w:r>
      <w:r w:rsidR="00DA2199" w:rsidRPr="00096052">
        <w:rPr>
          <w:lang w:val="cs-CZ"/>
        </w:rPr>
        <w:t>a</w:t>
      </w:r>
      <w:r w:rsidR="00DA2199">
        <w:rPr>
          <w:lang w:val="cs-CZ"/>
        </w:rPr>
        <w:t> </w:t>
      </w:r>
      <w:r w:rsidRPr="00096052">
        <w:rPr>
          <w:lang w:val="cs-CZ"/>
        </w:rPr>
        <w:t xml:space="preserve">v sociálních transferech, přičemž úspěch není ohrožen ani růstem daní pro právnické osoby </w:t>
      </w:r>
      <w:r w:rsidR="00DA2199" w:rsidRPr="00096052">
        <w:rPr>
          <w:lang w:val="cs-CZ"/>
        </w:rPr>
        <w:t>a</w:t>
      </w:r>
      <w:r w:rsidR="00DA2199">
        <w:rPr>
          <w:lang w:val="cs-CZ"/>
        </w:rPr>
        <w:t> </w:t>
      </w:r>
      <w:r w:rsidRPr="00096052">
        <w:rPr>
          <w:lang w:val="cs-CZ"/>
        </w:rPr>
        <w:t xml:space="preserve">nepřímých daní, zatímco k neúspěchu vedou růst daní pro fyzické osoby </w:t>
      </w:r>
      <w:r w:rsidR="00DA2199" w:rsidRPr="00096052">
        <w:rPr>
          <w:lang w:val="cs-CZ"/>
        </w:rPr>
        <w:t>a</w:t>
      </w:r>
      <w:r w:rsidR="00DA2199">
        <w:rPr>
          <w:lang w:val="cs-CZ"/>
        </w:rPr>
        <w:t> </w:t>
      </w:r>
      <w:r w:rsidRPr="00096052">
        <w:rPr>
          <w:lang w:val="cs-CZ"/>
        </w:rPr>
        <w:t xml:space="preserve">škrty </w:t>
      </w:r>
      <w:r w:rsidR="00DA2199" w:rsidRPr="00096052">
        <w:rPr>
          <w:lang w:val="cs-CZ"/>
        </w:rPr>
        <w:t>v</w:t>
      </w:r>
      <w:r w:rsidR="00DA2199">
        <w:rPr>
          <w:lang w:val="cs-CZ"/>
        </w:rPr>
        <w:t> </w:t>
      </w:r>
      <w:r w:rsidRPr="00096052">
        <w:rPr>
          <w:lang w:val="cs-CZ"/>
        </w:rPr>
        <w:t xml:space="preserve">investicích. Autoři tento konsensus potvrzují jen zčásti. Souhlasí s názorem na investice (škodlivost škrtů), sociální transfery (prospěšnost škrtů), daně pro fyzické osoby (škodlivost zvyšování) </w:t>
      </w:r>
      <w:r w:rsidR="00DA2199" w:rsidRPr="00096052">
        <w:rPr>
          <w:lang w:val="cs-CZ"/>
        </w:rPr>
        <w:t>a</w:t>
      </w:r>
      <w:r w:rsidR="00DA2199">
        <w:rPr>
          <w:lang w:val="cs-CZ"/>
        </w:rPr>
        <w:t> </w:t>
      </w:r>
      <w:r w:rsidRPr="00096052">
        <w:rPr>
          <w:lang w:val="cs-CZ"/>
        </w:rPr>
        <w:t xml:space="preserve">daně pro právnické osoby (prospěšnost zvýšení), ne však pro nepřímé daně (jejich růst podkopává pravděpodobnost úspěchu) </w:t>
      </w:r>
      <w:r w:rsidR="00DA2199" w:rsidRPr="00096052">
        <w:rPr>
          <w:lang w:val="cs-CZ"/>
        </w:rPr>
        <w:t>a</w:t>
      </w:r>
      <w:r w:rsidR="00DA2199">
        <w:rPr>
          <w:lang w:val="cs-CZ"/>
        </w:rPr>
        <w:t> </w:t>
      </w:r>
      <w:r w:rsidRPr="00096052">
        <w:rPr>
          <w:lang w:val="cs-CZ"/>
        </w:rPr>
        <w:t xml:space="preserve">platy (škrty vedou k nižšímu ekonomickému růstu </w:t>
      </w:r>
      <w:r w:rsidR="00DA2199" w:rsidRPr="00096052">
        <w:rPr>
          <w:lang w:val="cs-CZ"/>
        </w:rPr>
        <w:t>a</w:t>
      </w:r>
      <w:r w:rsidR="00DA2199">
        <w:rPr>
          <w:lang w:val="cs-CZ"/>
        </w:rPr>
        <w:t> </w:t>
      </w:r>
      <w:r w:rsidRPr="00096052">
        <w:rPr>
          <w:lang w:val="cs-CZ"/>
        </w:rPr>
        <w:t>konsolidace není úspěšná). Autoři rovněž přicház</w:t>
      </w:r>
      <w:r w:rsidR="000A76EA" w:rsidRPr="00096052">
        <w:rPr>
          <w:lang w:val="cs-CZ"/>
        </w:rPr>
        <w:t>ej</w:t>
      </w:r>
      <w:r w:rsidRPr="00096052">
        <w:rPr>
          <w:lang w:val="cs-CZ"/>
        </w:rPr>
        <w:t xml:space="preserve">í s tvrzením, že keynesovské efekty fiskální restrikce (tedy hrozba recese) jsou pravděpodobnější </w:t>
      </w:r>
      <w:r w:rsidR="00DA2199" w:rsidRPr="00096052">
        <w:rPr>
          <w:lang w:val="cs-CZ"/>
        </w:rPr>
        <w:t>u</w:t>
      </w:r>
      <w:r w:rsidR="00DA2199">
        <w:rPr>
          <w:lang w:val="cs-CZ"/>
        </w:rPr>
        <w:t> </w:t>
      </w:r>
      <w:r w:rsidRPr="00096052">
        <w:rPr>
          <w:lang w:val="cs-CZ"/>
        </w:rPr>
        <w:t>zemí s nízkým zadlužením.</w:t>
      </w:r>
    </w:p>
    <w:p w14:paraId="3E7EBF6B" w14:textId="77777777" w:rsidR="00245CC7" w:rsidRPr="00096052" w:rsidRDefault="00245CC7" w:rsidP="00230367">
      <w:pPr>
        <w:rPr>
          <w:lang w:val="cs-CZ"/>
        </w:rPr>
      </w:pPr>
      <w:r w:rsidRPr="00096052">
        <w:rPr>
          <w:lang w:val="cs-CZ"/>
        </w:rPr>
        <w:t>Molnár</w:t>
      </w:r>
      <w:r w:rsidRPr="00096052">
        <w:rPr>
          <w:vertAlign w:val="superscript"/>
          <w:lang w:val="cs-CZ"/>
        </w:rPr>
        <w:footnoteReference w:id="32"/>
      </w:r>
      <w:r w:rsidRPr="00096052">
        <w:rPr>
          <w:lang w:val="cs-CZ"/>
        </w:rPr>
        <w:t xml:space="preserve"> zkoumá řadu hledisek, které mohou mít vliv na úspěšnou konsolidaci. Ve většině případů potvrzuje konsensus, ale přináší několik doplnění. Fiskální pravidla mají pozitivní vliv na úspěšnost fiskální konsolidace, avšak nemají moc vliv na její parametry. Typ konsolidace má vliv na úspěch, přičemž výdajově orientované mají větší šance. V případě, že jsou konsolidace velmi velkého rozsahu, pak bývá výsledků dosaženo kombinací opatření na obou stranách rozpočtu (pouze výdaje dluh stabilizují jen dočasně). Ekonomický růst pozitivně ovlivňuje možnosti stabilizace zadlužení, ale na velikost nebo intenzitu konsolidace vliv příliš nemá. </w:t>
      </w:r>
    </w:p>
    <w:p w14:paraId="1F8234DB" w14:textId="11AAA0CF" w:rsidR="00245CC7" w:rsidRPr="00096052" w:rsidRDefault="00245CC7" w:rsidP="00230367">
      <w:pPr>
        <w:rPr>
          <w:lang w:val="cs-CZ"/>
        </w:rPr>
      </w:pPr>
      <w:r w:rsidRPr="00096052">
        <w:rPr>
          <w:lang w:val="cs-CZ"/>
        </w:rPr>
        <w:t xml:space="preserve">Alesina, Favero </w:t>
      </w:r>
      <w:r w:rsidR="00DA2199" w:rsidRPr="00096052">
        <w:rPr>
          <w:lang w:val="cs-CZ"/>
        </w:rPr>
        <w:t>a</w:t>
      </w:r>
      <w:r w:rsidR="00DA2199">
        <w:rPr>
          <w:lang w:val="cs-CZ"/>
        </w:rPr>
        <w:t> </w:t>
      </w:r>
      <w:r w:rsidRPr="00096052">
        <w:rPr>
          <w:lang w:val="cs-CZ"/>
        </w:rPr>
        <w:t xml:space="preserve">Giavazzi jsou autory celé řady studií na téma konsolidace, jejího složení </w:t>
      </w:r>
      <w:r w:rsidR="00DA2199" w:rsidRPr="00096052">
        <w:rPr>
          <w:lang w:val="cs-CZ"/>
        </w:rPr>
        <w:t>a</w:t>
      </w:r>
      <w:r w:rsidR="00DA2199">
        <w:rPr>
          <w:lang w:val="cs-CZ"/>
        </w:rPr>
        <w:t> </w:t>
      </w:r>
      <w:r w:rsidRPr="00096052">
        <w:rPr>
          <w:lang w:val="cs-CZ"/>
        </w:rPr>
        <w:t>efektů na ekonomický růst. Jejich závěry</w:t>
      </w:r>
      <w:r w:rsidRPr="00096052">
        <w:rPr>
          <w:vertAlign w:val="superscript"/>
          <w:lang w:val="cs-CZ"/>
        </w:rPr>
        <w:footnoteReference w:id="33"/>
      </w:r>
      <w:r w:rsidRPr="00096052">
        <w:rPr>
          <w:lang w:val="cs-CZ"/>
        </w:rPr>
        <w:t xml:space="preserve"> lze shrnout</w:t>
      </w:r>
      <w:r w:rsidR="00D06D61" w:rsidRPr="00096052">
        <w:rPr>
          <w:lang w:val="cs-CZ"/>
        </w:rPr>
        <w:t xml:space="preserve"> tak</w:t>
      </w:r>
      <w:r w:rsidRPr="00096052">
        <w:rPr>
          <w:lang w:val="cs-CZ"/>
        </w:rPr>
        <w:t xml:space="preserve">, že existuje statisticky významný vztah mezi efekty na ekonomický výstup v závislosti na typu konsolidace (zaměřená na výdaje </w:t>
      </w:r>
      <w:r w:rsidRPr="00096052">
        <w:rPr>
          <w:lang w:val="cs-CZ"/>
        </w:rPr>
        <w:lastRenderedPageBreak/>
        <w:t xml:space="preserve">versus na příjmy). Konsolidace zaměřené na výdaje mají mnohem menší vliv na růst HDP než zvyšování daní. Země, které konsolidovaly skrze zvyšování daní, procházely hlubší recesí. Sociální transfery nejsou negativní daně, efekt na růst HDP je jiný (škrty v transferech mají menší vliv na ekonomický růst). Důvodem odlišného efektu na růst HDP jsou soukromé investice (tedy nikoliv čistý export nebo soukromá spotřeba). Chování měnové politiky (hypotéza, že úrokové sazby mají tendenci centrální banky snižovat spíše tehdy, pokud je konsolidace vedena převážně na výdajové straně) přisuzují z hlediska úspěšnosti konsolidace menší vliv než řada jiných autorů. Zároveň odhadují multiplikátory pro jednotlivé typy konsolidací v závislosti na fázi hospodářského cyklu. </w:t>
      </w:r>
      <w:r w:rsidR="00D06D61" w:rsidRPr="00096052">
        <w:rPr>
          <w:lang w:val="cs-CZ"/>
        </w:rPr>
        <w:t>M</w:t>
      </w:r>
      <w:r w:rsidRPr="00096052">
        <w:rPr>
          <w:lang w:val="cs-CZ"/>
        </w:rPr>
        <w:t xml:space="preserve">ultiplikátor </w:t>
      </w:r>
      <w:r w:rsidR="00DA2199" w:rsidRPr="00096052">
        <w:rPr>
          <w:lang w:val="cs-CZ"/>
        </w:rPr>
        <w:t>u</w:t>
      </w:r>
      <w:r w:rsidR="00DA2199">
        <w:rPr>
          <w:lang w:val="cs-CZ"/>
        </w:rPr>
        <w:t> </w:t>
      </w:r>
      <w:r w:rsidRPr="00096052">
        <w:rPr>
          <w:lang w:val="cs-CZ"/>
        </w:rPr>
        <w:t xml:space="preserve">výdajově vedené konsolidace je </w:t>
      </w:r>
      <w:r w:rsidR="00D06D61" w:rsidRPr="00096052">
        <w:rPr>
          <w:lang w:val="cs-CZ"/>
        </w:rPr>
        <w:t xml:space="preserve">podle nich </w:t>
      </w:r>
      <w:r w:rsidRPr="00096052">
        <w:rPr>
          <w:lang w:val="cs-CZ"/>
        </w:rPr>
        <w:t xml:space="preserve">zhruba třikrát nižší než </w:t>
      </w:r>
      <w:r w:rsidR="00DA2199" w:rsidRPr="00096052">
        <w:rPr>
          <w:lang w:val="cs-CZ"/>
        </w:rPr>
        <w:t>u</w:t>
      </w:r>
      <w:r w:rsidR="00DA2199">
        <w:rPr>
          <w:lang w:val="cs-CZ"/>
        </w:rPr>
        <w:t> </w:t>
      </w:r>
      <w:r w:rsidRPr="00096052">
        <w:rPr>
          <w:lang w:val="cs-CZ"/>
        </w:rPr>
        <w:t xml:space="preserve">konsolidace skrze zvyšování daní </w:t>
      </w:r>
      <w:r w:rsidR="00DA2199" w:rsidRPr="00096052">
        <w:rPr>
          <w:lang w:val="cs-CZ"/>
        </w:rPr>
        <w:t>a</w:t>
      </w:r>
      <w:r w:rsidR="00DA2199">
        <w:rPr>
          <w:lang w:val="cs-CZ"/>
        </w:rPr>
        <w:t> </w:t>
      </w:r>
      <w:r w:rsidRPr="00096052">
        <w:rPr>
          <w:lang w:val="cs-CZ"/>
        </w:rPr>
        <w:t>multiplikátory jsou obecně nižší v době recese.</w:t>
      </w:r>
    </w:p>
    <w:p w14:paraId="613265E3" w14:textId="64B7A123" w:rsidR="00245CC7" w:rsidRPr="00096052" w:rsidRDefault="00245CC7" w:rsidP="00230367">
      <w:pPr>
        <w:rPr>
          <w:lang w:val="cs-CZ"/>
        </w:rPr>
      </w:pPr>
      <w:r w:rsidRPr="00096052">
        <w:rPr>
          <w:lang w:val="cs-CZ"/>
        </w:rPr>
        <w:t xml:space="preserve">K podobným závěrům pro rozvinuté ekonomiky ohledně vlivu složení konsolidačních opatření na ekonomický růst přichází </w:t>
      </w:r>
      <w:r w:rsidR="00DA2199" w:rsidRPr="00096052">
        <w:rPr>
          <w:lang w:val="cs-CZ"/>
        </w:rPr>
        <w:t>i</w:t>
      </w:r>
      <w:r w:rsidR="00DA2199">
        <w:rPr>
          <w:lang w:val="cs-CZ"/>
        </w:rPr>
        <w:t> </w:t>
      </w:r>
      <w:r w:rsidRPr="00096052">
        <w:rPr>
          <w:lang w:val="cs-CZ"/>
        </w:rPr>
        <w:t>Leigh et al</w:t>
      </w:r>
      <w:r w:rsidRPr="0045534A">
        <w:rPr>
          <w:rStyle w:val="StylZnakapoznpodarouLatinkaArial"/>
        </w:rPr>
        <w:footnoteReference w:id="34"/>
      </w:r>
      <w:r w:rsidRPr="00096052">
        <w:rPr>
          <w:lang w:val="cs-CZ"/>
        </w:rPr>
        <w:t xml:space="preserve">. Výsledky naznačují, že fiskální konsolidace založená na daních </w:t>
      </w:r>
      <w:r w:rsidR="00DA2199" w:rsidRPr="00096052">
        <w:rPr>
          <w:lang w:val="cs-CZ"/>
        </w:rPr>
        <w:t>i</w:t>
      </w:r>
      <w:r w:rsidR="00DA2199">
        <w:rPr>
          <w:lang w:val="cs-CZ"/>
        </w:rPr>
        <w:t> </w:t>
      </w:r>
      <w:r w:rsidRPr="00096052">
        <w:rPr>
          <w:lang w:val="cs-CZ"/>
        </w:rPr>
        <w:t xml:space="preserve">na výdajích má na reálný HDP negativní vliv. Pro vzorek rozvinutých ekonomik výsledky potvrzují zjištění dřívějších studií, že úpravy založené na výdajích jsou </w:t>
      </w:r>
      <w:r w:rsidR="00DA2199" w:rsidRPr="00096052">
        <w:rPr>
          <w:lang w:val="cs-CZ"/>
        </w:rPr>
        <w:t>v</w:t>
      </w:r>
      <w:r w:rsidR="00DA2199">
        <w:rPr>
          <w:lang w:val="cs-CZ"/>
        </w:rPr>
        <w:t> </w:t>
      </w:r>
      <w:r w:rsidRPr="00096052">
        <w:rPr>
          <w:lang w:val="cs-CZ"/>
        </w:rPr>
        <w:t>průměru méně kontrakční než úpravy založené na daních. Nicméně na rozdíl od Alesina et al. jsou makroekonomické efekty negativní v obou typech konsolidací.</w:t>
      </w:r>
    </w:p>
    <w:p w14:paraId="657B955F" w14:textId="482D5AF2" w:rsidR="00245CC7" w:rsidRPr="00096052" w:rsidRDefault="00245CC7" w:rsidP="00230367">
      <w:pPr>
        <w:rPr>
          <w:lang w:val="cs-CZ"/>
        </w:rPr>
      </w:pPr>
      <w:r w:rsidRPr="00096052">
        <w:rPr>
          <w:lang w:val="cs-CZ"/>
        </w:rPr>
        <w:t xml:space="preserve">Stejný závěr lze najít </w:t>
      </w:r>
      <w:r w:rsidR="00DA2199" w:rsidRPr="00096052">
        <w:rPr>
          <w:lang w:val="cs-CZ"/>
        </w:rPr>
        <w:t>i</w:t>
      </w:r>
      <w:r w:rsidR="00DA2199">
        <w:rPr>
          <w:lang w:val="cs-CZ"/>
        </w:rPr>
        <w:t> </w:t>
      </w:r>
      <w:r w:rsidRPr="00096052">
        <w:rPr>
          <w:lang w:val="cs-CZ"/>
        </w:rPr>
        <w:t>v Yang et al.</w:t>
      </w:r>
      <w:r w:rsidRPr="0045534A">
        <w:rPr>
          <w:rStyle w:val="StylZnakapoznpodarouLatinkaArial"/>
        </w:rPr>
        <w:footnoteReference w:id="35"/>
      </w:r>
      <w:r w:rsidRPr="00096052">
        <w:rPr>
          <w:lang w:val="cs-CZ"/>
        </w:rPr>
        <w:t xml:space="preserve"> Ti rovněž zjišťují, že fiskální konsolidace mají </w:t>
      </w:r>
      <w:r w:rsidR="00DA2199" w:rsidRPr="00096052">
        <w:rPr>
          <w:lang w:val="cs-CZ"/>
        </w:rPr>
        <w:t>v</w:t>
      </w:r>
      <w:r w:rsidR="00DA2199">
        <w:rPr>
          <w:lang w:val="cs-CZ"/>
        </w:rPr>
        <w:t> </w:t>
      </w:r>
      <w:r w:rsidRPr="00096052">
        <w:rPr>
          <w:lang w:val="cs-CZ"/>
        </w:rPr>
        <w:t xml:space="preserve">krátkodobém horizontu vždy kontrakční účinky na ekonomickou aktivitu; nezjistili žádné důkazy </w:t>
      </w:r>
      <w:r w:rsidR="00DA2199" w:rsidRPr="00096052">
        <w:rPr>
          <w:lang w:val="cs-CZ"/>
        </w:rPr>
        <w:t>o</w:t>
      </w:r>
      <w:r w:rsidR="00DA2199">
        <w:rPr>
          <w:lang w:val="cs-CZ"/>
        </w:rPr>
        <w:t> </w:t>
      </w:r>
      <w:r w:rsidRPr="00096052">
        <w:rPr>
          <w:lang w:val="cs-CZ"/>
        </w:rPr>
        <w:t xml:space="preserve">expanzivních (nekeynesiánských) fiskálních restrikcích. Fiskální opatření založená na výdajích však dle nich vedou </w:t>
      </w:r>
      <w:r w:rsidR="00DA2199" w:rsidRPr="00096052">
        <w:rPr>
          <w:lang w:val="cs-CZ"/>
        </w:rPr>
        <w:t>k</w:t>
      </w:r>
      <w:r w:rsidR="00DA2199">
        <w:rPr>
          <w:lang w:val="cs-CZ"/>
        </w:rPr>
        <w:t> </w:t>
      </w:r>
      <w:r w:rsidRPr="00096052">
        <w:rPr>
          <w:lang w:val="cs-CZ"/>
        </w:rPr>
        <w:t>menším ztrátám produktu než fiskální úpravy založené na daních.</w:t>
      </w:r>
    </w:p>
    <w:p w14:paraId="511E4A88" w14:textId="594086CC" w:rsidR="00245CC7" w:rsidRPr="00096052" w:rsidRDefault="00245CC7" w:rsidP="00230367">
      <w:pPr>
        <w:rPr>
          <w:lang w:val="cs-CZ"/>
        </w:rPr>
      </w:pPr>
      <w:r w:rsidRPr="00096052">
        <w:rPr>
          <w:lang w:val="cs-CZ"/>
        </w:rPr>
        <w:t>V souladu s posledně zmíněnou tezí výše citované studie Yanga et al. jsou také výsledky přehledové studie Evropské centrální banky,</w:t>
      </w:r>
      <w:r w:rsidRPr="0045534A">
        <w:rPr>
          <w:rStyle w:val="StylZnakapoznpodarouLatinkaArial"/>
        </w:rPr>
        <w:footnoteReference w:id="36"/>
      </w:r>
      <w:r w:rsidRPr="00096052">
        <w:rPr>
          <w:lang w:val="cs-CZ"/>
        </w:rPr>
        <w:t xml:space="preserve"> jež zkoumala dopady provedení fiskálních konsolidací v různých státech eurozóny. Text tedy zdůrazňuje, že fiskální konsolidace zaměřené na stranu výdajů jsou obvykle úspěšnější </w:t>
      </w:r>
      <w:r w:rsidR="00DA2199" w:rsidRPr="00096052">
        <w:rPr>
          <w:lang w:val="cs-CZ"/>
        </w:rPr>
        <w:t>a</w:t>
      </w:r>
      <w:r w:rsidR="00DA2199">
        <w:rPr>
          <w:lang w:val="cs-CZ"/>
        </w:rPr>
        <w:t> </w:t>
      </w:r>
      <w:r w:rsidRPr="00096052">
        <w:rPr>
          <w:lang w:val="cs-CZ"/>
        </w:rPr>
        <w:t xml:space="preserve">mají příznivější účinky na dlouhodobý hospodářský růst než ty, které staví své základy do pozic korekcí na straně příjmové. To je dáno již tak vysokým daňovým zatížením, jež znemožňuje další navyšování daňové zátěže – dodatečný nárůst daní by již nemusel nutně vést ke kýženému nárůstu na straně příjmů. Oproti výzkumům Leigh et al. </w:t>
      </w:r>
      <w:r w:rsidR="00DA2199" w:rsidRPr="00096052">
        <w:rPr>
          <w:lang w:val="cs-CZ"/>
        </w:rPr>
        <w:t>a</w:t>
      </w:r>
      <w:r w:rsidR="00DA2199">
        <w:rPr>
          <w:lang w:val="cs-CZ"/>
        </w:rPr>
        <w:t> </w:t>
      </w:r>
      <w:r w:rsidRPr="00096052">
        <w:rPr>
          <w:lang w:val="cs-CZ"/>
        </w:rPr>
        <w:t>Yang et al.</w:t>
      </w:r>
      <w:r w:rsidRPr="0045534A">
        <w:rPr>
          <w:rStyle w:val="StylZnakapoznpodarouLatinkaArial"/>
        </w:rPr>
        <w:footnoteReference w:id="37"/>
      </w:r>
      <w:r w:rsidRPr="00096052">
        <w:rPr>
          <w:lang w:val="cs-CZ"/>
        </w:rPr>
        <w:t xml:space="preserve"> ovšem Evropská centrální banka přišla se zjištěním, že v šetřených zemích došlo díky výdajově orientované fiskální konsolidaci </w:t>
      </w:r>
      <w:r w:rsidR="00D06D61" w:rsidRPr="00096052">
        <w:rPr>
          <w:lang w:val="cs-CZ"/>
        </w:rPr>
        <w:t xml:space="preserve">doprovázené </w:t>
      </w:r>
      <w:r w:rsidRPr="00096052">
        <w:rPr>
          <w:lang w:val="cs-CZ"/>
        </w:rPr>
        <w:t xml:space="preserve">strukturálními reformami spíše k prorůstovému impulzu. Autoři nicméně dodávají, že existují případy zemí spojené jak s růstem, tak </w:t>
      </w:r>
      <w:r w:rsidR="00DA2199" w:rsidRPr="00096052">
        <w:rPr>
          <w:lang w:val="cs-CZ"/>
        </w:rPr>
        <w:t>i</w:t>
      </w:r>
      <w:r w:rsidR="00DA2199">
        <w:rPr>
          <w:lang w:val="cs-CZ"/>
        </w:rPr>
        <w:t> </w:t>
      </w:r>
      <w:r w:rsidRPr="00096052">
        <w:rPr>
          <w:lang w:val="cs-CZ"/>
        </w:rPr>
        <w:t>s poklesem reálného produktu v krátkém období. V </w:t>
      </w:r>
      <w:r w:rsidR="00C8377B" w:rsidRPr="00096052">
        <w:rPr>
          <w:lang w:val="cs-CZ"/>
        </w:rPr>
        <w:t>období</w:t>
      </w:r>
      <w:r w:rsidRPr="00096052">
        <w:rPr>
          <w:lang w:val="cs-CZ"/>
        </w:rPr>
        <w:t xml:space="preserve"> let 1980–2010 byla přibližně polovina fiskálních konsolidací </w:t>
      </w:r>
      <w:r w:rsidR="00DA2199" w:rsidRPr="00096052">
        <w:rPr>
          <w:lang w:val="cs-CZ"/>
        </w:rPr>
        <w:t>v</w:t>
      </w:r>
      <w:r w:rsidR="00DA2199">
        <w:rPr>
          <w:lang w:val="cs-CZ"/>
        </w:rPr>
        <w:t> </w:t>
      </w:r>
      <w:r w:rsidRPr="00096052">
        <w:rPr>
          <w:lang w:val="cs-CZ"/>
        </w:rPr>
        <w:t xml:space="preserve">EU následována zlepšenou výkonností </w:t>
      </w:r>
      <w:r w:rsidR="00DA2199" w:rsidRPr="00096052">
        <w:rPr>
          <w:lang w:val="cs-CZ"/>
        </w:rPr>
        <w:t>v</w:t>
      </w:r>
      <w:r w:rsidR="00DA2199">
        <w:rPr>
          <w:lang w:val="cs-CZ"/>
        </w:rPr>
        <w:t> </w:t>
      </w:r>
      <w:r w:rsidRPr="00096052">
        <w:rPr>
          <w:lang w:val="cs-CZ"/>
        </w:rPr>
        <w:t>krátkodobém horizontu.</w:t>
      </w:r>
    </w:p>
    <w:p w14:paraId="121E2843" w14:textId="3AD204FE" w:rsidR="00245CC7" w:rsidRPr="00096052" w:rsidRDefault="00245CC7" w:rsidP="00230367">
      <w:pPr>
        <w:rPr>
          <w:lang w:val="cs-CZ"/>
        </w:rPr>
      </w:pPr>
      <w:r w:rsidRPr="00096052">
        <w:rPr>
          <w:lang w:val="cs-CZ"/>
        </w:rPr>
        <w:t xml:space="preserve">Georgantas, Kasselaki </w:t>
      </w:r>
      <w:r w:rsidR="00DA2199" w:rsidRPr="00096052">
        <w:rPr>
          <w:lang w:val="cs-CZ"/>
        </w:rPr>
        <w:t>a</w:t>
      </w:r>
      <w:r w:rsidR="00DA2199">
        <w:rPr>
          <w:lang w:val="cs-CZ"/>
        </w:rPr>
        <w:t> </w:t>
      </w:r>
      <w:r w:rsidRPr="00096052">
        <w:rPr>
          <w:lang w:val="cs-CZ"/>
        </w:rPr>
        <w:t>Tagkalakis</w:t>
      </w:r>
      <w:r w:rsidRPr="0045534A">
        <w:rPr>
          <w:rStyle w:val="StylZnakapoznpodarouLatinkaArial"/>
        </w:rPr>
        <w:footnoteReference w:id="38"/>
      </w:r>
      <w:r w:rsidRPr="00096052">
        <w:rPr>
          <w:lang w:val="cs-CZ"/>
        </w:rPr>
        <w:t xml:space="preserve"> ve své stati zkoumali krátkodobé dopady šoků způsobených fiskální konsolidací na makroekonomické agregáty ve skupině 24 ekonomik </w:t>
      </w:r>
      <w:r w:rsidRPr="00096052">
        <w:rPr>
          <w:lang w:val="cs-CZ"/>
        </w:rPr>
        <w:lastRenderedPageBreak/>
        <w:t xml:space="preserve">OECD v letech 1990–2019. Analýza nepřinesla žádné důkazy </w:t>
      </w:r>
      <w:r w:rsidR="00DA2199" w:rsidRPr="00096052">
        <w:rPr>
          <w:lang w:val="cs-CZ"/>
        </w:rPr>
        <w:t>o</w:t>
      </w:r>
      <w:r w:rsidR="00DA2199">
        <w:rPr>
          <w:lang w:val="cs-CZ"/>
        </w:rPr>
        <w:t> </w:t>
      </w:r>
      <w:r w:rsidRPr="00096052">
        <w:rPr>
          <w:lang w:val="cs-CZ"/>
        </w:rPr>
        <w:t xml:space="preserve">expanzivní fiskální konsolidaci nebo nekeynesiánských efektech. Empirická zjištění naznačila, že neočekávané fiskální konsolidační šoky vedou </w:t>
      </w:r>
      <w:r w:rsidR="00DA2199" w:rsidRPr="00096052">
        <w:rPr>
          <w:lang w:val="cs-CZ"/>
        </w:rPr>
        <w:t>k</w:t>
      </w:r>
      <w:r w:rsidR="00DA2199">
        <w:rPr>
          <w:lang w:val="cs-CZ"/>
        </w:rPr>
        <w:t> </w:t>
      </w:r>
      <w:r w:rsidRPr="00096052">
        <w:rPr>
          <w:lang w:val="cs-CZ"/>
        </w:rPr>
        <w:t xml:space="preserve">nižšímu reálnému HDP, soukromé spotřebě, investicím, inflaci </w:t>
      </w:r>
      <w:r w:rsidR="00DA2199" w:rsidRPr="00096052">
        <w:rPr>
          <w:lang w:val="cs-CZ"/>
        </w:rPr>
        <w:t>a</w:t>
      </w:r>
      <w:r w:rsidR="00DA2199">
        <w:rPr>
          <w:lang w:val="cs-CZ"/>
        </w:rPr>
        <w:t> </w:t>
      </w:r>
      <w:r w:rsidRPr="00096052">
        <w:rPr>
          <w:lang w:val="cs-CZ"/>
        </w:rPr>
        <w:t xml:space="preserve">naopak </w:t>
      </w:r>
      <w:r w:rsidR="00DA2199" w:rsidRPr="00096052">
        <w:rPr>
          <w:lang w:val="cs-CZ"/>
        </w:rPr>
        <w:t>k</w:t>
      </w:r>
      <w:r w:rsidR="00DA2199">
        <w:rPr>
          <w:lang w:val="cs-CZ"/>
        </w:rPr>
        <w:t> </w:t>
      </w:r>
      <w:r w:rsidRPr="00096052">
        <w:rPr>
          <w:lang w:val="cs-CZ"/>
        </w:rPr>
        <w:t xml:space="preserve">vyšší míře nezaměstnanosti. Účinky jsou výraznější </w:t>
      </w:r>
      <w:r w:rsidR="00DA2199" w:rsidRPr="00096052">
        <w:rPr>
          <w:lang w:val="cs-CZ"/>
        </w:rPr>
        <w:t>v</w:t>
      </w:r>
      <w:r w:rsidR="00DA2199">
        <w:rPr>
          <w:lang w:val="cs-CZ"/>
        </w:rPr>
        <w:t> </w:t>
      </w:r>
      <w:r w:rsidRPr="00096052">
        <w:rPr>
          <w:lang w:val="cs-CZ"/>
        </w:rPr>
        <w:t xml:space="preserve">období zhoršených hospodářských podmínek, </w:t>
      </w:r>
      <w:r w:rsidR="00DA2199" w:rsidRPr="00096052">
        <w:rPr>
          <w:lang w:val="cs-CZ"/>
        </w:rPr>
        <w:t>v</w:t>
      </w:r>
      <w:r w:rsidR="00DA2199">
        <w:rPr>
          <w:lang w:val="cs-CZ"/>
        </w:rPr>
        <w:t> </w:t>
      </w:r>
      <w:r w:rsidRPr="00096052">
        <w:rPr>
          <w:lang w:val="cs-CZ"/>
        </w:rPr>
        <w:t xml:space="preserve">zemích </w:t>
      </w:r>
      <w:r w:rsidR="00DA2199" w:rsidRPr="00096052">
        <w:rPr>
          <w:lang w:val="cs-CZ"/>
        </w:rPr>
        <w:t>s</w:t>
      </w:r>
      <w:r w:rsidR="00DA2199">
        <w:rPr>
          <w:lang w:val="cs-CZ"/>
        </w:rPr>
        <w:t> </w:t>
      </w:r>
      <w:r w:rsidRPr="00096052">
        <w:rPr>
          <w:lang w:val="cs-CZ"/>
        </w:rPr>
        <w:t xml:space="preserve">vysokým zadlužením, </w:t>
      </w:r>
      <w:r w:rsidR="00DA2199" w:rsidRPr="00096052">
        <w:rPr>
          <w:lang w:val="cs-CZ"/>
        </w:rPr>
        <w:t>v</w:t>
      </w:r>
      <w:r w:rsidR="00DA2199">
        <w:rPr>
          <w:lang w:val="cs-CZ"/>
        </w:rPr>
        <w:t> </w:t>
      </w:r>
      <w:r w:rsidRPr="00096052">
        <w:rPr>
          <w:lang w:val="cs-CZ"/>
        </w:rPr>
        <w:t xml:space="preserve">uzavřených ekonomikách </w:t>
      </w:r>
      <w:r w:rsidR="00DA2199" w:rsidRPr="00096052">
        <w:rPr>
          <w:lang w:val="cs-CZ"/>
        </w:rPr>
        <w:t>a</w:t>
      </w:r>
      <w:r w:rsidR="00DA2199">
        <w:rPr>
          <w:lang w:val="cs-CZ"/>
        </w:rPr>
        <w:t> </w:t>
      </w:r>
      <w:r w:rsidRPr="00096052">
        <w:rPr>
          <w:lang w:val="cs-CZ"/>
        </w:rPr>
        <w:t xml:space="preserve">v ekonomikách s přísnější monetární politikou. Navíc je </w:t>
      </w:r>
      <w:r w:rsidR="00DA2199" w:rsidRPr="00096052">
        <w:rPr>
          <w:lang w:val="cs-CZ"/>
        </w:rPr>
        <w:t>v</w:t>
      </w:r>
      <w:r w:rsidR="00DA2199">
        <w:rPr>
          <w:lang w:val="cs-CZ"/>
        </w:rPr>
        <w:t> </w:t>
      </w:r>
      <w:r w:rsidRPr="00096052">
        <w:rPr>
          <w:lang w:val="cs-CZ"/>
        </w:rPr>
        <w:t>těchto případech pokles míry veřejného dluhu tlumenější. Autoři upozornili, že v případě států se zhoršenou fiskální pozicí, kde je současně prováděna monetá</w:t>
      </w:r>
      <w:r w:rsidR="00D06D61" w:rsidRPr="00096052">
        <w:rPr>
          <w:lang w:val="cs-CZ"/>
        </w:rPr>
        <w:t>r</w:t>
      </w:r>
      <w:r w:rsidRPr="00096052">
        <w:rPr>
          <w:lang w:val="cs-CZ"/>
        </w:rPr>
        <w:t xml:space="preserve">ní restrikce, by mohly vést pokusy </w:t>
      </w:r>
      <w:r w:rsidR="00DA2199" w:rsidRPr="00096052">
        <w:rPr>
          <w:lang w:val="cs-CZ"/>
        </w:rPr>
        <w:t>o</w:t>
      </w:r>
      <w:r w:rsidR="00DA2199">
        <w:rPr>
          <w:lang w:val="cs-CZ"/>
        </w:rPr>
        <w:t> </w:t>
      </w:r>
      <w:r w:rsidRPr="00096052">
        <w:rPr>
          <w:lang w:val="cs-CZ"/>
        </w:rPr>
        <w:t xml:space="preserve">konsolidaci veřejných financí ke značně nepříznivému dopadu na reálnou ekonomiku </w:t>
      </w:r>
      <w:r w:rsidR="00DA2199" w:rsidRPr="00096052">
        <w:rPr>
          <w:lang w:val="cs-CZ"/>
        </w:rPr>
        <w:t>a</w:t>
      </w:r>
      <w:r w:rsidR="00DA2199">
        <w:rPr>
          <w:lang w:val="cs-CZ"/>
        </w:rPr>
        <w:t> </w:t>
      </w:r>
      <w:r w:rsidRPr="00096052">
        <w:rPr>
          <w:lang w:val="cs-CZ"/>
        </w:rPr>
        <w:t xml:space="preserve">mohly by být „sebezničující“ z hlediska schopnosti krátkodobě snížit míru zadlužení. </w:t>
      </w:r>
    </w:p>
    <w:p w14:paraId="29FB588D" w14:textId="0ABD54E5" w:rsidR="00245CC7" w:rsidRPr="00096052" w:rsidRDefault="00245CC7" w:rsidP="00230367">
      <w:pPr>
        <w:rPr>
          <w:lang w:val="cs-CZ"/>
        </w:rPr>
      </w:pPr>
      <w:r w:rsidRPr="00096052">
        <w:rPr>
          <w:lang w:val="cs-CZ"/>
        </w:rPr>
        <w:t xml:space="preserve">„Sebezničujícími“ fiskálními konsolidacemi, tedy konsolidacemi </w:t>
      </w:r>
      <w:r w:rsidR="00D06D61" w:rsidRPr="00096052">
        <w:rPr>
          <w:lang w:val="cs-CZ"/>
        </w:rPr>
        <w:t>ne</w:t>
      </w:r>
      <w:r w:rsidRPr="00096052">
        <w:rPr>
          <w:lang w:val="cs-CZ"/>
        </w:rPr>
        <w:t>vedoucími k</w:t>
      </w:r>
      <w:r w:rsidR="00D06D61" w:rsidRPr="00096052">
        <w:rPr>
          <w:lang w:val="cs-CZ"/>
        </w:rPr>
        <w:t>e</w:t>
      </w:r>
      <w:r w:rsidRPr="00096052">
        <w:rPr>
          <w:lang w:val="cs-CZ"/>
        </w:rPr>
        <w:t xml:space="preserve"> snížení úrovně poměru dluhu k HDP ve srovnání s úrovní před provedením konsolidace, se zabývali Attinasi </w:t>
      </w:r>
      <w:r w:rsidR="00DA2199" w:rsidRPr="00096052">
        <w:rPr>
          <w:lang w:val="cs-CZ"/>
        </w:rPr>
        <w:t>a</w:t>
      </w:r>
      <w:r w:rsidR="00DA2199">
        <w:rPr>
          <w:lang w:val="cs-CZ"/>
        </w:rPr>
        <w:t> </w:t>
      </w:r>
      <w:r w:rsidRPr="00096052">
        <w:rPr>
          <w:lang w:val="cs-CZ"/>
        </w:rPr>
        <w:t>Metelli.</w:t>
      </w:r>
      <w:r w:rsidRPr="0045534A">
        <w:rPr>
          <w:rStyle w:val="StylZnakapoznpodarouLatinkaArial"/>
        </w:rPr>
        <w:footnoteReference w:id="39"/>
      </w:r>
      <w:r w:rsidRPr="00096052">
        <w:rPr>
          <w:lang w:val="cs-CZ"/>
        </w:rPr>
        <w:t xml:space="preserve"> Na čtvrtletních datech za 11 evropských států pro roky 2000–2011 </w:t>
      </w:r>
      <w:r w:rsidR="006F1F8A">
        <w:rPr>
          <w:lang w:val="cs-CZ"/>
        </w:rPr>
        <w:t>pomocí</w:t>
      </w:r>
      <w:r w:rsidRPr="00096052">
        <w:rPr>
          <w:lang w:val="cs-CZ"/>
        </w:rPr>
        <w:t xml:space="preserve"> panelového vektorového autoregresního modelu došli k závěru, že když je konsolidace provedena prostřednictvím snížení primárních vládních výdajů, míra zadlužení po počátečním krátkodobém zvýšení klesne pod úroveň před provedením úsporných opatření. Naopak při konsolidacích spoléhajících na zvyšování příjmů </w:t>
      </w:r>
      <w:r w:rsidR="00054CEA" w:rsidRPr="00096052">
        <w:rPr>
          <w:lang w:val="cs-CZ"/>
        </w:rPr>
        <w:t xml:space="preserve">je </w:t>
      </w:r>
      <w:r w:rsidRPr="00096052">
        <w:rPr>
          <w:lang w:val="cs-CZ"/>
        </w:rPr>
        <w:t xml:space="preserve">počáteční zvýšení míry zadlužení silnější. </w:t>
      </w:r>
      <w:r w:rsidR="00DA2199" w:rsidRPr="00096052">
        <w:rPr>
          <w:lang w:val="cs-CZ"/>
        </w:rPr>
        <w:t>V</w:t>
      </w:r>
      <w:r w:rsidR="00DA2199">
        <w:rPr>
          <w:lang w:val="cs-CZ"/>
        </w:rPr>
        <w:t> </w:t>
      </w:r>
      <w:r w:rsidRPr="00096052">
        <w:rPr>
          <w:lang w:val="cs-CZ"/>
        </w:rPr>
        <w:t>dlouhém období se nakonec míra zadlužení po několika letech vrátí na úroveň zadlužení blízkou úrovni před úpravou, avšak neklesne pod tuto výši.</w:t>
      </w:r>
    </w:p>
    <w:p w14:paraId="2A80D445" w14:textId="7DE5F049" w:rsidR="00245CC7" w:rsidRPr="00096052" w:rsidRDefault="00245CC7" w:rsidP="00230367">
      <w:pPr>
        <w:rPr>
          <w:lang w:val="cs-CZ"/>
        </w:rPr>
      </w:pPr>
      <w:r w:rsidRPr="00096052">
        <w:rPr>
          <w:lang w:val="cs-CZ"/>
        </w:rPr>
        <w:t xml:space="preserve">DeLong </w:t>
      </w:r>
      <w:r w:rsidR="00DA2199" w:rsidRPr="00096052">
        <w:rPr>
          <w:lang w:val="cs-CZ"/>
        </w:rPr>
        <w:t>a</w:t>
      </w:r>
      <w:r w:rsidR="00DA2199">
        <w:rPr>
          <w:lang w:val="cs-CZ"/>
        </w:rPr>
        <w:t> </w:t>
      </w:r>
      <w:r w:rsidRPr="00096052">
        <w:rPr>
          <w:lang w:val="cs-CZ"/>
        </w:rPr>
        <w:t>Summers</w:t>
      </w:r>
      <w:r w:rsidRPr="0045534A">
        <w:rPr>
          <w:rStyle w:val="StylZnakapoznpodarouLatinkaArial"/>
        </w:rPr>
        <w:footnoteReference w:id="40"/>
      </w:r>
      <w:r w:rsidRPr="00096052">
        <w:rPr>
          <w:lang w:val="cs-CZ"/>
        </w:rPr>
        <w:t xml:space="preserve"> ve svém dokumentu analyzovali logiku </w:t>
      </w:r>
      <w:r w:rsidR="00DA2199" w:rsidRPr="00096052">
        <w:rPr>
          <w:lang w:val="cs-CZ"/>
        </w:rPr>
        <w:t>a</w:t>
      </w:r>
      <w:r w:rsidR="00DA2199">
        <w:rPr>
          <w:lang w:val="cs-CZ"/>
        </w:rPr>
        <w:t> </w:t>
      </w:r>
      <w:r w:rsidRPr="00096052">
        <w:rPr>
          <w:lang w:val="cs-CZ"/>
        </w:rPr>
        <w:t>důkazy týkající se účinnosti fiskální politiky prováděné v ekonomikách stižených těžkou hospodářskou depresí v prostředí nominálních úrokových sazeb nastavených blízko k nule, které „svazují ruce“ tvůrcům monetární politiky v </w:t>
      </w:r>
      <w:r w:rsidR="00C8377B" w:rsidRPr="00096052">
        <w:rPr>
          <w:lang w:val="cs-CZ"/>
        </w:rPr>
        <w:t>řešení</w:t>
      </w:r>
      <w:r w:rsidRPr="00096052">
        <w:rPr>
          <w:lang w:val="cs-CZ"/>
        </w:rPr>
        <w:t xml:space="preserve"> hospodářských potíží </w:t>
      </w:r>
      <w:r w:rsidR="00DA2199" w:rsidRPr="00096052">
        <w:rPr>
          <w:lang w:val="cs-CZ"/>
        </w:rPr>
        <w:t>a</w:t>
      </w:r>
      <w:r w:rsidR="00DA2199">
        <w:rPr>
          <w:lang w:val="cs-CZ"/>
        </w:rPr>
        <w:t> </w:t>
      </w:r>
      <w:r w:rsidRPr="00096052">
        <w:rPr>
          <w:lang w:val="cs-CZ"/>
        </w:rPr>
        <w:t xml:space="preserve">naopak zvyšují roli diskreční fiskální politiky jakožto potenciálně vysoce účinného nástroje stabilizační politiky. DeLong </w:t>
      </w:r>
      <w:r w:rsidR="00DA2199" w:rsidRPr="00096052">
        <w:rPr>
          <w:lang w:val="cs-CZ"/>
        </w:rPr>
        <w:t>a</w:t>
      </w:r>
      <w:r w:rsidR="00DA2199">
        <w:rPr>
          <w:lang w:val="cs-CZ"/>
        </w:rPr>
        <w:t> </w:t>
      </w:r>
      <w:r w:rsidRPr="00096052">
        <w:rPr>
          <w:lang w:val="cs-CZ"/>
        </w:rPr>
        <w:t xml:space="preserve">Summers přišli s tezí, že dočasná expanzivní fiskální politika může skutečně snížit dlouhodobou zátěž dluhového financování. Tyto závěry vycházely </w:t>
      </w:r>
      <w:r w:rsidR="00DA2199" w:rsidRPr="00096052">
        <w:rPr>
          <w:lang w:val="cs-CZ"/>
        </w:rPr>
        <w:t>z</w:t>
      </w:r>
      <w:r w:rsidR="00DA2199">
        <w:rPr>
          <w:lang w:val="cs-CZ"/>
        </w:rPr>
        <w:t> </w:t>
      </w:r>
      <w:r w:rsidRPr="00096052">
        <w:rPr>
          <w:lang w:val="cs-CZ"/>
        </w:rPr>
        <w:t xml:space="preserve">předpokladů multiplikátoru, hysterezních efektů, negativních dopadů expanzivní fiskální politiky na reálné úrokové sazby </w:t>
      </w:r>
      <w:r w:rsidR="00DA2199" w:rsidRPr="00096052">
        <w:rPr>
          <w:lang w:val="cs-CZ"/>
        </w:rPr>
        <w:t>a</w:t>
      </w:r>
      <w:r w:rsidR="00DA2199">
        <w:rPr>
          <w:lang w:val="cs-CZ"/>
        </w:rPr>
        <w:t> </w:t>
      </w:r>
      <w:r w:rsidR="00DA2199" w:rsidRPr="00096052">
        <w:rPr>
          <w:lang w:val="cs-CZ"/>
        </w:rPr>
        <w:t>z</w:t>
      </w:r>
      <w:r w:rsidR="00DA2199">
        <w:rPr>
          <w:lang w:val="cs-CZ"/>
        </w:rPr>
        <w:t> </w:t>
      </w:r>
      <w:r w:rsidRPr="00096052">
        <w:rPr>
          <w:lang w:val="cs-CZ"/>
        </w:rPr>
        <w:t xml:space="preserve">dopadu úrokových sazeb na vývoj poměru dluhu </w:t>
      </w:r>
      <w:r w:rsidR="00DA2199" w:rsidRPr="00096052">
        <w:rPr>
          <w:lang w:val="cs-CZ"/>
        </w:rPr>
        <w:t>k</w:t>
      </w:r>
      <w:r w:rsidR="00DA2199">
        <w:rPr>
          <w:lang w:val="cs-CZ"/>
        </w:rPr>
        <w:t> </w:t>
      </w:r>
      <w:r w:rsidRPr="00096052">
        <w:rPr>
          <w:lang w:val="cs-CZ"/>
        </w:rPr>
        <w:t>HDP.</w:t>
      </w:r>
    </w:p>
    <w:p w14:paraId="2B5C13A4" w14:textId="5FB9248F" w:rsidR="00245CC7" w:rsidRPr="00096052" w:rsidRDefault="00245CC7" w:rsidP="00230367">
      <w:pPr>
        <w:rPr>
          <w:lang w:val="cs-CZ"/>
        </w:rPr>
      </w:pPr>
      <w:r w:rsidRPr="00096052">
        <w:rPr>
          <w:lang w:val="cs-CZ"/>
        </w:rPr>
        <w:t>Afonso, Alves, Jalles</w:t>
      </w:r>
      <w:r w:rsidRPr="0045534A">
        <w:rPr>
          <w:rStyle w:val="StylZnakapoznpodarouLatinkaArial"/>
        </w:rPr>
        <w:footnoteReference w:id="41"/>
      </w:r>
      <w:r w:rsidRPr="00096052">
        <w:rPr>
          <w:lang w:val="cs-CZ"/>
        </w:rPr>
        <w:t xml:space="preserve"> zkoumali možné nekeynesiánské efekty restriktivní fiskální politiky </w:t>
      </w:r>
      <w:r w:rsidR="00DA2199" w:rsidRPr="00096052">
        <w:rPr>
          <w:lang w:val="cs-CZ"/>
        </w:rPr>
        <w:t>v</w:t>
      </w:r>
      <w:r w:rsidR="00DA2199">
        <w:rPr>
          <w:lang w:val="cs-CZ"/>
        </w:rPr>
        <w:t> </w:t>
      </w:r>
      <w:r w:rsidRPr="00096052">
        <w:rPr>
          <w:lang w:val="cs-CZ"/>
        </w:rPr>
        <w:t xml:space="preserve">soukromé spotřebě </w:t>
      </w:r>
      <w:r w:rsidR="00DA2199" w:rsidRPr="00096052">
        <w:rPr>
          <w:lang w:val="cs-CZ"/>
        </w:rPr>
        <w:t>a</w:t>
      </w:r>
      <w:r w:rsidR="00DA2199">
        <w:rPr>
          <w:lang w:val="cs-CZ"/>
        </w:rPr>
        <w:t> </w:t>
      </w:r>
      <w:r w:rsidRPr="00096052">
        <w:rPr>
          <w:lang w:val="cs-CZ"/>
        </w:rPr>
        <w:t xml:space="preserve">v soukromých investicích na rozsáhlém vzorku panelových dat pocházejících ze 174 zemí za roky 1970–2018 – jednalo se </w:t>
      </w:r>
      <w:r w:rsidR="00DA2199" w:rsidRPr="00096052">
        <w:rPr>
          <w:lang w:val="cs-CZ"/>
        </w:rPr>
        <w:t>o</w:t>
      </w:r>
      <w:r w:rsidR="00DA2199">
        <w:rPr>
          <w:lang w:val="cs-CZ"/>
        </w:rPr>
        <w:t> </w:t>
      </w:r>
      <w:r w:rsidRPr="00096052">
        <w:rPr>
          <w:lang w:val="cs-CZ"/>
        </w:rPr>
        <w:t xml:space="preserve">37 vyspělých </w:t>
      </w:r>
      <w:r w:rsidR="00DA2199" w:rsidRPr="00096052">
        <w:rPr>
          <w:lang w:val="cs-CZ"/>
        </w:rPr>
        <w:t>a</w:t>
      </w:r>
      <w:r w:rsidR="00DA2199">
        <w:rPr>
          <w:lang w:val="cs-CZ"/>
        </w:rPr>
        <w:t> </w:t>
      </w:r>
      <w:r w:rsidRPr="00096052">
        <w:rPr>
          <w:lang w:val="cs-CZ"/>
        </w:rPr>
        <w:t xml:space="preserve">137 rozvojových ekonomik. Analýza přinesla trojí zjištění. V prvé řadě studie došla </w:t>
      </w:r>
      <w:r w:rsidR="00DA2199" w:rsidRPr="00096052">
        <w:rPr>
          <w:lang w:val="cs-CZ"/>
        </w:rPr>
        <w:t>k</w:t>
      </w:r>
      <w:r w:rsidR="00DA2199">
        <w:rPr>
          <w:lang w:val="cs-CZ"/>
        </w:rPr>
        <w:t> </w:t>
      </w:r>
      <w:r w:rsidRPr="00096052">
        <w:rPr>
          <w:lang w:val="cs-CZ"/>
        </w:rPr>
        <w:t xml:space="preserve">předvídatelnému závěru, že zvýšení spotřeby vlády má keynesiánský účinek na skutečnou soukromou spotřebu. Poněkud méně intuitivním se ukázal druhý nález, podle </w:t>
      </w:r>
      <w:r w:rsidR="00C8377B" w:rsidRPr="00096052">
        <w:rPr>
          <w:lang w:val="cs-CZ"/>
        </w:rPr>
        <w:t>nějž</w:t>
      </w:r>
      <w:r w:rsidRPr="00096052">
        <w:rPr>
          <w:lang w:val="cs-CZ"/>
        </w:rPr>
        <w:t xml:space="preserve"> existuje pozitivní vliv zvýšení daní na soukromou spotřebu </w:t>
      </w:r>
      <w:r w:rsidR="00DA2199" w:rsidRPr="00096052">
        <w:rPr>
          <w:lang w:val="cs-CZ"/>
        </w:rPr>
        <w:t>v</w:t>
      </w:r>
      <w:r w:rsidR="00DA2199">
        <w:rPr>
          <w:lang w:val="cs-CZ"/>
        </w:rPr>
        <w:t> </w:t>
      </w:r>
      <w:r w:rsidRPr="00096052">
        <w:rPr>
          <w:lang w:val="cs-CZ"/>
        </w:rPr>
        <w:t xml:space="preserve">případě fiskální konsolidace. Ve třetím případě bylo naopak zjištěno, že </w:t>
      </w:r>
      <w:r w:rsidR="00DA2199" w:rsidRPr="00096052">
        <w:rPr>
          <w:lang w:val="cs-CZ"/>
        </w:rPr>
        <w:t>v</w:t>
      </w:r>
      <w:r w:rsidR="00DA2199">
        <w:rPr>
          <w:lang w:val="cs-CZ"/>
        </w:rPr>
        <w:t> </w:t>
      </w:r>
      <w:r w:rsidRPr="00096052">
        <w:rPr>
          <w:lang w:val="cs-CZ"/>
        </w:rPr>
        <w:t xml:space="preserve">důsledku fiskálních kontrakcí dochází </w:t>
      </w:r>
      <w:r w:rsidR="00DA2199" w:rsidRPr="00096052">
        <w:rPr>
          <w:lang w:val="cs-CZ"/>
        </w:rPr>
        <w:t>k</w:t>
      </w:r>
      <w:r w:rsidR="00DA2199">
        <w:rPr>
          <w:lang w:val="cs-CZ"/>
        </w:rPr>
        <w:t> </w:t>
      </w:r>
      <w:r w:rsidRPr="00096052">
        <w:rPr>
          <w:lang w:val="cs-CZ"/>
        </w:rPr>
        <w:t xml:space="preserve">vytěsnění soukromých investic. </w:t>
      </w:r>
      <w:r w:rsidR="00DA2199" w:rsidRPr="00096052">
        <w:rPr>
          <w:lang w:val="cs-CZ"/>
        </w:rPr>
        <w:t>K</w:t>
      </w:r>
      <w:r w:rsidR="00DA2199">
        <w:rPr>
          <w:lang w:val="cs-CZ"/>
        </w:rPr>
        <w:t> </w:t>
      </w:r>
      <w:r w:rsidRPr="00096052">
        <w:rPr>
          <w:lang w:val="cs-CZ"/>
        </w:rPr>
        <w:t xml:space="preserve">expanzivním fiskálním konsolidacím dochází zejména ve vysoce zadlužených vyspělých ekonomikách po zvýšení daní. </w:t>
      </w:r>
      <w:r w:rsidR="00DA2199" w:rsidRPr="00096052">
        <w:rPr>
          <w:lang w:val="cs-CZ"/>
        </w:rPr>
        <w:t>A</w:t>
      </w:r>
      <w:r w:rsidR="00DA2199">
        <w:rPr>
          <w:lang w:val="cs-CZ"/>
        </w:rPr>
        <w:t> </w:t>
      </w:r>
      <w:r w:rsidRPr="00096052">
        <w:rPr>
          <w:lang w:val="cs-CZ"/>
        </w:rPr>
        <w:t xml:space="preserve">konečně, negativní dopad zdanění na soukromou spotřebu je větší, když ekonomika zažívá finanční krizi, ale nedochází zde k pokusům </w:t>
      </w:r>
      <w:r w:rsidR="00DA2199" w:rsidRPr="00096052">
        <w:rPr>
          <w:lang w:val="cs-CZ"/>
        </w:rPr>
        <w:t>o</w:t>
      </w:r>
      <w:r w:rsidR="00DA2199">
        <w:rPr>
          <w:lang w:val="cs-CZ"/>
        </w:rPr>
        <w:t> </w:t>
      </w:r>
      <w:r w:rsidRPr="00096052">
        <w:rPr>
          <w:lang w:val="cs-CZ"/>
        </w:rPr>
        <w:t>konsolidaci.</w:t>
      </w:r>
    </w:p>
    <w:p w14:paraId="066A3361" w14:textId="2C34605C" w:rsidR="00245CC7" w:rsidRPr="00096052" w:rsidRDefault="00245CC7" w:rsidP="00230367">
      <w:pPr>
        <w:rPr>
          <w:lang w:val="cs-CZ"/>
        </w:rPr>
      </w:pPr>
      <w:r w:rsidRPr="00096052">
        <w:rPr>
          <w:lang w:val="cs-CZ"/>
        </w:rPr>
        <w:lastRenderedPageBreak/>
        <w:t>Stanivuk</w:t>
      </w:r>
      <w:r w:rsidRPr="00096052">
        <w:rPr>
          <w:vertAlign w:val="superscript"/>
          <w:lang w:val="cs-CZ"/>
        </w:rPr>
        <w:footnoteReference w:id="42"/>
      </w:r>
      <w:r w:rsidRPr="00096052">
        <w:rPr>
          <w:lang w:val="cs-CZ"/>
        </w:rPr>
        <w:t xml:space="preserve"> přináší shrnutí závěrů řady jiných studií. Ačkoliv je všeobecně uznávaný konsensus, že úspěšné konsolidace jsou primárně zaměřeny na výdajové škrty, existují </w:t>
      </w:r>
      <w:r w:rsidR="00DA2199" w:rsidRPr="00096052">
        <w:rPr>
          <w:lang w:val="cs-CZ"/>
        </w:rPr>
        <w:t>i</w:t>
      </w:r>
      <w:r w:rsidR="00DA2199">
        <w:rPr>
          <w:lang w:val="cs-CZ"/>
        </w:rPr>
        <w:t> </w:t>
      </w:r>
      <w:r w:rsidRPr="00096052">
        <w:rPr>
          <w:lang w:val="cs-CZ"/>
        </w:rPr>
        <w:t xml:space="preserve">příklady úspěšných konsolidací, které byly zaměřeny na příjmovou stranu. Nicméně to závisí na dvou podmínkách, </w:t>
      </w:r>
      <w:r w:rsidR="00DA2199" w:rsidRPr="00096052">
        <w:rPr>
          <w:lang w:val="cs-CZ"/>
        </w:rPr>
        <w:t>a</w:t>
      </w:r>
      <w:r w:rsidR="00DA2199">
        <w:rPr>
          <w:lang w:val="cs-CZ"/>
        </w:rPr>
        <w:t> </w:t>
      </w:r>
      <w:r w:rsidRPr="00096052">
        <w:rPr>
          <w:lang w:val="cs-CZ"/>
        </w:rPr>
        <w:t xml:space="preserve">to že úroveň daňové kvóty je poměrně nízká </w:t>
      </w:r>
      <w:r w:rsidR="00DA2199" w:rsidRPr="00096052">
        <w:rPr>
          <w:lang w:val="cs-CZ"/>
        </w:rPr>
        <w:t>a</w:t>
      </w:r>
      <w:r w:rsidR="00DA2199">
        <w:rPr>
          <w:lang w:val="cs-CZ"/>
        </w:rPr>
        <w:t> </w:t>
      </w:r>
      <w:r w:rsidRPr="00096052">
        <w:rPr>
          <w:lang w:val="cs-CZ"/>
        </w:rPr>
        <w:t>že zvyšování daní je postupné.</w:t>
      </w:r>
      <w:r w:rsidRPr="0045534A">
        <w:rPr>
          <w:rStyle w:val="StylZnakapoznpodarouLatinkaArial"/>
        </w:rPr>
        <w:footnoteReference w:id="43"/>
      </w:r>
      <w:r w:rsidRPr="00096052">
        <w:rPr>
          <w:lang w:val="cs-CZ"/>
        </w:rPr>
        <w:t xml:space="preserve"> Rovněž připomíná závěry Světové banky</w:t>
      </w:r>
      <w:r w:rsidRPr="00096052">
        <w:rPr>
          <w:vertAlign w:val="superscript"/>
          <w:lang w:val="cs-CZ"/>
        </w:rPr>
        <w:footnoteReference w:id="44"/>
      </w:r>
      <w:r w:rsidRPr="00096052">
        <w:rPr>
          <w:lang w:val="cs-CZ"/>
        </w:rPr>
        <w:t>, že konsolidace se provádí hůř, pokud země má v rámci mandatorních výdajů vysoký podíl výdajů na důchody oproti těm, které mají spíš vyšší podíl výdajů na platy.</w:t>
      </w:r>
    </w:p>
    <w:p w14:paraId="3341B794" w14:textId="08126416" w:rsidR="00245CC7" w:rsidRPr="00096052" w:rsidRDefault="00245CC7" w:rsidP="00230367">
      <w:pPr>
        <w:rPr>
          <w:lang w:val="cs-CZ"/>
        </w:rPr>
      </w:pPr>
      <w:r w:rsidRPr="00096052">
        <w:rPr>
          <w:lang w:val="cs-CZ"/>
        </w:rPr>
        <w:t xml:space="preserve">Salmon </w:t>
      </w:r>
      <w:r w:rsidR="00DA2199" w:rsidRPr="00096052">
        <w:rPr>
          <w:lang w:val="cs-CZ"/>
        </w:rPr>
        <w:t>a</w:t>
      </w:r>
      <w:r w:rsidR="00DA2199">
        <w:rPr>
          <w:lang w:val="cs-CZ"/>
        </w:rPr>
        <w:t> </w:t>
      </w:r>
      <w:r w:rsidRPr="00096052">
        <w:rPr>
          <w:lang w:val="cs-CZ"/>
        </w:rPr>
        <w:t>de Rugy</w:t>
      </w:r>
      <w:r w:rsidRPr="00096052">
        <w:rPr>
          <w:vertAlign w:val="superscript"/>
          <w:lang w:val="cs-CZ"/>
        </w:rPr>
        <w:footnoteReference w:id="45"/>
      </w:r>
      <w:r w:rsidRPr="00096052">
        <w:rPr>
          <w:lang w:val="cs-CZ"/>
        </w:rPr>
        <w:t xml:space="preserve"> zkoumají empirickou literaturu </w:t>
      </w:r>
      <w:r w:rsidR="00DA2199" w:rsidRPr="00096052">
        <w:rPr>
          <w:lang w:val="cs-CZ"/>
        </w:rPr>
        <w:t>o</w:t>
      </w:r>
      <w:r w:rsidR="00DA2199">
        <w:rPr>
          <w:lang w:val="cs-CZ"/>
        </w:rPr>
        <w:t> </w:t>
      </w:r>
      <w:r w:rsidRPr="00096052">
        <w:rPr>
          <w:lang w:val="cs-CZ"/>
        </w:rPr>
        <w:t xml:space="preserve">podílovém složení konsolidací mezi příjmovou </w:t>
      </w:r>
      <w:r w:rsidR="00DA2199" w:rsidRPr="00096052">
        <w:rPr>
          <w:lang w:val="cs-CZ"/>
        </w:rPr>
        <w:t>a</w:t>
      </w:r>
      <w:r w:rsidR="00DA2199">
        <w:rPr>
          <w:lang w:val="cs-CZ"/>
        </w:rPr>
        <w:t> </w:t>
      </w:r>
      <w:r w:rsidRPr="00096052">
        <w:rPr>
          <w:lang w:val="cs-CZ"/>
        </w:rPr>
        <w:t xml:space="preserve">výdajovou stranu veřejných rozpočtů </w:t>
      </w:r>
      <w:r w:rsidR="00DA2199" w:rsidRPr="00096052">
        <w:rPr>
          <w:lang w:val="cs-CZ"/>
        </w:rPr>
        <w:t>a</w:t>
      </w:r>
      <w:r w:rsidR="00DA2199">
        <w:rPr>
          <w:lang w:val="cs-CZ"/>
        </w:rPr>
        <w:t> </w:t>
      </w:r>
      <w:r w:rsidRPr="00096052">
        <w:rPr>
          <w:lang w:val="cs-CZ"/>
        </w:rPr>
        <w:t xml:space="preserve">jejich vliv na ekonomický výkon dané země. Provádí analýzu fiskálních konsolidací ve 26 demokratických zemích </w:t>
      </w:r>
      <w:r w:rsidR="00DA2199" w:rsidRPr="00096052">
        <w:rPr>
          <w:lang w:val="cs-CZ"/>
        </w:rPr>
        <w:t>v</w:t>
      </w:r>
      <w:r w:rsidR="00DA2199">
        <w:rPr>
          <w:lang w:val="cs-CZ"/>
        </w:rPr>
        <w:t> </w:t>
      </w:r>
      <w:r w:rsidRPr="00096052">
        <w:rPr>
          <w:lang w:val="cs-CZ"/>
        </w:rPr>
        <w:t xml:space="preserve">letech 1995–2018 </w:t>
      </w:r>
      <w:r w:rsidR="00DA2199" w:rsidRPr="00096052">
        <w:rPr>
          <w:lang w:val="cs-CZ"/>
        </w:rPr>
        <w:t>a</w:t>
      </w:r>
      <w:r w:rsidR="00DA2199">
        <w:rPr>
          <w:lang w:val="cs-CZ"/>
        </w:rPr>
        <w:t> </w:t>
      </w:r>
      <w:r w:rsidRPr="00096052">
        <w:rPr>
          <w:lang w:val="cs-CZ"/>
        </w:rPr>
        <w:t xml:space="preserve">zjišťují, že fiskální restrikce založené na výdajích jsou při snižování úrovně dluhu výrazně úspěšnější než úpravy založené na daních, přičemž úspěšné úpravy se alespoň ze dvou třetin soustředí na výdajovou stranu. Výdajové úpravy mají tendenci způsobovat malé poklesy, které se z hlediska statistické významnosti neliší od nuly, zatímco daňové úpravy způsobují hluboké </w:t>
      </w:r>
      <w:r w:rsidR="00DA2199" w:rsidRPr="00096052">
        <w:rPr>
          <w:lang w:val="cs-CZ"/>
        </w:rPr>
        <w:t>a</w:t>
      </w:r>
      <w:r w:rsidR="00DA2199">
        <w:rPr>
          <w:lang w:val="cs-CZ"/>
        </w:rPr>
        <w:t> </w:t>
      </w:r>
      <w:r w:rsidRPr="00096052">
        <w:rPr>
          <w:lang w:val="cs-CZ"/>
        </w:rPr>
        <w:t>dlouhotrvající recese. Kromě toho zjistili, že období fiskální konsolidace, která trvají déle než dva roky, bývají dvakrát úspěšnější než ta, která trvají pouze dva roky nebo méně. Velikost fiskální konsolidace podle nich není klíčovým faktorem úspěšnosti fiskálních úprav.</w:t>
      </w:r>
    </w:p>
    <w:p w14:paraId="7B2C6A1A" w14:textId="33F561A0" w:rsidR="00245CC7" w:rsidRPr="00096052" w:rsidRDefault="00245CC7" w:rsidP="00230367">
      <w:pPr>
        <w:rPr>
          <w:lang w:val="cs-CZ"/>
        </w:rPr>
      </w:pPr>
      <w:r w:rsidRPr="00096052">
        <w:rPr>
          <w:lang w:val="cs-CZ"/>
        </w:rPr>
        <w:t>Mezinárodní měnový fond přišel v roce 2023 s rešeršní studií</w:t>
      </w:r>
      <w:r w:rsidRPr="0045534A">
        <w:rPr>
          <w:rStyle w:val="StylZnakapoznpodarouLatinkaArial"/>
        </w:rPr>
        <w:footnoteReference w:id="46"/>
      </w:r>
      <w:r w:rsidRPr="00096052">
        <w:rPr>
          <w:lang w:val="cs-CZ"/>
        </w:rPr>
        <w:t>, která zahrnuje poznatky z posledních let</w:t>
      </w:r>
      <w:r w:rsidR="00C8377B">
        <w:rPr>
          <w:lang w:val="cs-CZ"/>
        </w:rPr>
        <w:t>,</w:t>
      </w:r>
      <w:r w:rsidRPr="00096052">
        <w:rPr>
          <w:lang w:val="cs-CZ"/>
        </w:rPr>
        <w:t xml:space="preserve"> </w:t>
      </w:r>
      <w:r w:rsidR="00DA2199" w:rsidRPr="00096052">
        <w:rPr>
          <w:lang w:val="cs-CZ"/>
        </w:rPr>
        <w:t>a</w:t>
      </w:r>
      <w:r w:rsidR="00DA2199">
        <w:rPr>
          <w:lang w:val="cs-CZ"/>
        </w:rPr>
        <w:t> </w:t>
      </w:r>
      <w:r w:rsidRPr="00096052">
        <w:rPr>
          <w:lang w:val="cs-CZ"/>
        </w:rPr>
        <w:t xml:space="preserve">z hlediska složení konsolidačních souborů opatření jsou zdrženlivější. Píší, že přesná kombinace opatření na straně příjmů </w:t>
      </w:r>
      <w:r w:rsidR="00DA2199" w:rsidRPr="00096052">
        <w:rPr>
          <w:lang w:val="cs-CZ"/>
        </w:rPr>
        <w:t>a</w:t>
      </w:r>
      <w:r w:rsidR="00DA2199">
        <w:rPr>
          <w:lang w:val="cs-CZ"/>
        </w:rPr>
        <w:t> </w:t>
      </w:r>
      <w:r w:rsidRPr="00096052">
        <w:rPr>
          <w:lang w:val="cs-CZ"/>
        </w:rPr>
        <w:t xml:space="preserve">výdajů by měla být přizpůsobena podmínkám </w:t>
      </w:r>
      <w:r w:rsidR="00DA2199" w:rsidRPr="00096052">
        <w:rPr>
          <w:lang w:val="cs-CZ"/>
        </w:rPr>
        <w:t>v</w:t>
      </w:r>
      <w:r w:rsidR="00DA2199">
        <w:rPr>
          <w:lang w:val="cs-CZ"/>
        </w:rPr>
        <w:t> </w:t>
      </w:r>
      <w:r w:rsidRPr="00096052">
        <w:rPr>
          <w:lang w:val="cs-CZ"/>
        </w:rPr>
        <w:t xml:space="preserve">dané zemi. Ty, které mají velkou vládu, budou mít větší prostor pro snižování běžných výdajů, zejména mzdových nákladů </w:t>
      </w:r>
      <w:r w:rsidR="00DA2199" w:rsidRPr="00096052">
        <w:rPr>
          <w:lang w:val="cs-CZ"/>
        </w:rPr>
        <w:t>a</w:t>
      </w:r>
      <w:r w:rsidR="00DA2199">
        <w:rPr>
          <w:lang w:val="cs-CZ"/>
        </w:rPr>
        <w:t> </w:t>
      </w:r>
      <w:r w:rsidRPr="00096052">
        <w:rPr>
          <w:lang w:val="cs-CZ"/>
        </w:rPr>
        <w:t xml:space="preserve">transferů, přičemž je třeba mít na paměti sociální </w:t>
      </w:r>
      <w:r w:rsidR="00DA2199" w:rsidRPr="00096052">
        <w:rPr>
          <w:lang w:val="cs-CZ"/>
        </w:rPr>
        <w:t>a</w:t>
      </w:r>
      <w:r w:rsidR="00DA2199">
        <w:rPr>
          <w:lang w:val="cs-CZ"/>
        </w:rPr>
        <w:t> </w:t>
      </w:r>
      <w:r w:rsidRPr="00096052">
        <w:rPr>
          <w:lang w:val="cs-CZ"/>
        </w:rPr>
        <w:t xml:space="preserve">politické dopady. Mezitím by měly být sociální výdaje </w:t>
      </w:r>
      <w:r w:rsidR="00DA2199" w:rsidRPr="00096052">
        <w:rPr>
          <w:lang w:val="cs-CZ"/>
        </w:rPr>
        <w:t>a</w:t>
      </w:r>
      <w:r w:rsidR="00DA2199">
        <w:rPr>
          <w:lang w:val="cs-CZ"/>
        </w:rPr>
        <w:t> </w:t>
      </w:r>
      <w:r w:rsidRPr="00096052">
        <w:rPr>
          <w:lang w:val="cs-CZ"/>
        </w:rPr>
        <w:t xml:space="preserve">veřejné investice relativně chráněny </w:t>
      </w:r>
      <w:r w:rsidR="00DA2199" w:rsidRPr="00096052">
        <w:rPr>
          <w:lang w:val="cs-CZ"/>
        </w:rPr>
        <w:t>v</w:t>
      </w:r>
      <w:r w:rsidR="00DA2199">
        <w:rPr>
          <w:lang w:val="cs-CZ"/>
        </w:rPr>
        <w:t> </w:t>
      </w:r>
      <w:r w:rsidRPr="00096052">
        <w:rPr>
          <w:lang w:val="cs-CZ"/>
        </w:rPr>
        <w:t xml:space="preserve">zájmu snižování chudoby </w:t>
      </w:r>
      <w:r w:rsidR="00DA2199" w:rsidRPr="00096052">
        <w:rPr>
          <w:lang w:val="cs-CZ"/>
        </w:rPr>
        <w:t>a</w:t>
      </w:r>
      <w:r w:rsidR="00DA2199">
        <w:rPr>
          <w:lang w:val="cs-CZ"/>
        </w:rPr>
        <w:t> </w:t>
      </w:r>
      <w:r w:rsidRPr="00096052">
        <w:rPr>
          <w:lang w:val="cs-CZ"/>
        </w:rPr>
        <w:t xml:space="preserve">dlouhodobého růstu. </w:t>
      </w:r>
      <w:r w:rsidR="00DA2199" w:rsidRPr="00096052">
        <w:rPr>
          <w:lang w:val="cs-CZ"/>
        </w:rPr>
        <w:t>V</w:t>
      </w:r>
      <w:r w:rsidR="00DA2199">
        <w:rPr>
          <w:lang w:val="cs-CZ"/>
        </w:rPr>
        <w:t> </w:t>
      </w:r>
      <w:r w:rsidRPr="00096052">
        <w:rPr>
          <w:lang w:val="cs-CZ"/>
        </w:rPr>
        <w:t xml:space="preserve">případě zemí, které mají </w:t>
      </w:r>
      <w:r w:rsidR="00DA2199" w:rsidRPr="00096052">
        <w:rPr>
          <w:lang w:val="cs-CZ"/>
        </w:rPr>
        <w:t>v</w:t>
      </w:r>
      <w:r w:rsidR="00DA2199">
        <w:rPr>
          <w:lang w:val="cs-CZ"/>
        </w:rPr>
        <w:t> </w:t>
      </w:r>
      <w:r w:rsidRPr="00096052">
        <w:rPr>
          <w:lang w:val="cs-CZ"/>
        </w:rPr>
        <w:t xml:space="preserve">současnosti nízké příjmy, by měla být větší váha přikládána mobilizaci příjmů. To se může ukázat jako nezbytné nejen pro fiskální konsolidaci, ale také pro řešení dlouhodobých výzev, jako je snižování chudoby, změna klimatu či stárnutí populace. Opatření na zvýšení příjmů podporující růst by mohla zahrnovat snížení daňových výdajů, zvýšení majetkových daní </w:t>
      </w:r>
      <w:r w:rsidR="00DA2199" w:rsidRPr="00096052">
        <w:rPr>
          <w:lang w:val="cs-CZ"/>
        </w:rPr>
        <w:t>a</w:t>
      </w:r>
      <w:r w:rsidR="00DA2199">
        <w:rPr>
          <w:lang w:val="cs-CZ"/>
        </w:rPr>
        <w:t> </w:t>
      </w:r>
      <w:r w:rsidRPr="00096052">
        <w:rPr>
          <w:lang w:val="cs-CZ"/>
        </w:rPr>
        <w:t xml:space="preserve">spotřebních daní, jako je daň z přidané hodnoty, spotřební daně </w:t>
      </w:r>
      <w:r w:rsidR="00DA2199" w:rsidRPr="00096052">
        <w:rPr>
          <w:lang w:val="cs-CZ"/>
        </w:rPr>
        <w:t>a</w:t>
      </w:r>
      <w:r w:rsidR="00DA2199">
        <w:rPr>
          <w:lang w:val="cs-CZ"/>
        </w:rPr>
        <w:t> </w:t>
      </w:r>
      <w:r w:rsidRPr="00096052">
        <w:rPr>
          <w:lang w:val="cs-CZ"/>
        </w:rPr>
        <w:t>ekologické daně.</w:t>
      </w:r>
    </w:p>
    <w:p w14:paraId="71EF5044" w14:textId="2E74CC93" w:rsidR="00245CC7" w:rsidRPr="00096052" w:rsidRDefault="00245CC7" w:rsidP="00230367">
      <w:pPr>
        <w:rPr>
          <w:lang w:val="cs-CZ"/>
        </w:rPr>
      </w:pPr>
      <w:r w:rsidRPr="00096052">
        <w:rPr>
          <w:lang w:val="cs-CZ"/>
        </w:rPr>
        <w:t>Tato zjištění navázala (mimo jiné) na výzkum</w:t>
      </w:r>
      <w:r w:rsidRPr="0045534A">
        <w:rPr>
          <w:rStyle w:val="StylZnakapoznpodarouLatinkaArial"/>
        </w:rPr>
        <w:footnoteReference w:id="47"/>
      </w:r>
      <w:r w:rsidRPr="00096052">
        <w:rPr>
          <w:lang w:val="cs-CZ"/>
        </w:rPr>
        <w:t xml:space="preserve"> odborníků Evropské komise provedený </w:t>
      </w:r>
      <w:r w:rsidR="00DA2199" w:rsidRPr="00096052">
        <w:rPr>
          <w:lang w:val="cs-CZ"/>
        </w:rPr>
        <w:t>o</w:t>
      </w:r>
      <w:r w:rsidR="00DA2199">
        <w:rPr>
          <w:lang w:val="cs-CZ"/>
        </w:rPr>
        <w:t> </w:t>
      </w:r>
      <w:r w:rsidRPr="00096052">
        <w:rPr>
          <w:lang w:val="cs-CZ"/>
        </w:rPr>
        <w:t xml:space="preserve">devět let dříve, jenž zkoumal možnosti příjmové konsolidace </w:t>
      </w:r>
      <w:r w:rsidR="00DA2199" w:rsidRPr="00096052">
        <w:rPr>
          <w:lang w:val="cs-CZ"/>
        </w:rPr>
        <w:t>a</w:t>
      </w:r>
      <w:r w:rsidR="00DA2199">
        <w:rPr>
          <w:lang w:val="cs-CZ"/>
        </w:rPr>
        <w:t> </w:t>
      </w:r>
      <w:r w:rsidRPr="00096052">
        <w:rPr>
          <w:lang w:val="cs-CZ"/>
        </w:rPr>
        <w:t>přesunutí daňové zátěže ze zdanění </w:t>
      </w:r>
      <w:r w:rsidR="005411D4">
        <w:rPr>
          <w:lang w:val="cs-CZ"/>
        </w:rPr>
        <w:t>práce</w:t>
      </w:r>
      <w:r w:rsidRPr="00096052">
        <w:rPr>
          <w:lang w:val="cs-CZ"/>
        </w:rPr>
        <w:t xml:space="preserve"> směrem k nepřímým </w:t>
      </w:r>
      <w:r w:rsidR="00DA2199" w:rsidRPr="00096052">
        <w:rPr>
          <w:lang w:val="cs-CZ"/>
        </w:rPr>
        <w:t>a</w:t>
      </w:r>
      <w:r w:rsidR="00DA2199">
        <w:rPr>
          <w:lang w:val="cs-CZ"/>
        </w:rPr>
        <w:t> </w:t>
      </w:r>
      <w:r w:rsidRPr="00096052">
        <w:rPr>
          <w:lang w:val="cs-CZ"/>
        </w:rPr>
        <w:t xml:space="preserve">majetkovým daním, které dle autorů méně narušují hospodářský růst. Dle </w:t>
      </w:r>
      <w:r w:rsidR="00C8377B" w:rsidRPr="00096052">
        <w:rPr>
          <w:lang w:val="cs-CZ"/>
        </w:rPr>
        <w:t>provedené</w:t>
      </w:r>
      <w:r w:rsidRPr="00096052">
        <w:rPr>
          <w:lang w:val="cs-CZ"/>
        </w:rPr>
        <w:t xml:space="preserve"> analýzy tento krok mohla zvažovat plná třetina členských států Evropské unie. Druhá část analýzy se zaměřila na identifikaci členských států, které by spolu s kontrolou výdajové stránky mohly zvážit využití zvyšování daní ke konsolidaci svých veřejných financí </w:t>
      </w:r>
      <w:r w:rsidR="00DA2199" w:rsidRPr="00096052">
        <w:rPr>
          <w:lang w:val="cs-CZ"/>
        </w:rPr>
        <w:t>a</w:t>
      </w:r>
      <w:r w:rsidR="00DA2199">
        <w:rPr>
          <w:lang w:val="cs-CZ"/>
        </w:rPr>
        <w:t> </w:t>
      </w:r>
      <w:r w:rsidRPr="00096052">
        <w:rPr>
          <w:lang w:val="cs-CZ"/>
        </w:rPr>
        <w:t xml:space="preserve">jejich nasměrování na udržitelnou trajektorii. Výzkum zjistil existenci jen </w:t>
      </w:r>
      <w:r w:rsidRPr="00096052">
        <w:rPr>
          <w:lang w:val="cs-CZ"/>
        </w:rPr>
        <w:lastRenderedPageBreak/>
        <w:t>omezeného počtu zemí čelících výzvám v oblasti konsolidace, jež měly současně dostatečný prostor pro navyšování daňových příjmů.</w:t>
      </w:r>
    </w:p>
    <w:p w14:paraId="04E74568" w14:textId="1C004DE1" w:rsidR="00245CC7" w:rsidRPr="00096052" w:rsidRDefault="00245CC7" w:rsidP="00230367">
      <w:pPr>
        <w:rPr>
          <w:lang w:val="cs-CZ"/>
        </w:rPr>
      </w:pPr>
      <w:r w:rsidRPr="00096052">
        <w:rPr>
          <w:lang w:val="cs-CZ"/>
        </w:rPr>
        <w:t>V roce 2012 se Rawdanowicz, Wurzel and Christensen</w:t>
      </w:r>
      <w:r w:rsidRPr="0045534A">
        <w:rPr>
          <w:rStyle w:val="StylZnakapoznpodarouLatinkaArial"/>
        </w:rPr>
        <w:footnoteReference w:id="48"/>
      </w:r>
      <w:r w:rsidRPr="00096052">
        <w:rPr>
          <w:lang w:val="cs-CZ"/>
        </w:rPr>
        <w:t xml:space="preserve"> zabývali dopady jednotlivých opatření fiskální konsolidace na příjmovou nerovnost </w:t>
      </w:r>
      <w:r w:rsidR="00DA2199" w:rsidRPr="00096052">
        <w:rPr>
          <w:lang w:val="cs-CZ"/>
        </w:rPr>
        <w:t>a</w:t>
      </w:r>
      <w:r w:rsidR="00DA2199">
        <w:rPr>
          <w:lang w:val="cs-CZ"/>
        </w:rPr>
        <w:t> </w:t>
      </w:r>
      <w:r w:rsidRPr="00096052">
        <w:rPr>
          <w:lang w:val="cs-CZ"/>
        </w:rPr>
        <w:t xml:space="preserve">na hospodářský růst. Ve své stati konstatovali, že existuje řada konsolidačních nástrojů, které jsou </w:t>
      </w:r>
      <w:r w:rsidR="00DA2199" w:rsidRPr="00096052">
        <w:rPr>
          <w:lang w:val="cs-CZ"/>
        </w:rPr>
        <w:t>v</w:t>
      </w:r>
      <w:r w:rsidR="00DA2199">
        <w:rPr>
          <w:lang w:val="cs-CZ"/>
        </w:rPr>
        <w:t> </w:t>
      </w:r>
      <w:r w:rsidRPr="00096052">
        <w:rPr>
          <w:lang w:val="cs-CZ"/>
        </w:rPr>
        <w:t xml:space="preserve">souladu s cílem rovnosti, přičemž potenciálnímu růstu škodí jen málo nebo vůbec: zvýšení skutečného věku odchodu do důchodu, zvýšení efektivity systémů vzdělávání </w:t>
      </w:r>
      <w:r w:rsidR="00DA2199" w:rsidRPr="00096052">
        <w:rPr>
          <w:lang w:val="cs-CZ"/>
        </w:rPr>
        <w:t>a</w:t>
      </w:r>
      <w:r w:rsidR="00DA2199">
        <w:rPr>
          <w:lang w:val="cs-CZ"/>
        </w:rPr>
        <w:t> </w:t>
      </w:r>
      <w:r w:rsidRPr="00096052">
        <w:rPr>
          <w:lang w:val="cs-CZ"/>
        </w:rPr>
        <w:t xml:space="preserve">zdravotní péče, snížení (resp. zrušení) některých daňových výjimek, zvýšení daní </w:t>
      </w:r>
      <w:r w:rsidR="00DA2199" w:rsidRPr="00096052">
        <w:rPr>
          <w:lang w:val="cs-CZ"/>
        </w:rPr>
        <w:t>z</w:t>
      </w:r>
      <w:r w:rsidR="00DA2199">
        <w:rPr>
          <w:lang w:val="cs-CZ"/>
        </w:rPr>
        <w:t> </w:t>
      </w:r>
      <w:r w:rsidRPr="00096052">
        <w:rPr>
          <w:lang w:val="cs-CZ"/>
        </w:rPr>
        <w:t xml:space="preserve">nemovitého majetku </w:t>
      </w:r>
      <w:r w:rsidR="00DA2199" w:rsidRPr="00096052">
        <w:rPr>
          <w:lang w:val="cs-CZ"/>
        </w:rPr>
        <w:t>a</w:t>
      </w:r>
      <w:r w:rsidR="00DA2199">
        <w:rPr>
          <w:lang w:val="cs-CZ"/>
        </w:rPr>
        <w:t> </w:t>
      </w:r>
      <w:r w:rsidRPr="00096052">
        <w:rPr>
          <w:lang w:val="cs-CZ"/>
        </w:rPr>
        <w:t xml:space="preserve">rozšíření základu spotřební daně. Jako sociálně spravedlivé autoři vnímali také možné zvyšování daní z kapitálových příjmů, avšak za dobrého navržení nenarušujícího hospodářskou soutěž. Provedené výpočty založené na zjednodušujících předpokladech naznačily, že zvýšení přímých daní domácnostem by snížilo příjmovou nerovnost, zatímco snížení transferů </w:t>
      </w:r>
      <w:r w:rsidR="00DA2199" w:rsidRPr="00096052">
        <w:rPr>
          <w:lang w:val="cs-CZ"/>
        </w:rPr>
        <w:t>o</w:t>
      </w:r>
      <w:r w:rsidR="00DA2199">
        <w:rPr>
          <w:lang w:val="cs-CZ"/>
        </w:rPr>
        <w:t> </w:t>
      </w:r>
      <w:r w:rsidRPr="00096052">
        <w:rPr>
          <w:lang w:val="cs-CZ"/>
        </w:rPr>
        <w:t xml:space="preserve">stejnou částku by mělo na nerovnost větší, opačný efekt. Zvýšení progresivních daní uvalených na pracovní sílu by však mohlo mít nepříznivé dopady na dlouhodobý růst. Snížení mzdové úrovně </w:t>
      </w:r>
      <w:r w:rsidR="00DA2199" w:rsidRPr="00096052">
        <w:rPr>
          <w:lang w:val="cs-CZ"/>
        </w:rPr>
        <w:t>a</w:t>
      </w:r>
      <w:r w:rsidR="00DA2199">
        <w:rPr>
          <w:lang w:val="cs-CZ"/>
        </w:rPr>
        <w:t> </w:t>
      </w:r>
      <w:r w:rsidRPr="00096052">
        <w:rPr>
          <w:lang w:val="cs-CZ"/>
        </w:rPr>
        <w:t xml:space="preserve">propouštění ve veřejném sektoru může přinést rychlé konsolidační zisky, ale musí být doprovázeno zvýšením efektivity poskytování služeb, aby se zabránilo tomu, že snížení dostupnosti veřejných služeb postihne hlavně chudé osoby. Také snížení podpor v nezaměstnanosti </w:t>
      </w:r>
      <w:r w:rsidR="00DA2199" w:rsidRPr="00096052">
        <w:rPr>
          <w:lang w:val="cs-CZ"/>
        </w:rPr>
        <w:t>a</w:t>
      </w:r>
      <w:r w:rsidR="00DA2199">
        <w:rPr>
          <w:lang w:val="cs-CZ"/>
        </w:rPr>
        <w:t> </w:t>
      </w:r>
      <w:r w:rsidRPr="00096052">
        <w:rPr>
          <w:lang w:val="cs-CZ"/>
        </w:rPr>
        <w:t>invalidního důchodu by pochopitelně zasáhlo hlavně chudé, ale v dlouhém období by nemuselo dojít k tak velkým dopadům na nerovnost, neboť by tyto skupiny osob byly pobízeny k větší zaměstnanosti.</w:t>
      </w:r>
    </w:p>
    <w:p w14:paraId="375E4E45" w14:textId="163F1B95" w:rsidR="00245CC7" w:rsidRPr="00096052" w:rsidRDefault="00245CC7" w:rsidP="00230367">
      <w:pPr>
        <w:rPr>
          <w:lang w:val="cs-CZ"/>
        </w:rPr>
      </w:pPr>
      <w:r w:rsidRPr="00096052">
        <w:rPr>
          <w:lang w:val="cs-CZ"/>
        </w:rPr>
        <w:t>Studie Evropské centrální banky</w:t>
      </w:r>
      <w:r w:rsidRPr="0045534A">
        <w:rPr>
          <w:rStyle w:val="StylZnakapoznpodarouLatinkaArial"/>
        </w:rPr>
        <w:footnoteReference w:id="49"/>
      </w:r>
      <w:r w:rsidRPr="00096052">
        <w:rPr>
          <w:lang w:val="cs-CZ"/>
        </w:rPr>
        <w:t xml:space="preserve"> se zaměřovala na roli rozdílů v zájmu veřejnosti </w:t>
      </w:r>
      <w:r w:rsidR="006F1F8A">
        <w:rPr>
          <w:lang w:val="cs-CZ"/>
        </w:rPr>
        <w:t>o </w:t>
      </w:r>
      <w:r w:rsidRPr="00096052">
        <w:rPr>
          <w:lang w:val="cs-CZ"/>
        </w:rPr>
        <w:t>úsporn</w:t>
      </w:r>
      <w:r w:rsidR="006F1F8A">
        <w:rPr>
          <w:lang w:val="cs-CZ"/>
        </w:rPr>
        <w:t>á</w:t>
      </w:r>
      <w:r w:rsidRPr="00096052">
        <w:rPr>
          <w:lang w:val="cs-CZ"/>
        </w:rPr>
        <w:t xml:space="preserve"> opatření založen</w:t>
      </w:r>
      <w:r w:rsidR="006F1F8A">
        <w:rPr>
          <w:lang w:val="cs-CZ"/>
        </w:rPr>
        <w:t>á</w:t>
      </w:r>
      <w:r w:rsidRPr="00096052">
        <w:rPr>
          <w:lang w:val="cs-CZ"/>
        </w:rPr>
        <w:t xml:space="preserve"> na příjmech </w:t>
      </w:r>
      <w:r w:rsidR="00DA2199" w:rsidRPr="00096052">
        <w:rPr>
          <w:lang w:val="cs-CZ"/>
        </w:rPr>
        <w:t>a</w:t>
      </w:r>
      <w:r w:rsidR="00DA2199">
        <w:rPr>
          <w:lang w:val="cs-CZ"/>
        </w:rPr>
        <w:t> </w:t>
      </w:r>
      <w:r w:rsidRPr="00096052">
        <w:rPr>
          <w:lang w:val="cs-CZ"/>
        </w:rPr>
        <w:t xml:space="preserve">na výdajích po jejich představení. V prvé části dokumentu autoři zkoumali prostřednictvím prostého „účetního“ rámce za účelem srovnání plánovaných fiskálních záměrů </w:t>
      </w:r>
      <w:r w:rsidR="00DA2199" w:rsidRPr="00096052">
        <w:rPr>
          <w:lang w:val="cs-CZ"/>
        </w:rPr>
        <w:t>a</w:t>
      </w:r>
      <w:r w:rsidR="00DA2199">
        <w:rPr>
          <w:lang w:val="cs-CZ"/>
        </w:rPr>
        <w:t> </w:t>
      </w:r>
      <w:r w:rsidRPr="00096052">
        <w:rPr>
          <w:lang w:val="cs-CZ"/>
        </w:rPr>
        <w:t xml:space="preserve">skutečně dosažených výsledků. Zjistili </w:t>
      </w:r>
      <w:r w:rsidR="00C8377B" w:rsidRPr="00096052">
        <w:rPr>
          <w:lang w:val="cs-CZ"/>
        </w:rPr>
        <w:t>citelně</w:t>
      </w:r>
      <w:r w:rsidRPr="00096052">
        <w:rPr>
          <w:lang w:val="cs-CZ"/>
        </w:rPr>
        <w:t xml:space="preserve"> větší zájem veřejnosti </w:t>
      </w:r>
      <w:r w:rsidR="00DA2199" w:rsidRPr="00096052">
        <w:rPr>
          <w:lang w:val="cs-CZ"/>
        </w:rPr>
        <w:t>o</w:t>
      </w:r>
      <w:r w:rsidR="00DA2199">
        <w:rPr>
          <w:lang w:val="cs-CZ"/>
        </w:rPr>
        <w:t> </w:t>
      </w:r>
      <w:r w:rsidRPr="00096052">
        <w:rPr>
          <w:lang w:val="cs-CZ"/>
        </w:rPr>
        <w:t xml:space="preserve">sledování příjmově založených konsolidací ve srovnání s konsolidacemi zaměřenými na výdajové škrty. Bez zmínky by rovněž neměla zůstat skutečnost, že </w:t>
      </w:r>
      <w:r w:rsidR="00DA2199" w:rsidRPr="00096052">
        <w:rPr>
          <w:lang w:val="cs-CZ"/>
        </w:rPr>
        <w:t>u</w:t>
      </w:r>
      <w:r w:rsidR="00DA2199">
        <w:rPr>
          <w:lang w:val="cs-CZ"/>
        </w:rPr>
        <w:t> </w:t>
      </w:r>
      <w:r w:rsidRPr="00096052">
        <w:rPr>
          <w:lang w:val="cs-CZ"/>
        </w:rPr>
        <w:t xml:space="preserve">příjmově založených konsolidací byl rozdíl mezi plánovaným cílem </w:t>
      </w:r>
      <w:r w:rsidR="00DA2199" w:rsidRPr="00096052">
        <w:rPr>
          <w:lang w:val="cs-CZ"/>
        </w:rPr>
        <w:t>a</w:t>
      </w:r>
      <w:r w:rsidR="00DA2199">
        <w:rPr>
          <w:lang w:val="cs-CZ"/>
        </w:rPr>
        <w:t> </w:t>
      </w:r>
      <w:r w:rsidRPr="00096052">
        <w:rPr>
          <w:lang w:val="cs-CZ"/>
        </w:rPr>
        <w:t>jej</w:t>
      </w:r>
      <w:r w:rsidR="00122A5A">
        <w:rPr>
          <w:lang w:val="cs-CZ"/>
        </w:rPr>
        <w:t>ich</w:t>
      </w:r>
      <w:r w:rsidRPr="00096052">
        <w:rPr>
          <w:lang w:val="cs-CZ"/>
        </w:rPr>
        <w:t xml:space="preserve"> skutečným výsledkem menší než v případě opatření na straně výdajové. To je dle autorů mj. dáno také tím, že tvůrci hospodářské politiky musí brát v potaz též politické náklady. Oznámená konsolidační opatření jsou v mnoha případech nakonec provedena pouze částečně, což platí zejména pro redukci výdajů, která se ve srovnání s příjmovým typem konsolidace jeví jako politicky prohibitivnější. Ve druhé části textu byl zkoumán narativní datový soubor obsahující oznámení </w:t>
      </w:r>
      <w:r w:rsidR="00DA2199" w:rsidRPr="00096052">
        <w:rPr>
          <w:lang w:val="cs-CZ"/>
        </w:rPr>
        <w:t>o</w:t>
      </w:r>
      <w:r w:rsidR="00DA2199">
        <w:rPr>
          <w:lang w:val="cs-CZ"/>
        </w:rPr>
        <w:t> </w:t>
      </w:r>
      <w:r w:rsidRPr="00096052">
        <w:rPr>
          <w:lang w:val="cs-CZ"/>
        </w:rPr>
        <w:t xml:space="preserve">fiskální konsolidaci za 13 států Evropské unie v letech 1978–2013. Tato data byla analyzována prostřednictvím panelového vektorového autoregresního modelu (VAR). Provedená analýza potvrdila větší zájem veřejnosti </w:t>
      </w:r>
      <w:r w:rsidR="00DA2199" w:rsidRPr="00096052">
        <w:rPr>
          <w:lang w:val="cs-CZ"/>
        </w:rPr>
        <w:t>o</w:t>
      </w:r>
      <w:r w:rsidR="00DA2199">
        <w:rPr>
          <w:lang w:val="cs-CZ"/>
        </w:rPr>
        <w:t> </w:t>
      </w:r>
      <w:r w:rsidRPr="00096052">
        <w:rPr>
          <w:lang w:val="cs-CZ"/>
        </w:rPr>
        <w:t xml:space="preserve">konsolidační plány založené na příjmech </w:t>
      </w:r>
      <w:r w:rsidR="00DA2199" w:rsidRPr="00096052">
        <w:rPr>
          <w:lang w:val="cs-CZ"/>
        </w:rPr>
        <w:t>a</w:t>
      </w:r>
      <w:r w:rsidR="00DA2199">
        <w:rPr>
          <w:lang w:val="cs-CZ"/>
        </w:rPr>
        <w:t> </w:t>
      </w:r>
      <w:r w:rsidRPr="00096052">
        <w:rPr>
          <w:lang w:val="cs-CZ"/>
        </w:rPr>
        <w:t xml:space="preserve">ukázala, že oznámení </w:t>
      </w:r>
      <w:r w:rsidR="00DA2199" w:rsidRPr="00096052">
        <w:rPr>
          <w:lang w:val="cs-CZ"/>
        </w:rPr>
        <w:t>o</w:t>
      </w:r>
      <w:r w:rsidR="00DA2199">
        <w:rPr>
          <w:lang w:val="cs-CZ"/>
        </w:rPr>
        <w:t> </w:t>
      </w:r>
      <w:r w:rsidRPr="00096052">
        <w:rPr>
          <w:lang w:val="cs-CZ"/>
        </w:rPr>
        <w:t xml:space="preserve">konsolidaci na základě příjmů vedly </w:t>
      </w:r>
      <w:r w:rsidR="00DA2199" w:rsidRPr="00096052">
        <w:rPr>
          <w:lang w:val="cs-CZ"/>
        </w:rPr>
        <w:t>k</w:t>
      </w:r>
      <w:r w:rsidR="00DA2199">
        <w:rPr>
          <w:lang w:val="cs-CZ"/>
        </w:rPr>
        <w:t> </w:t>
      </w:r>
      <w:r w:rsidRPr="00096052">
        <w:rPr>
          <w:lang w:val="cs-CZ"/>
        </w:rPr>
        <w:t xml:space="preserve">podstatně většímu snížení ekonomické aktivity než oznámení </w:t>
      </w:r>
      <w:r w:rsidR="00DA2199" w:rsidRPr="00096052">
        <w:rPr>
          <w:lang w:val="cs-CZ"/>
        </w:rPr>
        <w:t>o</w:t>
      </w:r>
      <w:r w:rsidR="00DA2199">
        <w:rPr>
          <w:lang w:val="cs-CZ"/>
        </w:rPr>
        <w:t> </w:t>
      </w:r>
      <w:r w:rsidRPr="00096052">
        <w:rPr>
          <w:lang w:val="cs-CZ"/>
        </w:rPr>
        <w:t>konsolidaci na základě výdajů. To bylo způsobeno primárně odlišnými multiplikátory, kdy multipli</w:t>
      </w:r>
      <w:r w:rsidR="00C8377B">
        <w:rPr>
          <w:lang w:val="cs-CZ"/>
        </w:rPr>
        <w:t>ká</w:t>
      </w:r>
      <w:r w:rsidRPr="00096052">
        <w:rPr>
          <w:lang w:val="cs-CZ"/>
        </w:rPr>
        <w:t xml:space="preserve">tor příjmově založených konsolidací je značně vyšší než </w:t>
      </w:r>
      <w:r w:rsidR="00DA2199" w:rsidRPr="00096052">
        <w:rPr>
          <w:lang w:val="cs-CZ"/>
        </w:rPr>
        <w:t>u</w:t>
      </w:r>
      <w:r w:rsidR="00DA2199">
        <w:rPr>
          <w:lang w:val="cs-CZ"/>
        </w:rPr>
        <w:t> </w:t>
      </w:r>
      <w:r w:rsidRPr="00096052">
        <w:rPr>
          <w:lang w:val="cs-CZ"/>
        </w:rPr>
        <w:t>výdajově založených konsolidací. Stejně tak hrálo nezanedbatelnou roli větší sledování příjmově založených plánů veřejností.</w:t>
      </w:r>
    </w:p>
    <w:p w14:paraId="37ED7C57" w14:textId="2DF585B0" w:rsidR="00245CC7" w:rsidRPr="00096052" w:rsidRDefault="00245CC7" w:rsidP="00230367">
      <w:pPr>
        <w:rPr>
          <w:lang w:val="cs-CZ"/>
        </w:rPr>
      </w:pPr>
      <w:r w:rsidRPr="00096052">
        <w:rPr>
          <w:lang w:val="cs-CZ"/>
        </w:rPr>
        <w:t xml:space="preserve">Jedním </w:t>
      </w:r>
      <w:r w:rsidR="00DA2199" w:rsidRPr="00096052">
        <w:rPr>
          <w:lang w:val="cs-CZ"/>
        </w:rPr>
        <w:t>z</w:t>
      </w:r>
      <w:r w:rsidR="00DA2199">
        <w:rPr>
          <w:lang w:val="cs-CZ"/>
        </w:rPr>
        <w:t> </w:t>
      </w:r>
      <w:r w:rsidRPr="00096052">
        <w:rPr>
          <w:lang w:val="cs-CZ"/>
        </w:rPr>
        <w:t xml:space="preserve">nejnovějších příspěvků věnujících se konsolidaci je publikace Mezinárodního </w:t>
      </w:r>
      <w:r w:rsidRPr="00096052">
        <w:rPr>
          <w:lang w:val="cs-CZ"/>
        </w:rPr>
        <w:lastRenderedPageBreak/>
        <w:t xml:space="preserve">měnového fondu vydaná </w:t>
      </w:r>
      <w:r w:rsidR="00DA2199" w:rsidRPr="00096052">
        <w:rPr>
          <w:lang w:val="cs-CZ"/>
        </w:rPr>
        <w:t>v</w:t>
      </w:r>
      <w:r w:rsidR="00DA2199">
        <w:rPr>
          <w:lang w:val="cs-CZ"/>
        </w:rPr>
        <w:t> </w:t>
      </w:r>
      <w:r w:rsidRPr="00096052">
        <w:rPr>
          <w:lang w:val="cs-CZ"/>
        </w:rPr>
        <w:t>dubnu 2023.</w:t>
      </w:r>
      <w:r w:rsidRPr="0045534A">
        <w:rPr>
          <w:rStyle w:val="StylZnakapoznpodarouLatinkaArial"/>
        </w:rPr>
        <w:footnoteReference w:id="50"/>
      </w:r>
      <w:r w:rsidRPr="00096052">
        <w:rPr>
          <w:lang w:val="cs-CZ"/>
        </w:rPr>
        <w:t xml:space="preserve"> </w:t>
      </w:r>
      <w:r w:rsidR="00DA2199" w:rsidRPr="00096052">
        <w:rPr>
          <w:lang w:val="cs-CZ"/>
        </w:rPr>
        <w:t>Z</w:t>
      </w:r>
      <w:r w:rsidR="00DA2199">
        <w:rPr>
          <w:lang w:val="cs-CZ"/>
        </w:rPr>
        <w:t> </w:t>
      </w:r>
      <w:r w:rsidRPr="00096052">
        <w:rPr>
          <w:lang w:val="cs-CZ"/>
        </w:rPr>
        <w:t xml:space="preserve">textu vyplynuly tři závěry. Za prvé, adekvátně načasované (např. </w:t>
      </w:r>
      <w:r w:rsidR="00DA2199" w:rsidRPr="00096052">
        <w:rPr>
          <w:lang w:val="cs-CZ"/>
        </w:rPr>
        <w:t>v</w:t>
      </w:r>
      <w:r w:rsidR="00DA2199">
        <w:rPr>
          <w:lang w:val="cs-CZ"/>
        </w:rPr>
        <w:t> </w:t>
      </w:r>
      <w:r w:rsidRPr="00096052">
        <w:rPr>
          <w:lang w:val="cs-CZ"/>
        </w:rPr>
        <w:t xml:space="preserve">čase ekonomické expanze) </w:t>
      </w:r>
      <w:r w:rsidR="00DA2199" w:rsidRPr="00096052">
        <w:rPr>
          <w:lang w:val="cs-CZ"/>
        </w:rPr>
        <w:t>a</w:t>
      </w:r>
      <w:r w:rsidR="00DA2199">
        <w:rPr>
          <w:lang w:val="cs-CZ"/>
        </w:rPr>
        <w:t> </w:t>
      </w:r>
      <w:r w:rsidRPr="00096052">
        <w:rPr>
          <w:lang w:val="cs-CZ"/>
        </w:rPr>
        <w:t xml:space="preserve">vhodně navržené (kupříkladu pro vyspělé ekonomiky to znamená více opatření založených na výdajích než na příjmech) fiskální konsolidace </w:t>
      </w:r>
      <w:r w:rsidR="00DA2199" w:rsidRPr="00096052">
        <w:rPr>
          <w:lang w:val="cs-CZ"/>
        </w:rPr>
        <w:t>s</w:t>
      </w:r>
      <w:r w:rsidR="00DA2199">
        <w:rPr>
          <w:lang w:val="cs-CZ"/>
        </w:rPr>
        <w:t> </w:t>
      </w:r>
      <w:r w:rsidRPr="00096052">
        <w:rPr>
          <w:lang w:val="cs-CZ"/>
        </w:rPr>
        <w:t xml:space="preserve">vysokou pravděpodobností trvale sníží míru zadlužení. Průměrná úspěšná fiskální konsolidace během prvního roku snižuje míru zadlužení </w:t>
      </w:r>
      <w:r w:rsidR="00DA2199" w:rsidRPr="00096052">
        <w:rPr>
          <w:lang w:val="cs-CZ"/>
        </w:rPr>
        <w:t>o</w:t>
      </w:r>
      <w:r w:rsidR="00DA2199">
        <w:rPr>
          <w:lang w:val="cs-CZ"/>
        </w:rPr>
        <w:t> </w:t>
      </w:r>
      <w:r w:rsidRPr="00096052">
        <w:rPr>
          <w:lang w:val="cs-CZ"/>
        </w:rPr>
        <w:t>0,</w:t>
      </w:r>
      <w:r w:rsidR="00DA2199" w:rsidRPr="00096052">
        <w:rPr>
          <w:lang w:val="cs-CZ"/>
        </w:rPr>
        <w:t>7</w:t>
      </w:r>
      <w:r w:rsidR="00DA2199">
        <w:rPr>
          <w:lang w:val="cs-CZ"/>
        </w:rPr>
        <w:t> </w:t>
      </w:r>
      <w:r w:rsidRPr="00096052">
        <w:rPr>
          <w:lang w:val="cs-CZ"/>
        </w:rPr>
        <w:t xml:space="preserve">procentního bodu </w:t>
      </w:r>
      <w:r w:rsidR="00DA2199" w:rsidRPr="00096052">
        <w:rPr>
          <w:lang w:val="cs-CZ"/>
        </w:rPr>
        <w:t>a</w:t>
      </w:r>
      <w:r w:rsidR="00DA2199">
        <w:rPr>
          <w:lang w:val="cs-CZ"/>
        </w:rPr>
        <w:t> </w:t>
      </w:r>
      <w:r w:rsidRPr="00096052">
        <w:rPr>
          <w:lang w:val="cs-CZ"/>
        </w:rPr>
        <w:t xml:space="preserve">kumulativně až </w:t>
      </w:r>
      <w:r w:rsidR="00DA2199" w:rsidRPr="00096052">
        <w:rPr>
          <w:lang w:val="cs-CZ"/>
        </w:rPr>
        <w:t>o</w:t>
      </w:r>
      <w:r w:rsidR="00DA2199">
        <w:rPr>
          <w:lang w:val="cs-CZ"/>
        </w:rPr>
        <w:t> </w:t>
      </w:r>
      <w:r w:rsidRPr="00096052">
        <w:rPr>
          <w:lang w:val="cs-CZ"/>
        </w:rPr>
        <w:t>2,</w:t>
      </w:r>
      <w:r w:rsidR="00DA2199" w:rsidRPr="00096052">
        <w:rPr>
          <w:lang w:val="cs-CZ"/>
        </w:rPr>
        <w:t>1</w:t>
      </w:r>
      <w:r w:rsidR="00DA2199">
        <w:rPr>
          <w:lang w:val="cs-CZ"/>
        </w:rPr>
        <w:t> </w:t>
      </w:r>
      <w:r w:rsidRPr="00096052">
        <w:rPr>
          <w:lang w:val="cs-CZ"/>
        </w:rPr>
        <w:t xml:space="preserve">procentního bodu po pěti letech. Účinky fiskálních úprav na snižování dluhu jsou posíleny, jsou-li doprovázeny strukturálními reformami podporujícími růst </w:t>
      </w:r>
      <w:r w:rsidR="00DA2199" w:rsidRPr="00096052">
        <w:rPr>
          <w:lang w:val="cs-CZ"/>
        </w:rPr>
        <w:t>a</w:t>
      </w:r>
      <w:r w:rsidR="00DA2199">
        <w:rPr>
          <w:lang w:val="cs-CZ"/>
        </w:rPr>
        <w:t> </w:t>
      </w:r>
      <w:r w:rsidRPr="00096052">
        <w:rPr>
          <w:lang w:val="cs-CZ"/>
        </w:rPr>
        <w:t xml:space="preserve">dobře nastaveným institucionálním rámcem. Ovšem vzhledem </w:t>
      </w:r>
      <w:r w:rsidR="00DA2199" w:rsidRPr="00096052">
        <w:rPr>
          <w:lang w:val="cs-CZ"/>
        </w:rPr>
        <w:t>k</w:t>
      </w:r>
      <w:r w:rsidR="00DA2199">
        <w:rPr>
          <w:lang w:val="cs-CZ"/>
        </w:rPr>
        <w:t> </w:t>
      </w:r>
      <w:r w:rsidRPr="00096052">
        <w:rPr>
          <w:lang w:val="cs-CZ"/>
        </w:rPr>
        <w:t xml:space="preserve">tomu, že ne vždy jsou tyto doprovodné podmínky přítomny, </w:t>
      </w:r>
      <w:r w:rsidR="00DA2199" w:rsidRPr="00096052">
        <w:rPr>
          <w:lang w:val="cs-CZ"/>
        </w:rPr>
        <w:t>a</w:t>
      </w:r>
      <w:r w:rsidR="00DA2199">
        <w:rPr>
          <w:lang w:val="cs-CZ"/>
        </w:rPr>
        <w:t> </w:t>
      </w:r>
      <w:r w:rsidRPr="00096052">
        <w:rPr>
          <w:lang w:val="cs-CZ"/>
        </w:rPr>
        <w:t xml:space="preserve">protože fiskální konsolidace má tendenci zpomalovat růst HDP, má fiskální konsolidace </w:t>
      </w:r>
      <w:r w:rsidR="00DA2199" w:rsidRPr="00096052">
        <w:rPr>
          <w:lang w:val="cs-CZ"/>
        </w:rPr>
        <w:t>v</w:t>
      </w:r>
      <w:r w:rsidR="00DA2199">
        <w:rPr>
          <w:lang w:val="cs-CZ"/>
        </w:rPr>
        <w:t> </w:t>
      </w:r>
      <w:r w:rsidRPr="00096052">
        <w:rPr>
          <w:lang w:val="cs-CZ"/>
        </w:rPr>
        <w:t xml:space="preserve">průměru zanedbatelný vliv na míru zadlužení. Za druhé, dopad restrukturalizace na poměr dluhu </w:t>
      </w:r>
      <w:r w:rsidR="00DA2199" w:rsidRPr="00096052">
        <w:rPr>
          <w:lang w:val="cs-CZ"/>
        </w:rPr>
        <w:t>k</w:t>
      </w:r>
      <w:r w:rsidR="00DA2199">
        <w:rPr>
          <w:lang w:val="cs-CZ"/>
        </w:rPr>
        <w:t> </w:t>
      </w:r>
      <w:r w:rsidRPr="00096052">
        <w:rPr>
          <w:lang w:val="cs-CZ"/>
        </w:rPr>
        <w:t xml:space="preserve">HDP může být značný </w:t>
      </w:r>
      <w:r w:rsidR="00DA2199" w:rsidRPr="00096052">
        <w:rPr>
          <w:lang w:val="cs-CZ"/>
        </w:rPr>
        <w:t>a</w:t>
      </w:r>
      <w:r w:rsidR="00DA2199">
        <w:rPr>
          <w:lang w:val="cs-CZ"/>
        </w:rPr>
        <w:t> </w:t>
      </w:r>
      <w:r w:rsidRPr="00096052">
        <w:rPr>
          <w:lang w:val="cs-CZ"/>
        </w:rPr>
        <w:t xml:space="preserve">dlouhodobý. Průměrná pozorovaná restrukturalizace snižuje míru zadlužení </w:t>
      </w:r>
      <w:r w:rsidR="00DA2199" w:rsidRPr="00096052">
        <w:rPr>
          <w:lang w:val="cs-CZ"/>
        </w:rPr>
        <w:t>o</w:t>
      </w:r>
      <w:r w:rsidR="00DA2199">
        <w:rPr>
          <w:lang w:val="cs-CZ"/>
        </w:rPr>
        <w:t> </w:t>
      </w:r>
      <w:r w:rsidRPr="00096052">
        <w:rPr>
          <w:lang w:val="cs-CZ"/>
        </w:rPr>
        <w:t>3,</w:t>
      </w:r>
      <w:r w:rsidR="00DA2199" w:rsidRPr="00096052">
        <w:rPr>
          <w:lang w:val="cs-CZ"/>
        </w:rPr>
        <w:t>4</w:t>
      </w:r>
      <w:r w:rsidR="00DA2199">
        <w:rPr>
          <w:lang w:val="cs-CZ"/>
        </w:rPr>
        <w:t> </w:t>
      </w:r>
      <w:r w:rsidRPr="00096052">
        <w:rPr>
          <w:lang w:val="cs-CZ"/>
        </w:rPr>
        <w:t xml:space="preserve">procentního bodu </w:t>
      </w:r>
      <w:r w:rsidR="00DA2199" w:rsidRPr="00096052">
        <w:rPr>
          <w:lang w:val="cs-CZ"/>
        </w:rPr>
        <w:t>v</w:t>
      </w:r>
      <w:r w:rsidR="00DA2199">
        <w:rPr>
          <w:lang w:val="cs-CZ"/>
        </w:rPr>
        <w:t> </w:t>
      </w:r>
      <w:r w:rsidRPr="00096052">
        <w:rPr>
          <w:lang w:val="cs-CZ"/>
        </w:rPr>
        <w:t xml:space="preserve">prvním roce </w:t>
      </w:r>
      <w:r w:rsidR="00DA2199" w:rsidRPr="00096052">
        <w:rPr>
          <w:lang w:val="cs-CZ"/>
        </w:rPr>
        <w:t>a</w:t>
      </w:r>
      <w:r w:rsidR="00DA2199">
        <w:rPr>
          <w:lang w:val="cs-CZ"/>
        </w:rPr>
        <w:t> </w:t>
      </w:r>
      <w:r w:rsidRPr="00096052">
        <w:rPr>
          <w:lang w:val="cs-CZ"/>
        </w:rPr>
        <w:t xml:space="preserve">kumulativně </w:t>
      </w:r>
      <w:r w:rsidR="00DA2199" w:rsidRPr="00096052">
        <w:rPr>
          <w:lang w:val="cs-CZ"/>
        </w:rPr>
        <w:t>o</w:t>
      </w:r>
      <w:r w:rsidR="00DA2199">
        <w:rPr>
          <w:lang w:val="cs-CZ"/>
        </w:rPr>
        <w:t> </w:t>
      </w:r>
      <w:r w:rsidRPr="00096052">
        <w:rPr>
          <w:lang w:val="cs-CZ"/>
        </w:rPr>
        <w:t>8,</w:t>
      </w:r>
      <w:r w:rsidR="00DA2199" w:rsidRPr="00096052">
        <w:rPr>
          <w:lang w:val="cs-CZ"/>
        </w:rPr>
        <w:t>0</w:t>
      </w:r>
      <w:r w:rsidR="00DA2199">
        <w:rPr>
          <w:lang w:val="cs-CZ"/>
        </w:rPr>
        <w:t> </w:t>
      </w:r>
      <w:r w:rsidRPr="00096052">
        <w:rPr>
          <w:lang w:val="cs-CZ"/>
        </w:rPr>
        <w:t>procentní</w:t>
      </w:r>
      <w:r w:rsidR="006F1F8A">
        <w:rPr>
          <w:lang w:val="cs-CZ"/>
        </w:rPr>
        <w:t>ch</w:t>
      </w:r>
      <w:r w:rsidRPr="00096052">
        <w:rPr>
          <w:lang w:val="cs-CZ"/>
        </w:rPr>
        <w:t xml:space="preserve"> bod</w:t>
      </w:r>
      <w:r w:rsidR="006F1F8A">
        <w:rPr>
          <w:lang w:val="cs-CZ"/>
        </w:rPr>
        <w:t>ů</w:t>
      </w:r>
      <w:r w:rsidRPr="00096052">
        <w:rPr>
          <w:lang w:val="cs-CZ"/>
        </w:rPr>
        <w:t xml:space="preserve"> po pěti letech. Dopad je silnější, pokud jde restrukturalizace ruku </w:t>
      </w:r>
      <w:r w:rsidR="00DA2199" w:rsidRPr="00096052">
        <w:rPr>
          <w:lang w:val="cs-CZ"/>
        </w:rPr>
        <w:t>v</w:t>
      </w:r>
      <w:r w:rsidR="00DA2199">
        <w:rPr>
          <w:lang w:val="cs-CZ"/>
        </w:rPr>
        <w:t> </w:t>
      </w:r>
      <w:r w:rsidRPr="00096052">
        <w:rPr>
          <w:lang w:val="cs-CZ"/>
        </w:rPr>
        <w:t xml:space="preserve">ruce </w:t>
      </w:r>
      <w:r w:rsidR="00DA2199" w:rsidRPr="00096052">
        <w:rPr>
          <w:lang w:val="cs-CZ"/>
        </w:rPr>
        <w:t>s</w:t>
      </w:r>
      <w:r w:rsidR="00DA2199">
        <w:rPr>
          <w:lang w:val="cs-CZ"/>
        </w:rPr>
        <w:t> </w:t>
      </w:r>
      <w:r w:rsidRPr="00096052">
        <w:rPr>
          <w:lang w:val="cs-CZ"/>
        </w:rPr>
        <w:t xml:space="preserve">fiskální konsolidací (zejména střednědobou) </w:t>
      </w:r>
      <w:r w:rsidR="00DA2199" w:rsidRPr="00096052">
        <w:rPr>
          <w:lang w:val="cs-CZ"/>
        </w:rPr>
        <w:t>a</w:t>
      </w:r>
      <w:r w:rsidR="00DA2199">
        <w:rPr>
          <w:lang w:val="cs-CZ"/>
        </w:rPr>
        <w:t> </w:t>
      </w:r>
      <w:r w:rsidR="00DA2199" w:rsidRPr="00096052">
        <w:rPr>
          <w:lang w:val="cs-CZ"/>
        </w:rPr>
        <w:t>s</w:t>
      </w:r>
      <w:r w:rsidR="00DA2199">
        <w:rPr>
          <w:lang w:val="cs-CZ"/>
        </w:rPr>
        <w:t> </w:t>
      </w:r>
      <w:r w:rsidRPr="00096052">
        <w:rPr>
          <w:lang w:val="cs-CZ"/>
        </w:rPr>
        <w:t>podporou ekonomického růstu. Za třetí, jak hospodářský růst, tak inflace hrají důležitou roli při snižování míry zadlužení.</w:t>
      </w:r>
    </w:p>
    <w:p w14:paraId="2CC7F631" w14:textId="2B76A263" w:rsidR="00245CC7" w:rsidRPr="00096052" w:rsidRDefault="00245CC7" w:rsidP="00230367">
      <w:pPr>
        <w:rPr>
          <w:lang w:val="cs-CZ"/>
        </w:rPr>
      </w:pPr>
      <w:r w:rsidRPr="00096052">
        <w:rPr>
          <w:lang w:val="cs-CZ"/>
        </w:rPr>
        <w:t>Z hlediska České republiky je důležité zmínit text Mirdaly</w:t>
      </w:r>
      <w:r w:rsidRPr="0045534A">
        <w:rPr>
          <w:rStyle w:val="StylZnakapoznpodarouLatinkaArial"/>
        </w:rPr>
        <w:footnoteReference w:id="51"/>
      </w:r>
      <w:r w:rsidRPr="00096052">
        <w:rPr>
          <w:lang w:val="cs-CZ"/>
        </w:rPr>
        <w:t xml:space="preserve">, který se ve svém příspěvku zabýval srovnáním příjmově </w:t>
      </w:r>
      <w:r w:rsidR="00DA2199" w:rsidRPr="00096052">
        <w:rPr>
          <w:lang w:val="cs-CZ"/>
        </w:rPr>
        <w:t>a</w:t>
      </w:r>
      <w:r w:rsidR="00DA2199">
        <w:rPr>
          <w:lang w:val="cs-CZ"/>
        </w:rPr>
        <w:t> </w:t>
      </w:r>
      <w:r w:rsidRPr="00096052">
        <w:rPr>
          <w:lang w:val="cs-CZ"/>
        </w:rPr>
        <w:t>výdajově orientovaných konsolidací ve vybraných postsocialistických, tranzitivních ekonomikách Evropy. Během sledovaných dvou dekád v těchto zemích došlo k </w:t>
      </w:r>
      <w:r w:rsidR="00DA2199" w:rsidRPr="00096052">
        <w:rPr>
          <w:lang w:val="cs-CZ"/>
        </w:rPr>
        <w:t>7</w:t>
      </w:r>
      <w:r w:rsidR="00DA2199">
        <w:rPr>
          <w:lang w:val="cs-CZ"/>
        </w:rPr>
        <w:t> </w:t>
      </w:r>
      <w:r w:rsidRPr="00096052">
        <w:rPr>
          <w:lang w:val="cs-CZ"/>
        </w:rPr>
        <w:t xml:space="preserve">postupně prováděným konsolidacím </w:t>
      </w:r>
      <w:r w:rsidR="00DA2199" w:rsidRPr="00096052">
        <w:rPr>
          <w:lang w:val="cs-CZ"/>
        </w:rPr>
        <w:t>a</w:t>
      </w:r>
      <w:r w:rsidR="00DA2199">
        <w:rPr>
          <w:lang w:val="cs-CZ"/>
        </w:rPr>
        <w:t> </w:t>
      </w:r>
      <w:r w:rsidRPr="00096052">
        <w:rPr>
          <w:lang w:val="cs-CZ"/>
        </w:rPr>
        <w:t xml:space="preserve">k 30 ročním („šokovým“) konsolidacím. Z tohoto počtu pouze </w:t>
      </w:r>
      <w:r w:rsidR="00DA2199" w:rsidRPr="00096052">
        <w:rPr>
          <w:lang w:val="cs-CZ"/>
        </w:rPr>
        <w:t>8</w:t>
      </w:r>
      <w:r w:rsidR="00DA2199">
        <w:rPr>
          <w:lang w:val="cs-CZ"/>
        </w:rPr>
        <w:t> </w:t>
      </w:r>
      <w:r w:rsidRPr="00096052">
        <w:rPr>
          <w:lang w:val="cs-CZ"/>
        </w:rPr>
        <w:t xml:space="preserve">„šokových“ konsolidací bylo z hlediska svých cílů úspěšných </w:t>
      </w:r>
      <w:r w:rsidR="00DA2199" w:rsidRPr="00096052">
        <w:rPr>
          <w:lang w:val="cs-CZ"/>
        </w:rPr>
        <w:t>a</w:t>
      </w:r>
      <w:r w:rsidR="00DA2199">
        <w:rPr>
          <w:lang w:val="cs-CZ"/>
        </w:rPr>
        <w:t> </w:t>
      </w:r>
      <w:r w:rsidRPr="00096052">
        <w:rPr>
          <w:lang w:val="cs-CZ"/>
        </w:rPr>
        <w:t xml:space="preserve">zdařila se </w:t>
      </w:r>
      <w:r w:rsidR="00526BF1">
        <w:rPr>
          <w:lang w:val="cs-CZ"/>
        </w:rPr>
        <w:t>jen</w:t>
      </w:r>
      <w:r w:rsidRPr="00096052">
        <w:rPr>
          <w:lang w:val="cs-CZ"/>
        </w:rPr>
        <w:t xml:space="preserve"> </w:t>
      </w:r>
      <w:r w:rsidR="00DA2199" w:rsidRPr="00096052">
        <w:rPr>
          <w:lang w:val="cs-CZ"/>
        </w:rPr>
        <w:t>1</w:t>
      </w:r>
      <w:r w:rsidR="00DA2199">
        <w:rPr>
          <w:lang w:val="cs-CZ"/>
        </w:rPr>
        <w:t> </w:t>
      </w:r>
      <w:r w:rsidRPr="00096052">
        <w:rPr>
          <w:lang w:val="cs-CZ"/>
        </w:rPr>
        <w:t xml:space="preserve">konsolidace graduálního charakteru. Zajímavé je, že žádná ze šesti graduálních konsolidací provedených </w:t>
      </w:r>
      <w:r w:rsidR="00DA2199" w:rsidRPr="00096052">
        <w:rPr>
          <w:lang w:val="cs-CZ"/>
        </w:rPr>
        <w:t>v</w:t>
      </w:r>
      <w:r w:rsidR="00DA2199">
        <w:rPr>
          <w:lang w:val="cs-CZ"/>
        </w:rPr>
        <w:t> </w:t>
      </w:r>
      <w:r w:rsidRPr="00096052">
        <w:rPr>
          <w:lang w:val="cs-CZ"/>
        </w:rPr>
        <w:t xml:space="preserve">předkrizovém období přitom nebyla spojena se zhoršujícími se dopady na celkovou makroekonomickou výkonnost </w:t>
      </w:r>
      <w:r w:rsidR="00DA2199" w:rsidRPr="00096052">
        <w:rPr>
          <w:lang w:val="cs-CZ"/>
        </w:rPr>
        <w:t>a</w:t>
      </w:r>
      <w:r w:rsidR="00DA2199">
        <w:rPr>
          <w:lang w:val="cs-CZ"/>
        </w:rPr>
        <w:t> </w:t>
      </w:r>
      <w:r w:rsidRPr="00096052">
        <w:rPr>
          <w:lang w:val="cs-CZ"/>
        </w:rPr>
        <w:t xml:space="preserve">odhalovala promarněnou šanci na potenciálně efektivní fiskální konsolidaci. Mirdala se dále ve svém příspěvku zabýval analýzou dopadů fiskálních šoků na HDP prostřednictvím VAR modelu. Po snížení vládních výdajů </w:t>
      </w:r>
      <w:r w:rsidR="00DA2199" w:rsidRPr="00096052">
        <w:rPr>
          <w:lang w:val="cs-CZ"/>
        </w:rPr>
        <w:t>a</w:t>
      </w:r>
      <w:r w:rsidR="00DA2199">
        <w:rPr>
          <w:lang w:val="cs-CZ"/>
        </w:rPr>
        <w:t> </w:t>
      </w:r>
      <w:r w:rsidRPr="00096052">
        <w:rPr>
          <w:lang w:val="cs-CZ"/>
        </w:rPr>
        <w:t xml:space="preserve">zvýšení daňových příjmů následoval pokles reálného výstupu. Ukázalo se však, že dopady škrtů na straně výdajů jsou ve stejném fiskálním roce významnější. </w:t>
      </w:r>
      <w:r w:rsidR="00DA2199" w:rsidRPr="00096052">
        <w:rPr>
          <w:lang w:val="cs-CZ"/>
        </w:rPr>
        <w:t>V</w:t>
      </w:r>
      <w:r w:rsidR="00DA2199">
        <w:rPr>
          <w:lang w:val="cs-CZ"/>
        </w:rPr>
        <w:t> </w:t>
      </w:r>
      <w:r w:rsidRPr="00096052">
        <w:rPr>
          <w:lang w:val="cs-CZ"/>
        </w:rPr>
        <w:t xml:space="preserve">důsledku toho se zdá, že přístup založený na výdajích je vhodnější (účinnější) pro epizody postupné fiskální konsolidace za předpokladu, že distorzní vlivy na reálný výstup mají tendenci se během roku po fiskální úpravě snižovat. Na druhou stranu, účinky změny </w:t>
      </w:r>
      <w:r w:rsidR="00DA2199" w:rsidRPr="00096052">
        <w:rPr>
          <w:lang w:val="cs-CZ"/>
        </w:rPr>
        <w:t>v</w:t>
      </w:r>
      <w:r w:rsidR="00DA2199">
        <w:rPr>
          <w:lang w:val="cs-CZ"/>
        </w:rPr>
        <w:t> </w:t>
      </w:r>
      <w:r w:rsidRPr="00096052">
        <w:rPr>
          <w:lang w:val="cs-CZ"/>
        </w:rPr>
        <w:t xml:space="preserve">příjmech </w:t>
      </w:r>
      <w:r w:rsidR="00DA2199" w:rsidRPr="00096052">
        <w:rPr>
          <w:lang w:val="cs-CZ"/>
        </w:rPr>
        <w:t>z</w:t>
      </w:r>
      <w:r w:rsidR="00DA2199">
        <w:rPr>
          <w:lang w:val="cs-CZ"/>
        </w:rPr>
        <w:t> </w:t>
      </w:r>
      <w:r w:rsidRPr="00096052">
        <w:rPr>
          <w:lang w:val="cs-CZ"/>
        </w:rPr>
        <w:t xml:space="preserve">přímých </w:t>
      </w:r>
      <w:r w:rsidR="00DA2199" w:rsidRPr="00096052">
        <w:rPr>
          <w:lang w:val="cs-CZ"/>
        </w:rPr>
        <w:t>i</w:t>
      </w:r>
      <w:r w:rsidR="00DA2199">
        <w:rPr>
          <w:lang w:val="cs-CZ"/>
        </w:rPr>
        <w:t> </w:t>
      </w:r>
      <w:r w:rsidRPr="00096052">
        <w:rPr>
          <w:lang w:val="cs-CZ"/>
        </w:rPr>
        <w:t xml:space="preserve">nepřímých daní byly </w:t>
      </w:r>
      <w:r w:rsidR="00DA2199" w:rsidRPr="00096052">
        <w:rPr>
          <w:lang w:val="cs-CZ"/>
        </w:rPr>
        <w:t>z</w:t>
      </w:r>
      <w:r w:rsidR="00DA2199">
        <w:rPr>
          <w:lang w:val="cs-CZ"/>
        </w:rPr>
        <w:t> </w:t>
      </w:r>
      <w:r w:rsidRPr="00096052">
        <w:rPr>
          <w:lang w:val="cs-CZ"/>
        </w:rPr>
        <w:t>velké části rozděleny do několika let (</w:t>
      </w:r>
      <w:r w:rsidR="00DA2199" w:rsidRPr="00096052">
        <w:rPr>
          <w:lang w:val="cs-CZ"/>
        </w:rPr>
        <w:t>s</w:t>
      </w:r>
      <w:r w:rsidR="00DA2199">
        <w:rPr>
          <w:lang w:val="cs-CZ"/>
        </w:rPr>
        <w:t> </w:t>
      </w:r>
      <w:r w:rsidRPr="00096052">
        <w:rPr>
          <w:lang w:val="cs-CZ"/>
        </w:rPr>
        <w:t xml:space="preserve">mírně sníženým zhoršujícím účinkem během prvního roku ve většině zemí), </w:t>
      </w:r>
      <w:r w:rsidR="00DA2199" w:rsidRPr="00096052">
        <w:rPr>
          <w:lang w:val="cs-CZ"/>
        </w:rPr>
        <w:t>a</w:t>
      </w:r>
      <w:r w:rsidR="00DA2199">
        <w:rPr>
          <w:lang w:val="cs-CZ"/>
        </w:rPr>
        <w:t> </w:t>
      </w:r>
      <w:r w:rsidRPr="00096052">
        <w:rPr>
          <w:lang w:val="cs-CZ"/>
        </w:rPr>
        <w:t>proto se fiskální úpravy založené na příjmech zdají být vhodnější pro jednoroční fiskální konsolidace. Autor zároveň upozornil, že velká recese akcelerovala odvrácenou stránku dopadů obou typů konsolidace na výstup ekonomiky, resp. se značně snížila možnost jejího úspěšného provedení bez účinků na reálný výstup zkoumaných ekonomik.</w:t>
      </w:r>
    </w:p>
    <w:p w14:paraId="0E3C6E73" w14:textId="351D9700" w:rsidR="00245CC7" w:rsidRPr="00526BF1" w:rsidRDefault="00DA2199" w:rsidP="00230367">
      <w:pPr>
        <w:rPr>
          <w:lang w:val="cs-CZ"/>
        </w:rPr>
      </w:pPr>
      <w:r w:rsidRPr="00096052">
        <w:rPr>
          <w:lang w:val="cs-CZ"/>
        </w:rPr>
        <w:t>V</w:t>
      </w:r>
      <w:r>
        <w:rPr>
          <w:lang w:val="cs-CZ"/>
        </w:rPr>
        <w:t> </w:t>
      </w:r>
      <w:r w:rsidR="00245CC7" w:rsidRPr="00096052">
        <w:rPr>
          <w:lang w:val="cs-CZ"/>
        </w:rPr>
        <w:t xml:space="preserve">souvislosti </w:t>
      </w:r>
      <w:r w:rsidRPr="00096052">
        <w:rPr>
          <w:lang w:val="cs-CZ"/>
        </w:rPr>
        <w:t>s</w:t>
      </w:r>
      <w:r>
        <w:rPr>
          <w:lang w:val="cs-CZ"/>
        </w:rPr>
        <w:t> </w:t>
      </w:r>
      <w:r w:rsidR="00245CC7" w:rsidRPr="00096052">
        <w:rPr>
          <w:lang w:val="cs-CZ"/>
        </w:rPr>
        <w:t xml:space="preserve">úsilím tehdejší vlády se fiskální konsolidaci </w:t>
      </w:r>
      <w:r w:rsidRPr="00096052">
        <w:rPr>
          <w:lang w:val="cs-CZ"/>
        </w:rPr>
        <w:t>v</w:t>
      </w:r>
      <w:r>
        <w:rPr>
          <w:lang w:val="cs-CZ"/>
        </w:rPr>
        <w:t> </w:t>
      </w:r>
      <w:r w:rsidR="00245CC7" w:rsidRPr="00096052">
        <w:rPr>
          <w:lang w:val="cs-CZ"/>
        </w:rPr>
        <w:t xml:space="preserve">prostředí České republiky věnovala případová studie Kluyeva </w:t>
      </w:r>
      <w:r w:rsidRPr="00096052">
        <w:rPr>
          <w:lang w:val="cs-CZ"/>
        </w:rPr>
        <w:t>a</w:t>
      </w:r>
      <w:r>
        <w:rPr>
          <w:lang w:val="cs-CZ"/>
        </w:rPr>
        <w:t> </w:t>
      </w:r>
      <w:r w:rsidR="00245CC7" w:rsidRPr="00096052">
        <w:rPr>
          <w:lang w:val="cs-CZ"/>
        </w:rPr>
        <w:t>Snuddena.</w:t>
      </w:r>
      <w:r w:rsidR="00245CC7" w:rsidRPr="0045534A">
        <w:rPr>
          <w:rStyle w:val="StylZnakapoznpodarouLatinkaArial"/>
        </w:rPr>
        <w:footnoteReference w:id="52"/>
      </w:r>
      <w:r w:rsidR="00245CC7" w:rsidRPr="00096052">
        <w:rPr>
          <w:lang w:val="cs-CZ"/>
        </w:rPr>
        <w:t xml:space="preserve"> Ti </w:t>
      </w:r>
      <w:r w:rsidRPr="00096052">
        <w:rPr>
          <w:lang w:val="cs-CZ"/>
        </w:rPr>
        <w:t>v</w:t>
      </w:r>
      <w:r>
        <w:rPr>
          <w:lang w:val="cs-CZ"/>
        </w:rPr>
        <w:t> </w:t>
      </w:r>
      <w:r w:rsidR="00245CC7" w:rsidRPr="00096052">
        <w:rPr>
          <w:lang w:val="cs-CZ"/>
        </w:rPr>
        <w:t>ní zkoumali potenciálně vhodné nástroje pro konsolidac</w:t>
      </w:r>
      <w:r w:rsidR="000748DB" w:rsidRPr="00096052">
        <w:rPr>
          <w:lang w:val="cs-CZ"/>
        </w:rPr>
        <w:t>i</w:t>
      </w:r>
      <w:r w:rsidR="00245CC7" w:rsidRPr="00096052">
        <w:rPr>
          <w:lang w:val="cs-CZ"/>
        </w:rPr>
        <w:t xml:space="preserve"> veřejných financí. Metodologicky se opřeli </w:t>
      </w:r>
      <w:r w:rsidRPr="00096052">
        <w:rPr>
          <w:lang w:val="cs-CZ"/>
        </w:rPr>
        <w:t>o</w:t>
      </w:r>
      <w:r>
        <w:rPr>
          <w:lang w:val="cs-CZ"/>
        </w:rPr>
        <w:t> </w:t>
      </w:r>
      <w:r w:rsidR="00245CC7" w:rsidRPr="00096052">
        <w:rPr>
          <w:lang w:val="cs-CZ"/>
        </w:rPr>
        <w:t xml:space="preserve">rozšíření modelu DSGE vyvinuté Mezinárodním měnovým fondem. Pro ČR jako malou otevřenou ekonomiku </w:t>
      </w:r>
      <w:r w:rsidRPr="00096052">
        <w:rPr>
          <w:lang w:val="cs-CZ"/>
        </w:rPr>
        <w:t>s</w:t>
      </w:r>
      <w:r>
        <w:rPr>
          <w:lang w:val="cs-CZ"/>
        </w:rPr>
        <w:t> </w:t>
      </w:r>
      <w:r w:rsidR="00245CC7" w:rsidRPr="00096052">
        <w:rPr>
          <w:lang w:val="cs-CZ"/>
        </w:rPr>
        <w:t xml:space="preserve">relativně </w:t>
      </w:r>
      <w:r w:rsidR="00245CC7" w:rsidRPr="00096052">
        <w:rPr>
          <w:lang w:val="cs-CZ"/>
        </w:rPr>
        <w:lastRenderedPageBreak/>
        <w:t xml:space="preserve">nízkými multiplikátory (dosahujícími úrovně 0–0,5) odhadli, že škrty </w:t>
      </w:r>
      <w:r w:rsidRPr="00096052">
        <w:rPr>
          <w:lang w:val="cs-CZ"/>
        </w:rPr>
        <w:t>v</w:t>
      </w:r>
      <w:r>
        <w:rPr>
          <w:lang w:val="cs-CZ"/>
        </w:rPr>
        <w:t> </w:t>
      </w:r>
      <w:r w:rsidR="00245CC7" w:rsidRPr="00096052">
        <w:rPr>
          <w:lang w:val="cs-CZ"/>
        </w:rPr>
        <w:t xml:space="preserve">transferech mají minimální krátkodobý negativní dopad na ekonomický výkon </w:t>
      </w:r>
      <w:r w:rsidRPr="00096052">
        <w:rPr>
          <w:lang w:val="cs-CZ"/>
        </w:rPr>
        <w:t>a</w:t>
      </w:r>
      <w:r>
        <w:rPr>
          <w:lang w:val="cs-CZ"/>
        </w:rPr>
        <w:t> </w:t>
      </w:r>
      <w:r w:rsidR="00245CC7" w:rsidRPr="00096052">
        <w:rPr>
          <w:lang w:val="cs-CZ"/>
        </w:rPr>
        <w:t xml:space="preserve">naopak škrty ve vládních investicích jej ovlivňují nejvíce. </w:t>
      </w:r>
      <w:r w:rsidRPr="00096052">
        <w:rPr>
          <w:lang w:val="cs-CZ"/>
        </w:rPr>
        <w:t>Z</w:t>
      </w:r>
      <w:r>
        <w:rPr>
          <w:lang w:val="cs-CZ"/>
        </w:rPr>
        <w:t> </w:t>
      </w:r>
      <w:r w:rsidR="00245CC7" w:rsidRPr="00096052">
        <w:rPr>
          <w:lang w:val="cs-CZ"/>
        </w:rPr>
        <w:t xml:space="preserve">hlediska daní mají pro trvalou konsolidaci vyšší spotřební daně nejnižší negativní dopad </w:t>
      </w:r>
      <w:r w:rsidRPr="00096052">
        <w:rPr>
          <w:lang w:val="cs-CZ"/>
        </w:rPr>
        <w:t>v</w:t>
      </w:r>
      <w:r>
        <w:rPr>
          <w:lang w:val="cs-CZ"/>
        </w:rPr>
        <w:t> </w:t>
      </w:r>
      <w:r w:rsidR="00245CC7" w:rsidRPr="00096052">
        <w:rPr>
          <w:lang w:val="cs-CZ"/>
        </w:rPr>
        <w:t xml:space="preserve">prvních několika letech </w:t>
      </w:r>
      <w:r w:rsidRPr="00096052">
        <w:rPr>
          <w:lang w:val="cs-CZ"/>
        </w:rPr>
        <w:t>a</w:t>
      </w:r>
      <w:r>
        <w:rPr>
          <w:lang w:val="cs-CZ"/>
        </w:rPr>
        <w:t> </w:t>
      </w:r>
      <w:r w:rsidR="00245CC7" w:rsidRPr="00096052">
        <w:rPr>
          <w:lang w:val="cs-CZ"/>
        </w:rPr>
        <w:t xml:space="preserve">naopak zdanění práce nejvyšší. </w:t>
      </w:r>
      <w:r w:rsidRPr="00096052">
        <w:rPr>
          <w:lang w:val="cs-CZ"/>
        </w:rPr>
        <w:t>V</w:t>
      </w:r>
      <w:r>
        <w:rPr>
          <w:lang w:val="cs-CZ"/>
        </w:rPr>
        <w:t> </w:t>
      </w:r>
      <w:r w:rsidR="00245CC7" w:rsidRPr="00096052">
        <w:rPr>
          <w:lang w:val="cs-CZ"/>
        </w:rPr>
        <w:t xml:space="preserve">případě alternativní verze se zvyšováním daňové zátěže pracovní síly autoři varovali, že by </w:t>
      </w:r>
      <w:r w:rsidR="00245CC7" w:rsidRPr="00526BF1">
        <w:rPr>
          <w:lang w:val="cs-CZ"/>
        </w:rPr>
        <w:t xml:space="preserve">mohlo dojít </w:t>
      </w:r>
      <w:r w:rsidRPr="00526BF1">
        <w:rPr>
          <w:lang w:val="cs-CZ"/>
        </w:rPr>
        <w:t>k</w:t>
      </w:r>
      <w:r>
        <w:rPr>
          <w:lang w:val="cs-CZ"/>
        </w:rPr>
        <w:t> </w:t>
      </w:r>
      <w:r w:rsidR="00245CC7" w:rsidRPr="00526BF1">
        <w:rPr>
          <w:lang w:val="cs-CZ"/>
        </w:rPr>
        <w:t xml:space="preserve">několikaletému snížení produkce, </w:t>
      </w:r>
      <w:r w:rsidRPr="00526BF1">
        <w:rPr>
          <w:lang w:val="cs-CZ"/>
        </w:rPr>
        <w:t>a</w:t>
      </w:r>
      <w:r>
        <w:rPr>
          <w:lang w:val="cs-CZ"/>
        </w:rPr>
        <w:t> </w:t>
      </w:r>
      <w:r w:rsidR="00245CC7" w:rsidRPr="00526BF1">
        <w:rPr>
          <w:lang w:val="cs-CZ"/>
        </w:rPr>
        <w:t xml:space="preserve">to </w:t>
      </w:r>
      <w:r w:rsidRPr="00526BF1">
        <w:rPr>
          <w:lang w:val="cs-CZ"/>
        </w:rPr>
        <w:t>o</w:t>
      </w:r>
      <w:r>
        <w:rPr>
          <w:lang w:val="cs-CZ"/>
        </w:rPr>
        <w:t> </w:t>
      </w:r>
      <w:r w:rsidR="00245CC7" w:rsidRPr="00526BF1">
        <w:rPr>
          <w:lang w:val="cs-CZ"/>
        </w:rPr>
        <w:t xml:space="preserve">více než </w:t>
      </w:r>
      <w:r w:rsidRPr="00526BF1">
        <w:rPr>
          <w:lang w:val="cs-CZ"/>
        </w:rPr>
        <w:t>3</w:t>
      </w:r>
      <w:r>
        <w:rPr>
          <w:lang w:val="cs-CZ"/>
        </w:rPr>
        <w:t> </w:t>
      </w:r>
      <w:r w:rsidR="00245CC7" w:rsidRPr="00526BF1">
        <w:rPr>
          <w:lang w:val="cs-CZ"/>
        </w:rPr>
        <w:t xml:space="preserve">%.  </w:t>
      </w:r>
    </w:p>
    <w:p w14:paraId="3F65F18B" w14:textId="542BC9CA" w:rsidR="00245CC7" w:rsidRPr="00526BF1" w:rsidRDefault="00245CC7" w:rsidP="00230367">
      <w:pPr>
        <w:rPr>
          <w:lang w:val="cs-CZ"/>
        </w:rPr>
      </w:pPr>
      <w:r w:rsidRPr="00526BF1">
        <w:rPr>
          <w:lang w:val="cs-CZ"/>
        </w:rPr>
        <w:t xml:space="preserve">Pro úspěšnost konsolidace se může také jevit jako velmi důležitý sociální smír ve společnosti. Srovnání dopadů příjmově </w:t>
      </w:r>
      <w:r w:rsidR="00DA2199" w:rsidRPr="00526BF1">
        <w:rPr>
          <w:lang w:val="cs-CZ"/>
        </w:rPr>
        <w:t>a</w:t>
      </w:r>
      <w:r w:rsidR="00DA2199">
        <w:rPr>
          <w:lang w:val="cs-CZ"/>
        </w:rPr>
        <w:t> </w:t>
      </w:r>
      <w:r w:rsidRPr="00526BF1">
        <w:rPr>
          <w:lang w:val="cs-CZ"/>
        </w:rPr>
        <w:t xml:space="preserve">výdajově založené fiskální konsolidace na příjmovou nerovnost, ale </w:t>
      </w:r>
      <w:r w:rsidR="00DA2199" w:rsidRPr="00526BF1">
        <w:rPr>
          <w:lang w:val="cs-CZ"/>
        </w:rPr>
        <w:t>i</w:t>
      </w:r>
      <w:r w:rsidR="00DA2199">
        <w:rPr>
          <w:lang w:val="cs-CZ"/>
        </w:rPr>
        <w:t> </w:t>
      </w:r>
      <w:r w:rsidRPr="00526BF1">
        <w:rPr>
          <w:lang w:val="cs-CZ"/>
        </w:rPr>
        <w:t xml:space="preserve">na další veličiny přinesla práce Balla, Furceriho, Leigha </w:t>
      </w:r>
      <w:r w:rsidR="00DA2199" w:rsidRPr="00526BF1">
        <w:rPr>
          <w:lang w:val="cs-CZ"/>
        </w:rPr>
        <w:t>a</w:t>
      </w:r>
      <w:r w:rsidR="00DA2199">
        <w:rPr>
          <w:lang w:val="cs-CZ"/>
        </w:rPr>
        <w:t> </w:t>
      </w:r>
      <w:r w:rsidRPr="00526BF1">
        <w:rPr>
          <w:lang w:val="cs-CZ"/>
        </w:rPr>
        <w:t>Lounganiho.</w:t>
      </w:r>
      <w:r w:rsidRPr="00526BF1">
        <w:rPr>
          <w:vertAlign w:val="superscript"/>
          <w:lang w:val="cs-CZ"/>
        </w:rPr>
        <w:footnoteReference w:id="53"/>
      </w:r>
      <w:r w:rsidRPr="00526BF1">
        <w:rPr>
          <w:lang w:val="cs-CZ"/>
        </w:rPr>
        <w:t xml:space="preserve"> Jejich článek zkoumal distribuční efekty fiskální konsolidace. Pomocí analýzy dat </w:t>
      </w:r>
      <w:r w:rsidR="00DA2199" w:rsidRPr="00526BF1">
        <w:rPr>
          <w:lang w:val="cs-CZ"/>
        </w:rPr>
        <w:t>o</w:t>
      </w:r>
      <w:r w:rsidR="00DA2199">
        <w:rPr>
          <w:lang w:val="cs-CZ"/>
        </w:rPr>
        <w:t> </w:t>
      </w:r>
      <w:r w:rsidRPr="00526BF1">
        <w:rPr>
          <w:lang w:val="cs-CZ"/>
        </w:rPr>
        <w:t>fiskálních konsolidací</w:t>
      </w:r>
      <w:r w:rsidR="000748DB" w:rsidRPr="00526BF1">
        <w:rPr>
          <w:lang w:val="cs-CZ"/>
        </w:rPr>
        <w:t>ch</w:t>
      </w:r>
      <w:r w:rsidRPr="00526BF1">
        <w:rPr>
          <w:lang w:val="cs-CZ"/>
        </w:rPr>
        <w:t xml:space="preserve"> za 17 členských států OECD </w:t>
      </w:r>
      <w:r w:rsidR="00DA2199" w:rsidRPr="00526BF1">
        <w:rPr>
          <w:lang w:val="cs-CZ"/>
        </w:rPr>
        <w:t>v</w:t>
      </w:r>
      <w:r w:rsidR="00DA2199">
        <w:rPr>
          <w:lang w:val="cs-CZ"/>
        </w:rPr>
        <w:t> </w:t>
      </w:r>
      <w:r w:rsidRPr="00526BF1">
        <w:rPr>
          <w:lang w:val="cs-CZ"/>
        </w:rPr>
        <w:t xml:space="preserve">období 1978–2009 autoři ukázali, že fiskální konsolidace obvykle vedla </w:t>
      </w:r>
      <w:r w:rsidR="00DA2199" w:rsidRPr="00526BF1">
        <w:rPr>
          <w:lang w:val="cs-CZ"/>
        </w:rPr>
        <w:t>k</w:t>
      </w:r>
      <w:r w:rsidR="00DA2199">
        <w:rPr>
          <w:lang w:val="cs-CZ"/>
        </w:rPr>
        <w:t> </w:t>
      </w:r>
      <w:r w:rsidRPr="00526BF1">
        <w:rPr>
          <w:lang w:val="cs-CZ"/>
        </w:rPr>
        <w:t xml:space="preserve">výraznému </w:t>
      </w:r>
      <w:r w:rsidR="00DA2199" w:rsidRPr="00526BF1">
        <w:rPr>
          <w:lang w:val="cs-CZ"/>
        </w:rPr>
        <w:t>a</w:t>
      </w:r>
      <w:r w:rsidR="00DA2199">
        <w:rPr>
          <w:lang w:val="cs-CZ"/>
        </w:rPr>
        <w:t> </w:t>
      </w:r>
      <w:r w:rsidRPr="00526BF1">
        <w:rPr>
          <w:lang w:val="cs-CZ"/>
        </w:rPr>
        <w:t xml:space="preserve">trvalému nárůstu nerovnosti, poklesu mzdových příjmů </w:t>
      </w:r>
      <w:r w:rsidR="00DA2199" w:rsidRPr="00526BF1">
        <w:rPr>
          <w:lang w:val="cs-CZ"/>
        </w:rPr>
        <w:t>a</w:t>
      </w:r>
      <w:r w:rsidR="00DA2199">
        <w:rPr>
          <w:lang w:val="cs-CZ"/>
        </w:rPr>
        <w:t> </w:t>
      </w:r>
      <w:r w:rsidRPr="00526BF1">
        <w:rPr>
          <w:lang w:val="cs-CZ"/>
        </w:rPr>
        <w:t xml:space="preserve">zvýšení dlouhodobé nezaměstnanosti. Mimo to studie také ukázala, že konsolidace založené na výdajích měly </w:t>
      </w:r>
      <w:r w:rsidR="00DA2199" w:rsidRPr="00526BF1">
        <w:rPr>
          <w:lang w:val="cs-CZ"/>
        </w:rPr>
        <w:t>v</w:t>
      </w:r>
      <w:r w:rsidR="00DA2199">
        <w:rPr>
          <w:lang w:val="cs-CZ"/>
        </w:rPr>
        <w:t> </w:t>
      </w:r>
      <w:r w:rsidRPr="00526BF1">
        <w:rPr>
          <w:lang w:val="cs-CZ"/>
        </w:rPr>
        <w:t>průměru větší distribuční účinky než konsolidace založené na úpravě daňové stránky.</w:t>
      </w:r>
    </w:p>
    <w:p w14:paraId="44F02B13" w14:textId="48842506" w:rsidR="00245CC7" w:rsidRPr="00096052" w:rsidRDefault="00245CC7" w:rsidP="00230367">
      <w:pPr>
        <w:rPr>
          <w:lang w:val="cs-CZ"/>
        </w:rPr>
      </w:pPr>
      <w:r w:rsidRPr="00096052">
        <w:rPr>
          <w:lang w:val="cs-CZ"/>
        </w:rPr>
        <w:t>Také studie týmu výzkumníků</w:t>
      </w:r>
      <w:r w:rsidRPr="00096052">
        <w:rPr>
          <w:vertAlign w:val="superscript"/>
          <w:lang w:val="cs-CZ"/>
        </w:rPr>
        <w:footnoteReference w:id="54"/>
      </w:r>
      <w:r w:rsidRPr="00096052">
        <w:rPr>
          <w:lang w:val="cs-CZ"/>
        </w:rPr>
        <w:t xml:space="preserve"> z Mezinárodní organizace práce se zabývala dopady příjmově založené fiskální konsolidace na příjmovou rovnost, dále byl též analyzován dopad na reálnou produkci </w:t>
      </w:r>
      <w:r w:rsidR="00DA2199" w:rsidRPr="00096052">
        <w:rPr>
          <w:lang w:val="cs-CZ"/>
        </w:rPr>
        <w:t>a</w:t>
      </w:r>
      <w:r w:rsidR="00DA2199">
        <w:rPr>
          <w:lang w:val="cs-CZ"/>
        </w:rPr>
        <w:t> </w:t>
      </w:r>
      <w:r w:rsidRPr="00096052">
        <w:rPr>
          <w:lang w:val="cs-CZ"/>
        </w:rPr>
        <w:t xml:space="preserve">na proměnné trhu práce. Autorský kolektiv k zodpovězení svých výzkumných otázek použil panelovou vektorovou autoregresi, do níž čerpal data </w:t>
      </w:r>
      <w:r w:rsidR="00DA2199" w:rsidRPr="00096052">
        <w:rPr>
          <w:lang w:val="cs-CZ"/>
        </w:rPr>
        <w:t>z</w:t>
      </w:r>
      <w:r w:rsidR="00DA2199">
        <w:rPr>
          <w:lang w:val="cs-CZ"/>
        </w:rPr>
        <w:t> </w:t>
      </w:r>
      <w:r w:rsidRPr="00096052">
        <w:rPr>
          <w:lang w:val="cs-CZ"/>
        </w:rPr>
        <w:t xml:space="preserve">16 států OECD pokrývající období let 1978–2012. Výsledky naznačily, že daňově založené konsolidace snižují tržní nerovnosti </w:t>
      </w:r>
      <w:r w:rsidR="00DA2199" w:rsidRPr="00096052">
        <w:rPr>
          <w:lang w:val="cs-CZ"/>
        </w:rPr>
        <w:t>i</w:t>
      </w:r>
      <w:r w:rsidR="00DA2199">
        <w:rPr>
          <w:lang w:val="cs-CZ"/>
        </w:rPr>
        <w:t> </w:t>
      </w:r>
      <w:r w:rsidRPr="00096052">
        <w:rPr>
          <w:lang w:val="cs-CZ"/>
        </w:rPr>
        <w:t xml:space="preserve">nerovnosti disponibilního příjmu, avšak nesou v sobě náklad </w:t>
      </w:r>
      <w:r w:rsidR="00DA2199" w:rsidRPr="00096052">
        <w:rPr>
          <w:lang w:val="cs-CZ"/>
        </w:rPr>
        <w:t>v</w:t>
      </w:r>
      <w:r w:rsidR="00DA2199">
        <w:rPr>
          <w:lang w:val="cs-CZ"/>
        </w:rPr>
        <w:t> </w:t>
      </w:r>
      <w:r w:rsidRPr="00096052">
        <w:rPr>
          <w:lang w:val="cs-CZ"/>
        </w:rPr>
        <w:t xml:space="preserve">podobě poklesu produkce </w:t>
      </w:r>
      <w:r w:rsidR="00DA2199" w:rsidRPr="00096052">
        <w:rPr>
          <w:lang w:val="cs-CZ"/>
        </w:rPr>
        <w:t>v</w:t>
      </w:r>
      <w:r w:rsidR="00DA2199">
        <w:rPr>
          <w:lang w:val="cs-CZ"/>
        </w:rPr>
        <w:t> </w:t>
      </w:r>
      <w:r w:rsidRPr="00096052">
        <w:rPr>
          <w:lang w:val="cs-CZ"/>
        </w:rPr>
        <w:t xml:space="preserve">krátkodobém až střednědobém horizontu. Tato rovnováha je poněkud vychýlena v případě zvyšování některých nepřímých daní, kupříkladu růst daně z přidané hodnoty může mít poněkud paradoxně vyšší vliv na snížení příjmové nerovnosti než v případě zvyšování daní přímých </w:t>
      </w:r>
      <w:r w:rsidR="00DA2199" w:rsidRPr="00096052">
        <w:rPr>
          <w:lang w:val="cs-CZ"/>
        </w:rPr>
        <w:t>a</w:t>
      </w:r>
      <w:r w:rsidR="00DA2199">
        <w:rPr>
          <w:lang w:val="cs-CZ"/>
        </w:rPr>
        <w:t> </w:t>
      </w:r>
      <w:r w:rsidRPr="00096052">
        <w:rPr>
          <w:lang w:val="cs-CZ"/>
        </w:rPr>
        <w:t>současně jsou negativní dopady růstu této daně na ekonomickou aktivitu ve střednědobém časovém horizontu limitované. Tento výsledek lze dle autorů vysvětlit tím, že</w:t>
      </w:r>
      <w:r w:rsidRPr="001741CC">
        <w:rPr>
          <w:lang w:val="cs-CZ"/>
        </w:rPr>
        <w:t xml:space="preserve"> </w:t>
      </w:r>
      <w:r w:rsidRPr="00096052">
        <w:rPr>
          <w:lang w:val="cs-CZ"/>
        </w:rPr>
        <w:t xml:space="preserve">zvýšení nepřímých daní způsobí zvýšení ceny spotřebního koše. To má signifikantní vliv na nízkopříjmové domácnosti </w:t>
      </w:r>
      <w:r w:rsidR="00DA2199" w:rsidRPr="00096052">
        <w:rPr>
          <w:lang w:val="cs-CZ"/>
        </w:rPr>
        <w:t>s</w:t>
      </w:r>
      <w:r w:rsidR="00DA2199">
        <w:rPr>
          <w:lang w:val="cs-CZ"/>
        </w:rPr>
        <w:t> </w:t>
      </w:r>
      <w:r w:rsidRPr="00096052">
        <w:rPr>
          <w:lang w:val="cs-CZ"/>
        </w:rPr>
        <w:t>obecně vyšším mezní</w:t>
      </w:r>
      <w:r w:rsidR="00122A5A">
        <w:rPr>
          <w:lang w:val="cs-CZ"/>
        </w:rPr>
        <w:t>m</w:t>
      </w:r>
      <w:r w:rsidRPr="00096052">
        <w:rPr>
          <w:lang w:val="cs-CZ"/>
        </w:rPr>
        <w:t xml:space="preserve"> sklonem ke spotřebě. Růst cen nutí osoby z těchto domácností, aby za účelem udržení konstantní životní úrovně zvýšily nabízené množství práce (vstupem na trh práce, navýšením pracovních úvazků apod.). Tento jev se ukázal jako velmi relevantní zejména pro ženy středního věku </w:t>
      </w:r>
      <w:r w:rsidR="00DA2199" w:rsidRPr="00096052">
        <w:rPr>
          <w:lang w:val="cs-CZ"/>
        </w:rPr>
        <w:t>v</w:t>
      </w:r>
      <w:r w:rsidR="00DA2199">
        <w:rPr>
          <w:lang w:val="cs-CZ"/>
        </w:rPr>
        <w:t> </w:t>
      </w:r>
      <w:r w:rsidRPr="00096052">
        <w:rPr>
          <w:lang w:val="cs-CZ"/>
        </w:rPr>
        <w:t xml:space="preserve">domácnostech </w:t>
      </w:r>
      <w:r w:rsidR="00DA2199" w:rsidRPr="00096052">
        <w:rPr>
          <w:lang w:val="cs-CZ"/>
        </w:rPr>
        <w:t>s</w:t>
      </w:r>
      <w:r w:rsidR="00DA2199">
        <w:rPr>
          <w:lang w:val="cs-CZ"/>
        </w:rPr>
        <w:t> </w:t>
      </w:r>
      <w:r w:rsidRPr="00096052">
        <w:rPr>
          <w:lang w:val="cs-CZ"/>
        </w:rPr>
        <w:t xml:space="preserve">nízkými </w:t>
      </w:r>
      <w:r w:rsidR="00DA2199" w:rsidRPr="00096052">
        <w:rPr>
          <w:lang w:val="cs-CZ"/>
        </w:rPr>
        <w:t>a</w:t>
      </w:r>
      <w:r w:rsidR="00DA2199">
        <w:rPr>
          <w:lang w:val="cs-CZ"/>
        </w:rPr>
        <w:t> </w:t>
      </w:r>
      <w:r w:rsidRPr="00096052">
        <w:rPr>
          <w:lang w:val="cs-CZ"/>
        </w:rPr>
        <w:t xml:space="preserve">středními příjmy. Zvýšení nepřímých daní tedy motivuje k vyšší participaci na trhu práce, zvyšuje pravděpodobnost zaměstnání </w:t>
      </w:r>
      <w:r w:rsidR="00DA2199" w:rsidRPr="00096052">
        <w:rPr>
          <w:lang w:val="cs-CZ"/>
        </w:rPr>
        <w:t>a</w:t>
      </w:r>
      <w:r w:rsidR="00DA2199">
        <w:rPr>
          <w:lang w:val="cs-CZ"/>
        </w:rPr>
        <w:t> </w:t>
      </w:r>
      <w:r w:rsidRPr="00096052">
        <w:rPr>
          <w:lang w:val="cs-CZ"/>
        </w:rPr>
        <w:t xml:space="preserve">díky tomu v konečném důsledku také příjmovou nerovnost. Mezi přímými daněmi zvyšují sociální spravedlnost pouze daně </w:t>
      </w:r>
      <w:r w:rsidR="00DA2199" w:rsidRPr="00096052">
        <w:rPr>
          <w:lang w:val="cs-CZ"/>
        </w:rPr>
        <w:t>z</w:t>
      </w:r>
      <w:r w:rsidR="00DA2199">
        <w:rPr>
          <w:lang w:val="cs-CZ"/>
        </w:rPr>
        <w:t> </w:t>
      </w:r>
      <w:r w:rsidRPr="00096052">
        <w:rPr>
          <w:lang w:val="cs-CZ"/>
        </w:rPr>
        <w:t>příjmu fyzických osob, aniž by měly významný negativní dopad na participaci pracovní síly.</w:t>
      </w:r>
    </w:p>
    <w:p w14:paraId="4CB15FFA" w14:textId="06BA9BA0" w:rsidR="00245CC7" w:rsidRPr="00096052" w:rsidRDefault="00245CC7" w:rsidP="00230367">
      <w:pPr>
        <w:rPr>
          <w:lang w:val="cs-CZ"/>
        </w:rPr>
      </w:pPr>
      <w:r w:rsidRPr="00096052">
        <w:rPr>
          <w:lang w:val="cs-CZ"/>
        </w:rPr>
        <w:t>Konečně vliv samotné výše vládních dluhů na ekonomický růst byl testován harvardskými ekonomy Reinhart</w:t>
      </w:r>
      <w:r w:rsidR="007137A2" w:rsidRPr="00096052">
        <w:rPr>
          <w:lang w:val="cs-CZ"/>
        </w:rPr>
        <w:t>ovou</w:t>
      </w:r>
      <w:r w:rsidRPr="00096052">
        <w:rPr>
          <w:lang w:val="cs-CZ"/>
        </w:rPr>
        <w:t xml:space="preserve"> </w:t>
      </w:r>
      <w:r w:rsidR="00DA2199" w:rsidRPr="00096052">
        <w:rPr>
          <w:lang w:val="cs-CZ"/>
        </w:rPr>
        <w:t>a</w:t>
      </w:r>
      <w:r w:rsidR="00DA2199">
        <w:rPr>
          <w:lang w:val="cs-CZ"/>
        </w:rPr>
        <w:t> </w:t>
      </w:r>
      <w:r w:rsidRPr="00096052">
        <w:rPr>
          <w:lang w:val="cs-CZ"/>
        </w:rPr>
        <w:t>R</w:t>
      </w:r>
      <w:r w:rsidR="008E7A3B" w:rsidRPr="00096052">
        <w:rPr>
          <w:lang w:val="cs-CZ"/>
        </w:rPr>
        <w:t>o</w:t>
      </w:r>
      <w:r w:rsidRPr="00096052">
        <w:rPr>
          <w:lang w:val="cs-CZ"/>
        </w:rPr>
        <w:t>goffem během Velké ekonomické recese.</w:t>
      </w:r>
      <w:r w:rsidRPr="00096052">
        <w:rPr>
          <w:vertAlign w:val="superscript"/>
          <w:lang w:val="cs-CZ"/>
        </w:rPr>
        <w:footnoteReference w:id="55"/>
      </w:r>
      <w:r w:rsidRPr="00096052">
        <w:rPr>
          <w:lang w:val="cs-CZ"/>
        </w:rPr>
        <w:t xml:space="preserve"> Došli k závěru, že hranice 90 % HDP je pro veřejné zadlužení </w:t>
      </w:r>
      <w:r w:rsidR="00DA2199" w:rsidRPr="00096052">
        <w:rPr>
          <w:lang w:val="cs-CZ"/>
        </w:rPr>
        <w:t>a</w:t>
      </w:r>
      <w:r w:rsidR="00DA2199">
        <w:rPr>
          <w:lang w:val="cs-CZ"/>
        </w:rPr>
        <w:t> </w:t>
      </w:r>
      <w:r w:rsidRPr="00096052">
        <w:rPr>
          <w:lang w:val="cs-CZ"/>
        </w:rPr>
        <w:t>jeho negativní vliv na hospodářský růst kritická. Původní článek byl však silně kritizován pro technické nedostatky s kvalitou dat. V návaznosti na to se objevila celá řada prací, která se tímto fenoménem zabývala.</w:t>
      </w:r>
    </w:p>
    <w:p w14:paraId="4BBBDF1F" w14:textId="7C6DDBC5" w:rsidR="00245CC7" w:rsidRPr="00096052" w:rsidRDefault="00245CC7" w:rsidP="00230367">
      <w:pPr>
        <w:rPr>
          <w:lang w:val="cs-CZ"/>
        </w:rPr>
      </w:pPr>
      <w:r w:rsidRPr="00096052">
        <w:rPr>
          <w:lang w:val="cs-CZ"/>
        </w:rPr>
        <w:t>Jednou ze studií, která přinesla kritiku stati Reinhart</w:t>
      </w:r>
      <w:r w:rsidR="007137A2" w:rsidRPr="00096052">
        <w:rPr>
          <w:lang w:val="cs-CZ"/>
        </w:rPr>
        <w:t>ové</w:t>
      </w:r>
      <w:r w:rsidRPr="00096052">
        <w:rPr>
          <w:lang w:val="cs-CZ"/>
        </w:rPr>
        <w:t xml:space="preserve"> </w:t>
      </w:r>
      <w:r w:rsidR="00DA2199" w:rsidRPr="00096052">
        <w:rPr>
          <w:lang w:val="cs-CZ"/>
        </w:rPr>
        <w:t>a</w:t>
      </w:r>
      <w:r w:rsidR="00DA2199">
        <w:rPr>
          <w:lang w:val="cs-CZ"/>
        </w:rPr>
        <w:t> </w:t>
      </w:r>
      <w:r w:rsidRPr="00096052">
        <w:rPr>
          <w:lang w:val="cs-CZ"/>
        </w:rPr>
        <w:t>R</w:t>
      </w:r>
      <w:r w:rsidR="008E7A3B" w:rsidRPr="00096052">
        <w:rPr>
          <w:lang w:val="cs-CZ"/>
        </w:rPr>
        <w:t>o</w:t>
      </w:r>
      <w:r w:rsidRPr="00096052">
        <w:rPr>
          <w:lang w:val="cs-CZ"/>
        </w:rPr>
        <w:t xml:space="preserve">goffa, byla od Herndona, Ashe </w:t>
      </w:r>
      <w:r w:rsidR="00DA2199" w:rsidRPr="00096052">
        <w:rPr>
          <w:lang w:val="cs-CZ"/>
        </w:rPr>
        <w:lastRenderedPageBreak/>
        <w:t>a</w:t>
      </w:r>
      <w:r w:rsidR="00DA2199">
        <w:rPr>
          <w:lang w:val="cs-CZ"/>
        </w:rPr>
        <w:t> </w:t>
      </w:r>
      <w:r w:rsidRPr="00096052">
        <w:rPr>
          <w:lang w:val="cs-CZ"/>
        </w:rPr>
        <w:t>Pollina.</w:t>
      </w:r>
      <w:r w:rsidRPr="0045534A">
        <w:rPr>
          <w:rStyle w:val="StylZnakapoznpodarouLatinkaArial"/>
        </w:rPr>
        <w:footnoteReference w:id="56"/>
      </w:r>
      <w:r w:rsidRPr="00096052">
        <w:rPr>
          <w:lang w:val="cs-CZ"/>
        </w:rPr>
        <w:t xml:space="preserve"> Autorský kolektiv zjistil, že původní studie z roku 2010 obsahuje chyby spočívající v selektivním vyloučení dostupných dat, v kódování dat </w:t>
      </w:r>
      <w:r w:rsidR="00DA2199" w:rsidRPr="00096052">
        <w:rPr>
          <w:lang w:val="cs-CZ"/>
        </w:rPr>
        <w:t>a</w:t>
      </w:r>
      <w:r w:rsidR="00DA2199">
        <w:rPr>
          <w:lang w:val="cs-CZ"/>
        </w:rPr>
        <w:t> </w:t>
      </w:r>
      <w:r w:rsidRPr="00096052">
        <w:rPr>
          <w:lang w:val="cs-CZ"/>
        </w:rPr>
        <w:t xml:space="preserve">v nevhodném přiřazování vah </w:t>
      </w:r>
      <w:r w:rsidR="00DA2199" w:rsidRPr="00096052">
        <w:rPr>
          <w:lang w:val="cs-CZ"/>
        </w:rPr>
        <w:t>v</w:t>
      </w:r>
      <w:r w:rsidR="00DA2199">
        <w:rPr>
          <w:lang w:val="cs-CZ"/>
        </w:rPr>
        <w:t> </w:t>
      </w:r>
      <w:r w:rsidRPr="00096052">
        <w:rPr>
          <w:lang w:val="cs-CZ"/>
        </w:rPr>
        <w:t xml:space="preserve">souhrnných statistikách, které pak vedly k nepřesným zjištěním </w:t>
      </w:r>
      <w:r w:rsidR="00DA2199" w:rsidRPr="00096052">
        <w:rPr>
          <w:lang w:val="cs-CZ"/>
        </w:rPr>
        <w:t>o</w:t>
      </w:r>
      <w:r w:rsidR="00DA2199">
        <w:rPr>
          <w:lang w:val="cs-CZ"/>
        </w:rPr>
        <w:t> </w:t>
      </w:r>
      <w:r w:rsidRPr="00096052">
        <w:rPr>
          <w:lang w:val="cs-CZ"/>
        </w:rPr>
        <w:t xml:space="preserve">vztahu mezi veřejným dluhem </w:t>
      </w:r>
      <w:r w:rsidR="00DA2199" w:rsidRPr="00096052">
        <w:rPr>
          <w:lang w:val="cs-CZ"/>
        </w:rPr>
        <w:t>a</w:t>
      </w:r>
      <w:r w:rsidR="00DA2199">
        <w:rPr>
          <w:lang w:val="cs-CZ"/>
        </w:rPr>
        <w:t> </w:t>
      </w:r>
      <w:r w:rsidRPr="00096052">
        <w:rPr>
          <w:lang w:val="cs-CZ"/>
        </w:rPr>
        <w:t xml:space="preserve">růstem HDP mezi 20 vyspělými ekonomikami. Ve skutečnosti totiž v průběhu let 1946–2009 dosahovaly země </w:t>
      </w:r>
      <w:r w:rsidR="00DA2199" w:rsidRPr="00096052">
        <w:rPr>
          <w:lang w:val="cs-CZ"/>
        </w:rPr>
        <w:t>s</w:t>
      </w:r>
      <w:r w:rsidR="00DA2199">
        <w:rPr>
          <w:lang w:val="cs-CZ"/>
        </w:rPr>
        <w:t> </w:t>
      </w:r>
      <w:r w:rsidRPr="00096052">
        <w:rPr>
          <w:lang w:val="cs-CZ"/>
        </w:rPr>
        <w:t xml:space="preserve">poměrem veřejného dluhu </w:t>
      </w:r>
      <w:r w:rsidR="00DA2199" w:rsidRPr="00096052">
        <w:rPr>
          <w:lang w:val="cs-CZ"/>
        </w:rPr>
        <w:t>k</w:t>
      </w:r>
      <w:r w:rsidR="00DA2199">
        <w:rPr>
          <w:lang w:val="cs-CZ"/>
        </w:rPr>
        <w:t> </w:t>
      </w:r>
      <w:r w:rsidRPr="00096052">
        <w:rPr>
          <w:lang w:val="cs-CZ"/>
        </w:rPr>
        <w:t xml:space="preserve">HDP přesahujícím 90 % </w:t>
      </w:r>
      <w:r w:rsidR="00DA2199" w:rsidRPr="00096052">
        <w:rPr>
          <w:lang w:val="cs-CZ"/>
        </w:rPr>
        <w:t>v</w:t>
      </w:r>
      <w:r w:rsidR="00DA2199">
        <w:rPr>
          <w:lang w:val="cs-CZ"/>
        </w:rPr>
        <w:t> </w:t>
      </w:r>
      <w:r w:rsidRPr="00096052">
        <w:rPr>
          <w:lang w:val="cs-CZ"/>
        </w:rPr>
        <w:t>průměru 2,</w:t>
      </w:r>
      <w:r w:rsidR="00DA2199" w:rsidRPr="00096052">
        <w:rPr>
          <w:lang w:val="cs-CZ"/>
        </w:rPr>
        <w:t>2</w:t>
      </w:r>
      <w:r w:rsidR="00DA2199">
        <w:rPr>
          <w:lang w:val="cs-CZ"/>
        </w:rPr>
        <w:t> </w:t>
      </w:r>
      <w:r w:rsidRPr="00096052">
        <w:rPr>
          <w:lang w:val="cs-CZ"/>
        </w:rPr>
        <w:t>% reálného ročního růstu HDP, nikoli −0,</w:t>
      </w:r>
      <w:r w:rsidR="00DA2199" w:rsidRPr="00096052">
        <w:rPr>
          <w:lang w:val="cs-CZ"/>
        </w:rPr>
        <w:t>1</w:t>
      </w:r>
      <w:r w:rsidR="00DA2199">
        <w:rPr>
          <w:lang w:val="cs-CZ"/>
        </w:rPr>
        <w:t> </w:t>
      </w:r>
      <w:r w:rsidRPr="00096052">
        <w:rPr>
          <w:lang w:val="cs-CZ"/>
        </w:rPr>
        <w:t>%, jak bylo zveřejněno. Na rozdíl závěrů Reinhart</w:t>
      </w:r>
      <w:r w:rsidR="007137A2" w:rsidRPr="00096052">
        <w:rPr>
          <w:lang w:val="cs-CZ"/>
        </w:rPr>
        <w:t>ové</w:t>
      </w:r>
      <w:r w:rsidRPr="00096052">
        <w:rPr>
          <w:lang w:val="cs-CZ"/>
        </w:rPr>
        <w:t xml:space="preserve"> </w:t>
      </w:r>
      <w:r w:rsidR="00DA2199" w:rsidRPr="00096052">
        <w:rPr>
          <w:lang w:val="cs-CZ"/>
        </w:rPr>
        <w:t>a</w:t>
      </w:r>
      <w:r w:rsidR="00DA2199">
        <w:rPr>
          <w:lang w:val="cs-CZ"/>
        </w:rPr>
        <w:t> </w:t>
      </w:r>
      <w:r w:rsidRPr="00096052">
        <w:rPr>
          <w:lang w:val="cs-CZ"/>
        </w:rPr>
        <w:t xml:space="preserve">Rogoffa se dle Herndona, Ashe </w:t>
      </w:r>
      <w:r w:rsidR="00DA2199" w:rsidRPr="00096052">
        <w:rPr>
          <w:lang w:val="cs-CZ"/>
        </w:rPr>
        <w:t>a</w:t>
      </w:r>
      <w:r w:rsidR="00DA2199">
        <w:rPr>
          <w:lang w:val="cs-CZ"/>
        </w:rPr>
        <w:t> </w:t>
      </w:r>
      <w:r w:rsidRPr="00096052">
        <w:rPr>
          <w:lang w:val="cs-CZ"/>
        </w:rPr>
        <w:t xml:space="preserve">Pollina průměrný </w:t>
      </w:r>
      <w:r w:rsidR="00DA2199" w:rsidRPr="00096052">
        <w:rPr>
          <w:lang w:val="cs-CZ"/>
        </w:rPr>
        <w:t>i</w:t>
      </w:r>
      <w:r w:rsidR="00DA2199">
        <w:rPr>
          <w:lang w:val="cs-CZ"/>
        </w:rPr>
        <w:t> </w:t>
      </w:r>
      <w:r w:rsidRPr="00096052">
        <w:rPr>
          <w:lang w:val="cs-CZ"/>
        </w:rPr>
        <w:t xml:space="preserve">mediánový růst HDP </w:t>
      </w:r>
      <w:r w:rsidR="00DA2199" w:rsidRPr="00096052">
        <w:rPr>
          <w:lang w:val="cs-CZ"/>
        </w:rPr>
        <w:t>v</w:t>
      </w:r>
      <w:r w:rsidR="00DA2199">
        <w:rPr>
          <w:lang w:val="cs-CZ"/>
        </w:rPr>
        <w:t> </w:t>
      </w:r>
      <w:r w:rsidRPr="00096052">
        <w:rPr>
          <w:lang w:val="cs-CZ"/>
        </w:rPr>
        <w:t>případě překročení 90% po</w:t>
      </w:r>
      <w:r w:rsidR="007137A2" w:rsidRPr="00096052">
        <w:rPr>
          <w:lang w:val="cs-CZ"/>
        </w:rPr>
        <w:t>měru</w:t>
      </w:r>
      <w:r w:rsidRPr="00096052">
        <w:rPr>
          <w:lang w:val="cs-CZ"/>
        </w:rPr>
        <w:t xml:space="preserve"> veřejného dluhu </w:t>
      </w:r>
      <w:r w:rsidR="00DA2199" w:rsidRPr="00096052">
        <w:rPr>
          <w:lang w:val="cs-CZ"/>
        </w:rPr>
        <w:t>k</w:t>
      </w:r>
      <w:r w:rsidR="00DA2199">
        <w:rPr>
          <w:lang w:val="cs-CZ"/>
        </w:rPr>
        <w:t> </w:t>
      </w:r>
      <w:r w:rsidRPr="00096052">
        <w:rPr>
          <w:lang w:val="cs-CZ"/>
        </w:rPr>
        <w:t xml:space="preserve">HDP dramaticky neliší od situace, kdy tento poměr dosahuje nižších úrovní. Text podtrhl, že vztah mezi veřejným dluhem </w:t>
      </w:r>
      <w:r w:rsidR="00DA2199" w:rsidRPr="00096052">
        <w:rPr>
          <w:lang w:val="cs-CZ"/>
        </w:rPr>
        <w:t>a</w:t>
      </w:r>
      <w:r w:rsidR="00DA2199">
        <w:rPr>
          <w:lang w:val="cs-CZ"/>
        </w:rPr>
        <w:t> </w:t>
      </w:r>
      <w:r w:rsidRPr="00096052">
        <w:rPr>
          <w:lang w:val="cs-CZ"/>
        </w:rPr>
        <w:t xml:space="preserve">růstem HDP se výrazně odlišuje podle období </w:t>
      </w:r>
      <w:r w:rsidR="00DA2199" w:rsidRPr="00096052">
        <w:rPr>
          <w:lang w:val="cs-CZ"/>
        </w:rPr>
        <w:t>a</w:t>
      </w:r>
      <w:r w:rsidR="00DA2199">
        <w:rPr>
          <w:lang w:val="cs-CZ"/>
        </w:rPr>
        <w:t> </w:t>
      </w:r>
      <w:r w:rsidRPr="00096052">
        <w:rPr>
          <w:lang w:val="cs-CZ"/>
        </w:rPr>
        <w:t>země. Výzkum tedy přinesl důkazy vyvracejí</w:t>
      </w:r>
      <w:r w:rsidR="00C8377B">
        <w:rPr>
          <w:lang w:val="cs-CZ"/>
        </w:rPr>
        <w:t>cí</w:t>
      </w:r>
      <w:r w:rsidRPr="00096052">
        <w:rPr>
          <w:lang w:val="cs-CZ"/>
        </w:rPr>
        <w:t xml:space="preserve"> původní tvrzení Reinhart</w:t>
      </w:r>
      <w:r w:rsidR="007137A2" w:rsidRPr="00096052">
        <w:rPr>
          <w:lang w:val="cs-CZ"/>
        </w:rPr>
        <w:t>ové</w:t>
      </w:r>
      <w:r w:rsidRPr="00096052">
        <w:rPr>
          <w:lang w:val="cs-CZ"/>
        </w:rPr>
        <w:t xml:space="preserve"> </w:t>
      </w:r>
      <w:r w:rsidR="00DA2199" w:rsidRPr="00096052">
        <w:rPr>
          <w:lang w:val="cs-CZ"/>
        </w:rPr>
        <w:t>a</w:t>
      </w:r>
      <w:r w:rsidR="00DA2199">
        <w:rPr>
          <w:lang w:val="cs-CZ"/>
        </w:rPr>
        <w:t> </w:t>
      </w:r>
      <w:r w:rsidRPr="00096052">
        <w:rPr>
          <w:lang w:val="cs-CZ"/>
        </w:rPr>
        <w:t>R</w:t>
      </w:r>
      <w:r w:rsidR="007137A2" w:rsidRPr="00096052">
        <w:rPr>
          <w:lang w:val="cs-CZ"/>
        </w:rPr>
        <w:t>o</w:t>
      </w:r>
      <w:r w:rsidRPr="00096052">
        <w:rPr>
          <w:lang w:val="cs-CZ"/>
        </w:rPr>
        <w:t xml:space="preserve">goffa, že poměr veřejného dluhu </w:t>
      </w:r>
      <w:r w:rsidR="00DA2199" w:rsidRPr="00096052">
        <w:rPr>
          <w:lang w:val="cs-CZ"/>
        </w:rPr>
        <w:t>k</w:t>
      </w:r>
      <w:r w:rsidR="00DA2199">
        <w:rPr>
          <w:lang w:val="cs-CZ"/>
        </w:rPr>
        <w:t> </w:t>
      </w:r>
      <w:r w:rsidRPr="00096052">
        <w:rPr>
          <w:lang w:val="cs-CZ"/>
        </w:rPr>
        <w:t>HDP nad 90 % trvale snižuje růst HDP země.</w:t>
      </w:r>
    </w:p>
    <w:p w14:paraId="016B9849" w14:textId="72FC54B6" w:rsidR="00245CC7" w:rsidRPr="00096052" w:rsidRDefault="00245CC7" w:rsidP="00230367">
      <w:pPr>
        <w:rPr>
          <w:lang w:val="cs-CZ"/>
        </w:rPr>
      </w:pPr>
      <w:r w:rsidRPr="00096052">
        <w:rPr>
          <w:lang w:val="cs-CZ"/>
        </w:rPr>
        <w:t xml:space="preserve">Ve své </w:t>
      </w:r>
      <w:r w:rsidR="00C8377B">
        <w:rPr>
          <w:lang w:val="cs-CZ"/>
        </w:rPr>
        <w:t xml:space="preserve">studii </w:t>
      </w:r>
      <w:r w:rsidRPr="00096052">
        <w:rPr>
          <w:lang w:val="cs-CZ"/>
        </w:rPr>
        <w:t>se Caner, Grennes, Koehler-Geib</w:t>
      </w:r>
      <w:r w:rsidRPr="0045534A">
        <w:rPr>
          <w:rStyle w:val="StylZnakapoznpodarouLatinkaArial"/>
        </w:rPr>
        <w:footnoteReference w:id="57"/>
      </w:r>
      <w:r w:rsidRPr="00096052">
        <w:rPr>
          <w:lang w:val="cs-CZ"/>
        </w:rPr>
        <w:t xml:space="preserve"> rovněž pokoušeli vypočítat hraniční úroveň zadlužení vůči HDP, která již ohrožuje hospodářský růst. Jejich studie odhadovala tyto hraniční hodnoty za pomoci datového souboru obsa</w:t>
      </w:r>
      <w:r w:rsidR="008F5C84" w:rsidRPr="00096052">
        <w:rPr>
          <w:lang w:val="cs-CZ"/>
        </w:rPr>
        <w:t>h</w:t>
      </w:r>
      <w:r w:rsidRPr="00096052">
        <w:rPr>
          <w:lang w:val="cs-CZ"/>
        </w:rPr>
        <w:t xml:space="preserve">ujícího roční údaje </w:t>
      </w:r>
      <w:r w:rsidR="00DA2199" w:rsidRPr="00096052">
        <w:rPr>
          <w:lang w:val="cs-CZ"/>
        </w:rPr>
        <w:t>o</w:t>
      </w:r>
      <w:r w:rsidR="00DA2199">
        <w:rPr>
          <w:lang w:val="cs-CZ"/>
        </w:rPr>
        <w:t> </w:t>
      </w:r>
      <w:r w:rsidRPr="00096052">
        <w:rPr>
          <w:lang w:val="cs-CZ"/>
        </w:rPr>
        <w:t xml:space="preserve">101 rozvojových (75) </w:t>
      </w:r>
      <w:r w:rsidR="00DA2199" w:rsidRPr="00096052">
        <w:rPr>
          <w:lang w:val="cs-CZ"/>
        </w:rPr>
        <w:t>a</w:t>
      </w:r>
      <w:r w:rsidR="00DA2199">
        <w:rPr>
          <w:lang w:val="cs-CZ"/>
        </w:rPr>
        <w:t> </w:t>
      </w:r>
      <w:r w:rsidRPr="00096052">
        <w:rPr>
          <w:lang w:val="cs-CZ"/>
        </w:rPr>
        <w:t>rozvinutých (26) ekonomik</w:t>
      </w:r>
      <w:r w:rsidR="000750F3">
        <w:rPr>
          <w:lang w:val="cs-CZ"/>
        </w:rPr>
        <w:t>ách</w:t>
      </w:r>
      <w:r w:rsidRPr="00096052">
        <w:rPr>
          <w:lang w:val="cs-CZ"/>
        </w:rPr>
        <w:t xml:space="preserve"> během období od roku 1980 do roku 2008. Za kontroly ostatní</w:t>
      </w:r>
      <w:r w:rsidR="008F5C84" w:rsidRPr="00096052">
        <w:rPr>
          <w:lang w:val="cs-CZ"/>
        </w:rPr>
        <w:t>ch</w:t>
      </w:r>
      <w:r w:rsidRPr="00096052">
        <w:rPr>
          <w:lang w:val="cs-CZ"/>
        </w:rPr>
        <w:t xml:space="preserve"> proměnných, jako byl (</w:t>
      </w:r>
      <w:r w:rsidR="00C8377B" w:rsidRPr="00096052">
        <w:rPr>
          <w:lang w:val="cs-CZ"/>
        </w:rPr>
        <w:t>zlogaritmovaný</w:t>
      </w:r>
      <w:r w:rsidRPr="00096052">
        <w:rPr>
          <w:lang w:val="cs-CZ"/>
        </w:rPr>
        <w:t xml:space="preserve">) počáteční HDP na obyvatele, otevřenost ekonomiky </w:t>
      </w:r>
      <w:r w:rsidR="00DA2199" w:rsidRPr="00096052">
        <w:rPr>
          <w:lang w:val="cs-CZ"/>
        </w:rPr>
        <w:t>a</w:t>
      </w:r>
      <w:r w:rsidR="00DA2199">
        <w:rPr>
          <w:lang w:val="cs-CZ"/>
        </w:rPr>
        <w:t> </w:t>
      </w:r>
      <w:r w:rsidRPr="00096052">
        <w:rPr>
          <w:lang w:val="cs-CZ"/>
        </w:rPr>
        <w:t xml:space="preserve">míra inflace, autoři odhadli jako hraniční míru zadlužení dosahující úrovně 77 % veřejného dluhu </w:t>
      </w:r>
      <w:r w:rsidR="00DA2199" w:rsidRPr="00096052">
        <w:rPr>
          <w:lang w:val="cs-CZ"/>
        </w:rPr>
        <w:t>k</w:t>
      </w:r>
      <w:r w:rsidR="00DA2199">
        <w:rPr>
          <w:lang w:val="cs-CZ"/>
        </w:rPr>
        <w:t> </w:t>
      </w:r>
      <w:r w:rsidRPr="00096052">
        <w:rPr>
          <w:lang w:val="cs-CZ"/>
        </w:rPr>
        <w:t xml:space="preserve">HDP. V případě, že se relativní úroveň dluhu nachází nad touto hranicí, přírůstek každého dalšího procentního bodu nese náklad 0,017 procentního bodu ročního reálného růstu. Studie rovněž zdůraznila, že se tento efekt projevuje ještě výrazněji v rozvíjejících se ekonomikách, pro něž byla zjištěna hraniční hodnota 64 % dluhu </w:t>
      </w:r>
      <w:r w:rsidR="00DA2199" w:rsidRPr="00096052">
        <w:rPr>
          <w:lang w:val="cs-CZ"/>
        </w:rPr>
        <w:t>k</w:t>
      </w:r>
      <w:r w:rsidR="00DA2199">
        <w:rPr>
          <w:lang w:val="cs-CZ"/>
        </w:rPr>
        <w:t> </w:t>
      </w:r>
      <w:r w:rsidRPr="00096052">
        <w:rPr>
          <w:lang w:val="cs-CZ"/>
        </w:rPr>
        <w:t xml:space="preserve">HDP. </w:t>
      </w:r>
      <w:r w:rsidR="00DA2199" w:rsidRPr="00096052">
        <w:rPr>
          <w:lang w:val="cs-CZ"/>
        </w:rPr>
        <w:t>V</w:t>
      </w:r>
      <w:r w:rsidR="00DA2199">
        <w:rPr>
          <w:lang w:val="cs-CZ"/>
        </w:rPr>
        <w:t> </w:t>
      </w:r>
      <w:r w:rsidRPr="00096052">
        <w:rPr>
          <w:lang w:val="cs-CZ"/>
        </w:rPr>
        <w:t xml:space="preserve">těchto zemích činila ztráta ročního reálného růstu </w:t>
      </w:r>
      <w:r w:rsidR="00DA2199" w:rsidRPr="00096052">
        <w:rPr>
          <w:lang w:val="cs-CZ"/>
        </w:rPr>
        <w:t>s</w:t>
      </w:r>
      <w:r w:rsidR="00DA2199">
        <w:rPr>
          <w:lang w:val="cs-CZ"/>
        </w:rPr>
        <w:t> </w:t>
      </w:r>
      <w:r w:rsidRPr="00096052">
        <w:rPr>
          <w:lang w:val="cs-CZ"/>
        </w:rPr>
        <w:t>každým dalším procentním bodem veřejného dluhu 0,02 procentního bodu.</w:t>
      </w:r>
    </w:p>
    <w:p w14:paraId="17BDCAD7" w14:textId="41542CA5" w:rsidR="00245CC7" w:rsidRPr="00096052" w:rsidRDefault="00245CC7" w:rsidP="00230367">
      <w:pPr>
        <w:rPr>
          <w:lang w:val="cs-CZ"/>
        </w:rPr>
      </w:pPr>
      <w:r w:rsidRPr="00096052">
        <w:rPr>
          <w:lang w:val="cs-CZ"/>
        </w:rPr>
        <w:t>Tým odborníků z Mezinárodního měnového fondu</w:t>
      </w:r>
      <w:r w:rsidRPr="0045534A">
        <w:rPr>
          <w:rStyle w:val="StylZnakapoznpodarouLatinkaArial"/>
        </w:rPr>
        <w:footnoteReference w:id="58"/>
      </w:r>
      <w:r w:rsidRPr="00096052">
        <w:rPr>
          <w:lang w:val="cs-CZ"/>
        </w:rPr>
        <w:t xml:space="preserve"> si kladl otázku, jakými faktory by se měla řídit politika veřejného dluhu. Ve svém diskusním příspěvku tvrdí, že pro země </w:t>
      </w:r>
      <w:r w:rsidR="00DA2199" w:rsidRPr="00096052">
        <w:rPr>
          <w:lang w:val="cs-CZ"/>
        </w:rPr>
        <w:t>s</w:t>
      </w:r>
      <w:r w:rsidR="00DA2199">
        <w:rPr>
          <w:lang w:val="cs-CZ"/>
        </w:rPr>
        <w:t> </w:t>
      </w:r>
      <w:r w:rsidRPr="00096052">
        <w:rPr>
          <w:lang w:val="cs-CZ"/>
        </w:rPr>
        <w:t xml:space="preserve">dostatečným fiskálním prostorem, tj. státy s malým rizikem vzniku fiskální krize, je zvyšování distorzních daní pouze za účelem snížení dluhu horší variantou než neřešení dluhu. Vysoký veřejný dluh je samozřejmě nákladný, ale dle autorů se jedná </w:t>
      </w:r>
      <w:r w:rsidR="00DA2199" w:rsidRPr="00096052">
        <w:rPr>
          <w:lang w:val="cs-CZ"/>
        </w:rPr>
        <w:t>o</w:t>
      </w:r>
      <w:r w:rsidR="00DA2199">
        <w:rPr>
          <w:lang w:val="cs-CZ"/>
        </w:rPr>
        <w:t> </w:t>
      </w:r>
      <w:r w:rsidRPr="00096052">
        <w:rPr>
          <w:lang w:val="cs-CZ"/>
        </w:rPr>
        <w:t xml:space="preserve">utopené náklady, které se jen zhoršují snahou splatit dluh prostřednictvím distorzního zdanění. Život </w:t>
      </w:r>
      <w:r w:rsidR="00DA2199" w:rsidRPr="00096052">
        <w:rPr>
          <w:lang w:val="cs-CZ"/>
        </w:rPr>
        <w:t>s</w:t>
      </w:r>
      <w:r w:rsidR="00DA2199">
        <w:rPr>
          <w:lang w:val="cs-CZ"/>
        </w:rPr>
        <w:t> </w:t>
      </w:r>
      <w:r w:rsidRPr="00096052">
        <w:rPr>
          <w:lang w:val="cs-CZ"/>
        </w:rPr>
        <w:t xml:space="preserve">dluhem může tedy za určitých podmínek být politikou maximalizující blahobyt </w:t>
      </w:r>
      <w:r w:rsidR="00DA2199" w:rsidRPr="00096052">
        <w:rPr>
          <w:lang w:val="cs-CZ"/>
        </w:rPr>
        <w:t>a</w:t>
      </w:r>
      <w:r w:rsidR="00DA2199">
        <w:rPr>
          <w:lang w:val="cs-CZ"/>
        </w:rPr>
        <w:t> </w:t>
      </w:r>
      <w:r w:rsidRPr="00096052">
        <w:rPr>
          <w:lang w:val="cs-CZ"/>
        </w:rPr>
        <w:t xml:space="preserve">jeho splácení „oportunistickou“ záležitostí nastávající </w:t>
      </w:r>
      <w:r w:rsidR="00DA2199" w:rsidRPr="00096052">
        <w:rPr>
          <w:lang w:val="cs-CZ"/>
        </w:rPr>
        <w:t>v</w:t>
      </w:r>
      <w:r w:rsidR="00DA2199">
        <w:rPr>
          <w:lang w:val="cs-CZ"/>
        </w:rPr>
        <w:t> </w:t>
      </w:r>
      <w:r w:rsidRPr="00096052">
        <w:rPr>
          <w:lang w:val="cs-CZ"/>
        </w:rPr>
        <w:t xml:space="preserve">případě, když jsou k dispozici nedistorzní příjmové zdroje. Při rozhodování </w:t>
      </w:r>
      <w:r w:rsidR="00DA2199" w:rsidRPr="00096052">
        <w:rPr>
          <w:lang w:val="cs-CZ"/>
        </w:rPr>
        <w:t>o</w:t>
      </w:r>
      <w:r w:rsidR="00DA2199">
        <w:rPr>
          <w:lang w:val="cs-CZ"/>
        </w:rPr>
        <w:t> </w:t>
      </w:r>
      <w:r w:rsidRPr="00096052">
        <w:rPr>
          <w:lang w:val="cs-CZ"/>
        </w:rPr>
        <w:t xml:space="preserve">dluhově financovaných veřejných investicích je důležité, aby výdělečné poměry jejich společenského mezního produktu dosáhly alespoň tržní úrokové sazby </w:t>
      </w:r>
      <w:r w:rsidR="00DA2199" w:rsidRPr="00096052">
        <w:rPr>
          <w:lang w:val="cs-CZ"/>
        </w:rPr>
        <w:t>a</w:t>
      </w:r>
      <w:r w:rsidR="00DA2199">
        <w:rPr>
          <w:lang w:val="cs-CZ"/>
        </w:rPr>
        <w:t> </w:t>
      </w:r>
      <w:r w:rsidRPr="00096052">
        <w:rPr>
          <w:lang w:val="cs-CZ"/>
        </w:rPr>
        <w:t xml:space="preserve">důležité je přitom rovněž náležitě </w:t>
      </w:r>
      <w:r w:rsidR="00C8377B" w:rsidRPr="00096052">
        <w:rPr>
          <w:lang w:val="cs-CZ"/>
        </w:rPr>
        <w:t>přihlížet</w:t>
      </w:r>
      <w:r w:rsidRPr="00096052">
        <w:rPr>
          <w:lang w:val="cs-CZ"/>
        </w:rPr>
        <w:t xml:space="preserve"> </w:t>
      </w:r>
      <w:r w:rsidR="00DA2199" w:rsidRPr="00096052">
        <w:rPr>
          <w:lang w:val="cs-CZ"/>
        </w:rPr>
        <w:t>k</w:t>
      </w:r>
      <w:r w:rsidR="00DA2199">
        <w:rPr>
          <w:lang w:val="cs-CZ"/>
        </w:rPr>
        <w:t> </w:t>
      </w:r>
      <w:r w:rsidRPr="00096052">
        <w:rPr>
          <w:lang w:val="cs-CZ"/>
        </w:rPr>
        <w:t>dodatečným nákladům obsluhy dluhu (</w:t>
      </w:r>
      <w:r w:rsidR="00DA2199" w:rsidRPr="00096052">
        <w:rPr>
          <w:lang w:val="cs-CZ"/>
        </w:rPr>
        <w:t>a</w:t>
      </w:r>
      <w:r w:rsidR="00DA2199">
        <w:rPr>
          <w:lang w:val="cs-CZ"/>
        </w:rPr>
        <w:t> </w:t>
      </w:r>
      <w:r w:rsidRPr="00096052">
        <w:rPr>
          <w:lang w:val="cs-CZ"/>
        </w:rPr>
        <w:t xml:space="preserve">souvisejícímu distorznímu zdanění) </w:t>
      </w:r>
      <w:r w:rsidR="00DA2199" w:rsidRPr="00096052">
        <w:rPr>
          <w:lang w:val="cs-CZ"/>
        </w:rPr>
        <w:t>z</w:t>
      </w:r>
      <w:r w:rsidR="00DA2199">
        <w:rPr>
          <w:lang w:val="cs-CZ"/>
        </w:rPr>
        <w:t> </w:t>
      </w:r>
      <w:r w:rsidRPr="00096052">
        <w:rPr>
          <w:lang w:val="cs-CZ"/>
        </w:rPr>
        <w:t>výsledné akumulace veřejného dluhu, které snižují výnosnost veřejných investic.</w:t>
      </w:r>
    </w:p>
    <w:p w14:paraId="671B54EC" w14:textId="7486DB39" w:rsidR="00245CC7" w:rsidRPr="00096052" w:rsidRDefault="00245CC7" w:rsidP="00230367">
      <w:pPr>
        <w:rPr>
          <w:lang w:val="cs-CZ"/>
        </w:rPr>
      </w:pPr>
      <w:r w:rsidRPr="00096052">
        <w:rPr>
          <w:lang w:val="cs-CZ"/>
        </w:rPr>
        <w:t xml:space="preserve">Krátkodobý </w:t>
      </w:r>
      <w:r w:rsidR="00DA2199" w:rsidRPr="00096052">
        <w:rPr>
          <w:lang w:val="cs-CZ"/>
        </w:rPr>
        <w:t>a</w:t>
      </w:r>
      <w:r w:rsidR="00DA2199">
        <w:rPr>
          <w:lang w:val="cs-CZ"/>
        </w:rPr>
        <w:t> </w:t>
      </w:r>
      <w:r w:rsidRPr="00096052">
        <w:rPr>
          <w:lang w:val="cs-CZ"/>
        </w:rPr>
        <w:t xml:space="preserve">dlouhodobý vliv relativní výše dluhu na hospodářský růst podrobili svému bádání Gómez-Puig </w:t>
      </w:r>
      <w:r w:rsidR="00DA2199" w:rsidRPr="00096052">
        <w:rPr>
          <w:lang w:val="cs-CZ"/>
        </w:rPr>
        <w:t>a</w:t>
      </w:r>
      <w:r w:rsidR="00DA2199">
        <w:rPr>
          <w:lang w:val="cs-CZ"/>
        </w:rPr>
        <w:t> </w:t>
      </w:r>
      <w:r w:rsidRPr="00096052">
        <w:rPr>
          <w:lang w:val="cs-CZ"/>
        </w:rPr>
        <w:t>Sosvilla-Rivero.</w:t>
      </w:r>
      <w:r w:rsidRPr="0045534A">
        <w:rPr>
          <w:rStyle w:val="StylZnakapoznpodarouLatinkaArial"/>
        </w:rPr>
        <w:footnoteReference w:id="59"/>
      </w:r>
      <w:r w:rsidRPr="00096052">
        <w:rPr>
          <w:lang w:val="cs-CZ"/>
        </w:rPr>
        <w:t xml:space="preserve"> Ve svém příspěvku využili analýzy časových řad </w:t>
      </w:r>
      <w:r w:rsidR="00DA2199" w:rsidRPr="00096052">
        <w:rPr>
          <w:lang w:val="cs-CZ"/>
        </w:rPr>
        <w:t>a</w:t>
      </w:r>
      <w:r w:rsidR="00DA2199">
        <w:rPr>
          <w:lang w:val="cs-CZ"/>
        </w:rPr>
        <w:t> </w:t>
      </w:r>
      <w:r w:rsidRPr="00096052">
        <w:rPr>
          <w:lang w:val="cs-CZ"/>
        </w:rPr>
        <w:t xml:space="preserve">za pomocí autoregresního modelu rozložených časových zpoždění (ARDL) zanalyzovali údaje pro 11 </w:t>
      </w:r>
      <w:r w:rsidRPr="00096052">
        <w:rPr>
          <w:lang w:val="cs-CZ"/>
        </w:rPr>
        <w:lastRenderedPageBreak/>
        <w:t xml:space="preserve">členských států eurozóny za roky 1961–2013. Zjistili, že pozitivní vliv dluhu na výstup ekonomiky se pravděpodobně projeví spíše v krátkém období, na druhé straně v dlouhém období empirické zkoumání ukázalo vliv negativní – vysoký veřejný dluh má tendenci brzdit růst tím, že zvyšuje nejistotu ohledně budoucího zdanění, </w:t>
      </w:r>
      <w:r w:rsidR="00C8377B" w:rsidRPr="00096052">
        <w:rPr>
          <w:lang w:val="cs-CZ"/>
        </w:rPr>
        <w:t>vytěsňuje</w:t>
      </w:r>
      <w:r w:rsidRPr="00096052">
        <w:rPr>
          <w:lang w:val="cs-CZ"/>
        </w:rPr>
        <w:t xml:space="preserve"> soukromé investice </w:t>
      </w:r>
      <w:r w:rsidR="00DA2199" w:rsidRPr="00096052">
        <w:rPr>
          <w:lang w:val="cs-CZ"/>
        </w:rPr>
        <w:t>a</w:t>
      </w:r>
      <w:r w:rsidR="00DA2199">
        <w:rPr>
          <w:lang w:val="cs-CZ"/>
        </w:rPr>
        <w:t> </w:t>
      </w:r>
      <w:r w:rsidRPr="00096052">
        <w:rPr>
          <w:lang w:val="cs-CZ"/>
        </w:rPr>
        <w:t xml:space="preserve">oslabuje odolnost ekonomiky vůči šokům. Současně však text upozornil, že zvýšení veřejného dluhu může mít krátkodobý pozitivní efekt díky zvýšení produkční kapacity ekonomiky </w:t>
      </w:r>
      <w:r w:rsidR="00DA2199" w:rsidRPr="00096052">
        <w:rPr>
          <w:lang w:val="cs-CZ"/>
        </w:rPr>
        <w:t>a</w:t>
      </w:r>
      <w:r w:rsidR="00DA2199">
        <w:rPr>
          <w:lang w:val="cs-CZ"/>
        </w:rPr>
        <w:t> </w:t>
      </w:r>
      <w:r w:rsidRPr="00096052">
        <w:rPr>
          <w:lang w:val="cs-CZ"/>
        </w:rPr>
        <w:t xml:space="preserve">zlepšení efektivity, </w:t>
      </w:r>
      <w:r w:rsidR="00DA2199" w:rsidRPr="00096052">
        <w:rPr>
          <w:lang w:val="cs-CZ"/>
        </w:rPr>
        <w:t>a</w:t>
      </w:r>
      <w:r w:rsidR="00DA2199">
        <w:rPr>
          <w:lang w:val="cs-CZ"/>
        </w:rPr>
        <w:t> </w:t>
      </w:r>
      <w:r w:rsidRPr="00096052">
        <w:rPr>
          <w:lang w:val="cs-CZ"/>
        </w:rPr>
        <w:t xml:space="preserve">to </w:t>
      </w:r>
      <w:r w:rsidR="00DA2199" w:rsidRPr="00096052">
        <w:rPr>
          <w:lang w:val="cs-CZ"/>
        </w:rPr>
        <w:t>v</w:t>
      </w:r>
      <w:r w:rsidR="00DA2199">
        <w:rPr>
          <w:lang w:val="cs-CZ"/>
        </w:rPr>
        <w:t> </w:t>
      </w:r>
      <w:r w:rsidRPr="00096052">
        <w:rPr>
          <w:lang w:val="cs-CZ"/>
        </w:rPr>
        <w:t xml:space="preserve">závislosti na charakteru dané země </w:t>
      </w:r>
      <w:r w:rsidR="00DA2199" w:rsidRPr="00096052">
        <w:rPr>
          <w:lang w:val="cs-CZ"/>
        </w:rPr>
        <w:t>a</w:t>
      </w:r>
      <w:r w:rsidR="00DA2199">
        <w:rPr>
          <w:lang w:val="cs-CZ"/>
        </w:rPr>
        <w:t> </w:t>
      </w:r>
      <w:r w:rsidRPr="00096052">
        <w:rPr>
          <w:lang w:val="cs-CZ"/>
        </w:rPr>
        <w:t xml:space="preserve">konečné alokaci veřejného dluhu. Ve všech případech je pozitivní vztah mezi nárůstem dluhu </w:t>
      </w:r>
      <w:r w:rsidR="00DA2199" w:rsidRPr="00096052">
        <w:rPr>
          <w:lang w:val="cs-CZ"/>
        </w:rPr>
        <w:t>a</w:t>
      </w:r>
      <w:r w:rsidR="00DA2199">
        <w:rPr>
          <w:lang w:val="cs-CZ"/>
        </w:rPr>
        <w:t> </w:t>
      </w:r>
      <w:r w:rsidRPr="00096052">
        <w:rPr>
          <w:lang w:val="cs-CZ"/>
        </w:rPr>
        <w:t>ekonomickým růstem nalezen, když je úroveň zadlužení buď nízká, nebo střední. Autoři zároveň dodali, že není možné stanovit jedinou hraniční úroveň zadlužení, neboť se pro jednotlivé státy značně liší (od poměru 35 % úrovně dluhu k HDP ve Finsku po 100 % v Itálii či Řecku); navíc se také státy liší velikostí krátkodobého efektu dluhu na HDP.</w:t>
      </w:r>
    </w:p>
    <w:p w14:paraId="1E95DDA1" w14:textId="3ECBCEB2" w:rsidR="00245CC7" w:rsidRPr="00096052" w:rsidRDefault="00245CC7" w:rsidP="00230367">
      <w:pPr>
        <w:rPr>
          <w:lang w:val="cs-CZ"/>
        </w:rPr>
      </w:pPr>
      <w:r w:rsidRPr="00096052">
        <w:rPr>
          <w:lang w:val="cs-CZ"/>
        </w:rPr>
        <w:t>Komplexní rešerši včetně vlastních kalkulací provedl Heimberger</w:t>
      </w:r>
      <w:r w:rsidRPr="00096052">
        <w:rPr>
          <w:vertAlign w:val="superscript"/>
          <w:lang w:val="cs-CZ"/>
        </w:rPr>
        <w:footnoteReference w:id="60"/>
      </w:r>
      <w:r w:rsidRPr="00096052">
        <w:rPr>
          <w:lang w:val="cs-CZ"/>
        </w:rPr>
        <w:t xml:space="preserve">. Shrnuje, že literatura částečně poukazuje na rozporuplné výsledky, </w:t>
      </w:r>
      <w:r w:rsidR="00DA2199" w:rsidRPr="00096052">
        <w:rPr>
          <w:lang w:val="cs-CZ"/>
        </w:rPr>
        <w:t>i</w:t>
      </w:r>
      <w:r w:rsidR="00DA2199">
        <w:rPr>
          <w:lang w:val="cs-CZ"/>
        </w:rPr>
        <w:t> </w:t>
      </w:r>
      <w:r w:rsidRPr="00096052">
        <w:rPr>
          <w:lang w:val="cs-CZ"/>
        </w:rPr>
        <w:t>když existuje řada studií, kter</w:t>
      </w:r>
      <w:r w:rsidR="008E7A3B" w:rsidRPr="00096052">
        <w:rPr>
          <w:lang w:val="cs-CZ"/>
        </w:rPr>
        <w:t>é</w:t>
      </w:r>
      <w:r w:rsidRPr="00096052">
        <w:rPr>
          <w:lang w:val="cs-CZ"/>
        </w:rPr>
        <w:t xml:space="preserve"> potvrdil</w:t>
      </w:r>
      <w:r w:rsidR="008E7A3B" w:rsidRPr="00096052">
        <w:rPr>
          <w:lang w:val="cs-CZ"/>
        </w:rPr>
        <w:t>y</w:t>
      </w:r>
      <w:r w:rsidRPr="00096052">
        <w:rPr>
          <w:lang w:val="cs-CZ"/>
        </w:rPr>
        <w:t xml:space="preserve"> výsledky Reinhart</w:t>
      </w:r>
      <w:r w:rsidR="008F5C84" w:rsidRPr="00096052">
        <w:rPr>
          <w:lang w:val="cs-CZ"/>
        </w:rPr>
        <w:t>ové</w:t>
      </w:r>
      <w:r w:rsidRPr="00096052">
        <w:rPr>
          <w:lang w:val="cs-CZ"/>
        </w:rPr>
        <w:t xml:space="preserve"> </w:t>
      </w:r>
      <w:r w:rsidR="00DA2199" w:rsidRPr="00096052">
        <w:rPr>
          <w:lang w:val="cs-CZ"/>
        </w:rPr>
        <w:t>a</w:t>
      </w:r>
      <w:r w:rsidR="00DA2199">
        <w:rPr>
          <w:lang w:val="cs-CZ"/>
        </w:rPr>
        <w:t> </w:t>
      </w:r>
      <w:r w:rsidRPr="00096052">
        <w:rPr>
          <w:lang w:val="cs-CZ"/>
        </w:rPr>
        <w:t xml:space="preserve">Rogoffa včetně podobných výsledků pro kritickou hodnotu veřejného zadlužení. Ve své práci aplikuje metody meta-regrese na 826 odhadů ze 48 primárních studií. Nevážený průměr uváděných výsledků naznačuje, že zvýšení </w:t>
      </w:r>
      <w:r w:rsidR="008E7A3B" w:rsidRPr="00096052">
        <w:rPr>
          <w:lang w:val="cs-CZ"/>
        </w:rPr>
        <w:t xml:space="preserve">poměru </w:t>
      </w:r>
      <w:r w:rsidRPr="00096052">
        <w:rPr>
          <w:lang w:val="cs-CZ"/>
        </w:rPr>
        <w:t xml:space="preserve">veřejného dluhu </w:t>
      </w:r>
      <w:r w:rsidR="00DA2199" w:rsidRPr="00096052">
        <w:rPr>
          <w:lang w:val="cs-CZ"/>
        </w:rPr>
        <w:t>k</w:t>
      </w:r>
      <w:r w:rsidR="00DA2199">
        <w:rPr>
          <w:lang w:val="cs-CZ"/>
        </w:rPr>
        <w:t> </w:t>
      </w:r>
      <w:r w:rsidRPr="00096052">
        <w:rPr>
          <w:lang w:val="cs-CZ"/>
        </w:rPr>
        <w:t xml:space="preserve">HDP </w:t>
      </w:r>
      <w:r w:rsidR="00DA2199" w:rsidRPr="00096052">
        <w:rPr>
          <w:lang w:val="cs-CZ"/>
        </w:rPr>
        <w:t>o</w:t>
      </w:r>
      <w:r w:rsidR="00DA2199">
        <w:rPr>
          <w:lang w:val="cs-CZ"/>
        </w:rPr>
        <w:t> </w:t>
      </w:r>
      <w:r w:rsidRPr="00096052">
        <w:rPr>
          <w:lang w:val="cs-CZ"/>
        </w:rPr>
        <w:t xml:space="preserve">10 procentních bodů je spojeno </w:t>
      </w:r>
      <w:r w:rsidR="00DA2199" w:rsidRPr="00096052">
        <w:rPr>
          <w:lang w:val="cs-CZ"/>
        </w:rPr>
        <w:t>s</w:t>
      </w:r>
      <w:r w:rsidR="00DA2199">
        <w:rPr>
          <w:lang w:val="cs-CZ"/>
        </w:rPr>
        <w:t> </w:t>
      </w:r>
      <w:r w:rsidRPr="00096052">
        <w:rPr>
          <w:lang w:val="cs-CZ"/>
        </w:rPr>
        <w:t xml:space="preserve">poklesem ročního tempa růstu </w:t>
      </w:r>
      <w:r w:rsidR="00DA2199" w:rsidRPr="00096052">
        <w:rPr>
          <w:lang w:val="cs-CZ"/>
        </w:rPr>
        <w:t>o</w:t>
      </w:r>
      <w:r w:rsidR="00DA2199">
        <w:rPr>
          <w:lang w:val="cs-CZ"/>
        </w:rPr>
        <w:t> </w:t>
      </w:r>
      <w:r w:rsidRPr="00096052">
        <w:rPr>
          <w:lang w:val="cs-CZ"/>
        </w:rPr>
        <w:t xml:space="preserve">0,14 procentního bodu </w:t>
      </w:r>
      <w:r w:rsidR="00DA2199" w:rsidRPr="00096052">
        <w:rPr>
          <w:lang w:val="cs-CZ"/>
        </w:rPr>
        <w:t>s</w:t>
      </w:r>
      <w:r w:rsidR="00DA2199">
        <w:rPr>
          <w:lang w:val="cs-CZ"/>
        </w:rPr>
        <w:t> </w:t>
      </w:r>
      <w:r w:rsidRPr="00096052">
        <w:rPr>
          <w:lang w:val="cs-CZ"/>
        </w:rPr>
        <w:t xml:space="preserve">95% intervalem spolehlivosti od 0,10 do 0,18 procentního bodu. Po očištění </w:t>
      </w:r>
      <w:r w:rsidR="00DA2199" w:rsidRPr="00096052">
        <w:rPr>
          <w:lang w:val="cs-CZ"/>
        </w:rPr>
        <w:t>o</w:t>
      </w:r>
      <w:r w:rsidR="00DA2199">
        <w:rPr>
          <w:lang w:val="cs-CZ"/>
        </w:rPr>
        <w:t> </w:t>
      </w:r>
      <w:r w:rsidRPr="00096052">
        <w:rPr>
          <w:lang w:val="cs-CZ"/>
        </w:rPr>
        <w:t xml:space="preserve">publikační zkreslení (tedy vliv statistické významnosti dosažených výsledků na jejich publikování samotnými autory nebo editory) však nemůže zamítnout nulový účinek. Při testování nelineárních účinků jeho výsledky neukazují na univerzální hranici veřejného dluhu vůči HDP, po jejímž překročení se růst zpomaluje. Odhady hranice jsou navíc citlivé na data </w:t>
      </w:r>
      <w:r w:rsidR="00DA2199" w:rsidRPr="00096052">
        <w:rPr>
          <w:lang w:val="cs-CZ"/>
        </w:rPr>
        <w:t>a</w:t>
      </w:r>
      <w:r w:rsidR="00DA2199">
        <w:rPr>
          <w:lang w:val="cs-CZ"/>
        </w:rPr>
        <w:t> </w:t>
      </w:r>
      <w:r w:rsidRPr="00096052">
        <w:rPr>
          <w:lang w:val="cs-CZ"/>
        </w:rPr>
        <w:t xml:space="preserve">ekonometrické nástroje. </w:t>
      </w:r>
    </w:p>
    <w:p w14:paraId="76643D41" w14:textId="4986BAF4" w:rsidR="00245CC7" w:rsidRPr="00096052" w:rsidRDefault="00245CC7" w:rsidP="00230367">
      <w:pPr>
        <w:rPr>
          <w:lang w:val="cs-CZ"/>
        </w:rPr>
      </w:pPr>
      <w:r w:rsidRPr="00096052">
        <w:rPr>
          <w:lang w:val="cs-CZ"/>
        </w:rPr>
        <w:t xml:space="preserve">Mezi nejnovější tematicky zaměřené studie náleží </w:t>
      </w:r>
      <w:r w:rsidR="00DA2199" w:rsidRPr="00096052">
        <w:rPr>
          <w:lang w:val="cs-CZ"/>
        </w:rPr>
        <w:t>i</w:t>
      </w:r>
      <w:r w:rsidR="00DA2199">
        <w:rPr>
          <w:lang w:val="cs-CZ"/>
        </w:rPr>
        <w:t> </w:t>
      </w:r>
      <w:r w:rsidRPr="00096052">
        <w:rPr>
          <w:lang w:val="cs-CZ"/>
        </w:rPr>
        <w:t xml:space="preserve">práce odborníků Mezinárodního měnového fondu Jallese </w:t>
      </w:r>
      <w:r w:rsidR="00DA2199" w:rsidRPr="00096052">
        <w:rPr>
          <w:lang w:val="cs-CZ"/>
        </w:rPr>
        <w:t>a</w:t>
      </w:r>
      <w:r w:rsidR="00DA2199">
        <w:rPr>
          <w:lang w:val="cs-CZ"/>
        </w:rPr>
        <w:t> </w:t>
      </w:r>
      <w:r w:rsidRPr="00096052">
        <w:rPr>
          <w:lang w:val="cs-CZ"/>
        </w:rPr>
        <w:t>Medase</w:t>
      </w:r>
      <w:r w:rsidRPr="0045534A">
        <w:rPr>
          <w:rStyle w:val="StylZnakapoznpodarouLatinkaArial"/>
        </w:rPr>
        <w:footnoteReference w:id="61"/>
      </w:r>
      <w:r w:rsidRPr="00096052">
        <w:rPr>
          <w:lang w:val="cs-CZ"/>
        </w:rPr>
        <w:t xml:space="preserve"> z roku 2022. Jejich příspěvek si klade otázku, co se stane </w:t>
      </w:r>
      <w:r w:rsidR="00DA2199" w:rsidRPr="00096052">
        <w:rPr>
          <w:lang w:val="cs-CZ"/>
        </w:rPr>
        <w:t>s</w:t>
      </w:r>
      <w:r w:rsidR="00DA2199">
        <w:rPr>
          <w:lang w:val="cs-CZ"/>
        </w:rPr>
        <w:t> </w:t>
      </w:r>
      <w:r w:rsidRPr="00096052">
        <w:rPr>
          <w:lang w:val="cs-CZ"/>
        </w:rPr>
        <w:t xml:space="preserve">ekonomickým růstem po prudkém zvýšení dluhu. Pro zjištění odpovědi na tuto otázku autoři použili metodu lokální projekce na soubor údajů </w:t>
      </w:r>
      <w:r w:rsidR="00DA2199" w:rsidRPr="00096052">
        <w:rPr>
          <w:lang w:val="cs-CZ"/>
        </w:rPr>
        <w:t>o</w:t>
      </w:r>
      <w:r w:rsidR="00DA2199">
        <w:rPr>
          <w:lang w:val="cs-CZ"/>
        </w:rPr>
        <w:t> </w:t>
      </w:r>
      <w:r w:rsidRPr="00096052">
        <w:rPr>
          <w:lang w:val="cs-CZ"/>
        </w:rPr>
        <w:t xml:space="preserve">nárůstu dluhu ve 190 zemích </w:t>
      </w:r>
      <w:r w:rsidR="00DA2199" w:rsidRPr="00096052">
        <w:rPr>
          <w:lang w:val="cs-CZ"/>
        </w:rPr>
        <w:t>v</w:t>
      </w:r>
      <w:r w:rsidR="00DA2199">
        <w:rPr>
          <w:lang w:val="cs-CZ"/>
        </w:rPr>
        <w:t> </w:t>
      </w:r>
      <w:r w:rsidRPr="00096052">
        <w:rPr>
          <w:lang w:val="cs-CZ"/>
        </w:rPr>
        <w:t xml:space="preserve">letech 1970–2020. Prudké zadlužení bývá obvykle následováno slabším ekonomickým růstem </w:t>
      </w:r>
      <w:r w:rsidR="00DA2199" w:rsidRPr="00096052">
        <w:rPr>
          <w:lang w:val="cs-CZ"/>
        </w:rPr>
        <w:t>a</w:t>
      </w:r>
      <w:r w:rsidR="00DA2199">
        <w:rPr>
          <w:lang w:val="cs-CZ"/>
        </w:rPr>
        <w:t> </w:t>
      </w:r>
      <w:r w:rsidRPr="00096052">
        <w:rPr>
          <w:lang w:val="cs-CZ"/>
        </w:rPr>
        <w:t>trvale nižším výkonem, avšak ne nutně tento negativní vztah musí platit vždy. Strmý nárůst veřejného dluhu má většinou negativní dopad na budoucí vyhlídky růstu, což platí zejména v případě ekonomik s již tak velkou kladnou produkční mezerou</w:t>
      </w:r>
      <w:r w:rsidR="00C67B17">
        <w:rPr>
          <w:lang w:val="cs-CZ"/>
        </w:rPr>
        <w:t xml:space="preserve"> (resp. nízkým potenciálním růstem)</w:t>
      </w:r>
      <w:r w:rsidRPr="00096052">
        <w:rPr>
          <w:lang w:val="cs-CZ"/>
        </w:rPr>
        <w:t xml:space="preserve">. Prudké zvýšení dluhu má také tendenci být následováno slabším ekonomickým růstem, pokud jsou počáteční úrovně dluhu vysoké, </w:t>
      </w:r>
      <w:r w:rsidR="00526BF1">
        <w:rPr>
          <w:lang w:val="cs-CZ"/>
        </w:rPr>
        <w:t>především</w:t>
      </w:r>
      <w:r w:rsidRPr="00096052">
        <w:rPr>
          <w:lang w:val="cs-CZ"/>
        </w:rPr>
        <w:t xml:space="preserve"> </w:t>
      </w:r>
      <w:r w:rsidR="00DA2199" w:rsidRPr="00096052">
        <w:rPr>
          <w:lang w:val="cs-CZ"/>
        </w:rPr>
        <w:t>v</w:t>
      </w:r>
      <w:r w:rsidR="00DA2199">
        <w:rPr>
          <w:lang w:val="cs-CZ"/>
        </w:rPr>
        <w:t> </w:t>
      </w:r>
      <w:r w:rsidRPr="00096052">
        <w:rPr>
          <w:lang w:val="cs-CZ"/>
        </w:rPr>
        <w:t xml:space="preserve">případě nárůstu dluhu soukromého sektoru. Nárůst veřejného dluhu je spojen zejména se slabšími soukromými </w:t>
      </w:r>
      <w:r w:rsidR="00DA2199" w:rsidRPr="00096052">
        <w:rPr>
          <w:lang w:val="cs-CZ"/>
        </w:rPr>
        <w:t>a</w:t>
      </w:r>
      <w:r w:rsidR="00DA2199">
        <w:rPr>
          <w:lang w:val="cs-CZ"/>
        </w:rPr>
        <w:t> </w:t>
      </w:r>
      <w:r w:rsidRPr="00096052">
        <w:rPr>
          <w:lang w:val="cs-CZ"/>
        </w:rPr>
        <w:t xml:space="preserve">veřejnými investicemi, negativní dopady dále pociťuje jak soukromá, tak </w:t>
      </w:r>
      <w:r w:rsidR="00DA2199" w:rsidRPr="00096052">
        <w:rPr>
          <w:lang w:val="cs-CZ"/>
        </w:rPr>
        <w:t>i</w:t>
      </w:r>
      <w:r w:rsidR="00DA2199">
        <w:rPr>
          <w:lang w:val="cs-CZ"/>
        </w:rPr>
        <w:t> </w:t>
      </w:r>
      <w:r w:rsidRPr="00096052">
        <w:rPr>
          <w:lang w:val="cs-CZ"/>
        </w:rPr>
        <w:t>veřejná spotřeba.</w:t>
      </w:r>
    </w:p>
    <w:p w14:paraId="7E8EE9A9" w14:textId="1C188449" w:rsidR="00245CC7" w:rsidRPr="00096052" w:rsidRDefault="00245CC7" w:rsidP="00230367">
      <w:pPr>
        <w:rPr>
          <w:lang w:val="cs-CZ"/>
        </w:rPr>
      </w:pPr>
      <w:r w:rsidRPr="00096052">
        <w:rPr>
          <w:lang w:val="cs-CZ"/>
        </w:rPr>
        <w:t>V jiné studii z téhož roku Mezinárodní měnový fond</w:t>
      </w:r>
      <w:r w:rsidRPr="0045534A">
        <w:rPr>
          <w:rStyle w:val="StylZnakapoznpodarouLatinkaArial"/>
        </w:rPr>
        <w:footnoteReference w:id="62"/>
      </w:r>
      <w:r w:rsidRPr="00096052">
        <w:rPr>
          <w:lang w:val="cs-CZ"/>
        </w:rPr>
        <w:t xml:space="preserve"> provedl obdobnou analýzu dopadů neočekávaných změn veřejného dluhu na reálný HDP. Na datech pro 178 zemí za období 1995–2020 text dospěl </w:t>
      </w:r>
      <w:r w:rsidR="00DA2199" w:rsidRPr="00096052">
        <w:rPr>
          <w:lang w:val="cs-CZ"/>
        </w:rPr>
        <w:t>k</w:t>
      </w:r>
      <w:r w:rsidR="00DA2199">
        <w:rPr>
          <w:lang w:val="cs-CZ"/>
        </w:rPr>
        <w:t> </w:t>
      </w:r>
      <w:r w:rsidRPr="00096052">
        <w:rPr>
          <w:lang w:val="cs-CZ"/>
        </w:rPr>
        <w:t xml:space="preserve">závěru, že dopad neočekávaného zvýšení veřejného dluhu na úroveň reálného HDP je obecně negativní </w:t>
      </w:r>
      <w:r w:rsidR="00DA2199" w:rsidRPr="00096052">
        <w:rPr>
          <w:lang w:val="cs-CZ"/>
        </w:rPr>
        <w:t>a</w:t>
      </w:r>
      <w:r w:rsidR="00DA2199">
        <w:rPr>
          <w:lang w:val="cs-CZ"/>
        </w:rPr>
        <w:t> </w:t>
      </w:r>
      <w:r w:rsidRPr="00096052">
        <w:rPr>
          <w:lang w:val="cs-CZ"/>
        </w:rPr>
        <w:t xml:space="preserve">liší se </w:t>
      </w:r>
      <w:r w:rsidR="00DA2199" w:rsidRPr="00096052">
        <w:rPr>
          <w:lang w:val="cs-CZ"/>
        </w:rPr>
        <w:t>v</w:t>
      </w:r>
      <w:r w:rsidR="00DA2199">
        <w:rPr>
          <w:lang w:val="cs-CZ"/>
        </w:rPr>
        <w:t> </w:t>
      </w:r>
      <w:r w:rsidRPr="00096052">
        <w:rPr>
          <w:lang w:val="cs-CZ"/>
        </w:rPr>
        <w:t xml:space="preserve">závislosti na dalších základních charakteristikách. Konkrétně neočekávané zvýšení poměru veřejného dluhu k HDP poškozuje úroveň reálného HDP </w:t>
      </w:r>
      <w:r w:rsidR="00DA2199" w:rsidRPr="00096052">
        <w:rPr>
          <w:lang w:val="cs-CZ"/>
        </w:rPr>
        <w:t>u</w:t>
      </w:r>
      <w:r w:rsidR="00DA2199">
        <w:rPr>
          <w:lang w:val="cs-CZ"/>
        </w:rPr>
        <w:t> </w:t>
      </w:r>
      <w:r w:rsidRPr="00096052">
        <w:rPr>
          <w:lang w:val="cs-CZ"/>
        </w:rPr>
        <w:t xml:space="preserve">zemí, které již mají vysokou počáteční úroveň dluhu nebo vykazují rostoucí trajektorii </w:t>
      </w:r>
      <w:r w:rsidRPr="00096052">
        <w:rPr>
          <w:lang w:val="cs-CZ"/>
        </w:rPr>
        <w:lastRenderedPageBreak/>
        <w:t xml:space="preserve">zadlužení v průběhu předchozích pěti let. Naopak neočekávaný nárůst veřejného dluhu má pozitivní dopad na reálný HDP </w:t>
      </w:r>
      <w:r w:rsidR="00DA2199" w:rsidRPr="00096052">
        <w:rPr>
          <w:lang w:val="cs-CZ"/>
        </w:rPr>
        <w:t>u</w:t>
      </w:r>
      <w:r w:rsidR="00DA2199">
        <w:rPr>
          <w:lang w:val="cs-CZ"/>
        </w:rPr>
        <w:t> </w:t>
      </w:r>
      <w:r w:rsidRPr="00096052">
        <w:rPr>
          <w:lang w:val="cs-CZ"/>
        </w:rPr>
        <w:t>států, které náleží do skupiny nízkopříjmových zemí, případně dokončily iniciativu na odpuštění dluhu určenou pro skupinu silně zadlužených chudých zemí.</w:t>
      </w:r>
    </w:p>
    <w:p w14:paraId="5DD5ABC3" w14:textId="7E5B828F" w:rsidR="00245CC7" w:rsidRPr="00096052" w:rsidRDefault="00245CC7" w:rsidP="00230367">
      <w:pPr>
        <w:pStyle w:val="Nadpis1"/>
        <w:rPr>
          <w:rFonts w:eastAsia="MS Mincho"/>
          <w:lang w:val="cs-CZ"/>
        </w:rPr>
      </w:pPr>
      <w:bookmarkStart w:id="22" w:name="_Toc135651302"/>
      <w:r w:rsidRPr="00096052">
        <w:rPr>
          <w:rFonts w:eastAsia="MS Mincho"/>
          <w:lang w:val="cs-CZ"/>
        </w:rPr>
        <w:t>Kontakt na zpracovatele RIA</w:t>
      </w:r>
      <w:bookmarkEnd w:id="22"/>
    </w:p>
    <w:p w14:paraId="6DFA9253" w14:textId="77777777" w:rsidR="009A766E" w:rsidRPr="009A766E" w:rsidRDefault="009A766E" w:rsidP="009A766E">
      <w:pPr>
        <w:rPr>
          <w:b/>
          <w:lang w:val="cs-CZ"/>
        </w:rPr>
      </w:pPr>
      <w:r w:rsidRPr="009A766E">
        <w:rPr>
          <w:b/>
          <w:lang w:val="cs-CZ"/>
        </w:rPr>
        <w:t xml:space="preserve">Ing. </w:t>
      </w:r>
      <w:r w:rsidR="00245CC7" w:rsidRPr="009A766E">
        <w:rPr>
          <w:b/>
          <w:lang w:val="cs-CZ"/>
        </w:rPr>
        <w:t>Jindřich Marval</w:t>
      </w:r>
      <w:r w:rsidRPr="009A766E">
        <w:rPr>
          <w:b/>
          <w:lang w:val="cs-CZ"/>
        </w:rPr>
        <w:t>, Ph.D.</w:t>
      </w:r>
    </w:p>
    <w:p w14:paraId="4CF5ADE7" w14:textId="7BC9459B" w:rsidR="009A766E" w:rsidRDefault="009A766E" w:rsidP="009A766E">
      <w:pPr>
        <w:rPr>
          <w:lang w:val="cs-CZ"/>
        </w:rPr>
      </w:pPr>
      <w:r>
        <w:rPr>
          <w:lang w:val="cs-CZ"/>
        </w:rPr>
        <w:t>Ministerstvo financí, odbor Hospodářská politika</w:t>
      </w:r>
    </w:p>
    <w:p w14:paraId="64E6F366" w14:textId="2225F86C" w:rsidR="009A766E" w:rsidRDefault="009A766E" w:rsidP="009A766E">
      <w:pPr>
        <w:rPr>
          <w:lang w:val="cs-CZ"/>
        </w:rPr>
      </w:pPr>
      <w:r>
        <w:rPr>
          <w:lang w:val="cs-CZ"/>
        </w:rPr>
        <w:t>tel.: +420 257 042 973</w:t>
      </w:r>
    </w:p>
    <w:p w14:paraId="39EF8871" w14:textId="1793C1A4" w:rsidR="002240C3" w:rsidRPr="00230367" w:rsidRDefault="009A766E" w:rsidP="009A766E">
      <w:pPr>
        <w:rPr>
          <w:lang w:val="cs-CZ"/>
        </w:rPr>
      </w:pPr>
      <w:r>
        <w:rPr>
          <w:lang w:val="cs-CZ"/>
        </w:rPr>
        <w:t>e-mail: jindrich.marval@mfcr.cz</w:t>
      </w:r>
    </w:p>
    <w:sectPr w:rsidR="002240C3" w:rsidRPr="00230367" w:rsidSect="00F87BC8">
      <w:headerReference w:type="first" r:id="rId1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29D2" w16cex:dateUtc="2023-05-13T13:22:00Z"/>
  <w16cex:commentExtensible w16cex:durableId="280A30DC" w16cex:dateUtc="2023-05-13T13:53:00Z"/>
  <w16cex:commentExtensible w16cex:durableId="280A2EED" w16cex:dateUtc="2023-05-13T13:44:00Z"/>
  <w16cex:commentExtensible w16cex:durableId="280A2F32" w16cex:dateUtc="2023-05-13T13:45:00Z"/>
  <w16cex:commentExtensible w16cex:durableId="280A31A2" w16cex:dateUtc="2023-05-13T13:56:00Z"/>
  <w16cex:commentExtensible w16cex:durableId="280A3202" w16cex:dateUtc="2023-05-13T13:57:00Z"/>
  <w16cex:commentExtensible w16cex:durableId="280A2F6B" w16cex:dateUtc="2023-05-13T13:46:00Z"/>
  <w16cex:commentExtensible w16cex:durableId="280A32A3" w16cex:dateUtc="2023-05-13T14:00:00Z"/>
  <w16cex:commentExtensible w16cex:durableId="280A34D2" w16cex:dateUtc="2023-05-13T14:09:00Z"/>
  <w16cex:commentExtensible w16cex:durableId="280A39BC" w16cex:dateUtc="2023-05-13T14:30:00Z"/>
  <w16cex:commentExtensible w16cex:durableId="280A3AB6" w16cex:dateUtc="2023-05-13T14:35:00Z"/>
  <w16cex:commentExtensible w16cex:durableId="280A3C30" w16cex:dateUtc="2023-05-13T14:41:00Z"/>
  <w16cex:commentExtensible w16cex:durableId="280A3E9B" w16cex:dateUtc="2023-05-13T14:51:00Z"/>
  <w16cex:commentExtensible w16cex:durableId="280A4086" w16cex:dateUtc="2023-05-13T14:59:00Z"/>
  <w16cex:commentExtensible w16cex:durableId="280A427A" w16cex:dateUtc="2023-05-13T15:08:00Z"/>
  <w16cex:commentExtensible w16cex:durableId="280A4153" w16cex:dateUtc="2023-05-13T15:03:00Z"/>
  <w16cex:commentExtensible w16cex:durableId="280A4375" w16cex:dateUtc="2023-05-13T15:12:00Z"/>
  <w16cex:commentExtensible w16cex:durableId="280CC07B" w16cex:dateUtc="2023-05-15T12:30:00Z"/>
  <w16cex:commentExtensible w16cex:durableId="280CC0E4" w16cex:dateUtc="2023-05-15T12:32:00Z"/>
  <w16cex:commentExtensible w16cex:durableId="280A4499" w16cex:dateUtc="2023-05-13T15:17:00Z"/>
  <w16cex:commentExtensible w16cex:durableId="280CC2C2" w16cex:dateUtc="2023-05-15T12:40:00Z"/>
  <w16cex:commentExtensible w16cex:durableId="280A4C43" w16cex:dateUtc="2023-05-13T15:49:00Z"/>
  <w16cex:commentExtensible w16cex:durableId="280A4F3D" w16cex:dateUtc="2023-05-13T16:02:00Z"/>
  <w16cex:commentExtensible w16cex:durableId="280C69E7" w16cex:dateUtc="2023-05-15T06:20:00Z"/>
  <w16cex:commentExtensible w16cex:durableId="280CC953" w16cex:dateUtc="2023-05-15T13:08:00Z"/>
  <w16cex:commentExtensible w16cex:durableId="280CCABF" w16cex:dateUtc="2023-05-15T13:14:00Z"/>
  <w16cex:commentExtensible w16cex:durableId="280CCB28" w16cex:dateUtc="2023-05-15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F660D" w16cid:durableId="280A29D2"/>
  <w16cid:commentId w16cid:paraId="7C7B7D2A" w16cid:durableId="280A30DC"/>
  <w16cid:commentId w16cid:paraId="6B9CCFDB" w16cid:durableId="280A2EED"/>
  <w16cid:commentId w16cid:paraId="230448F7" w16cid:durableId="280A2F32"/>
  <w16cid:commentId w16cid:paraId="6F277D52" w16cid:durableId="280A31A2"/>
  <w16cid:commentId w16cid:paraId="1B7C0F7A" w16cid:durableId="280A3202"/>
  <w16cid:commentId w16cid:paraId="610BD771" w16cid:durableId="280A2F6B"/>
  <w16cid:commentId w16cid:paraId="6A894CDF" w16cid:durableId="280A32A3"/>
  <w16cid:commentId w16cid:paraId="40FBB32F" w16cid:durableId="280A34D2"/>
  <w16cid:commentId w16cid:paraId="6E4EA49C" w16cid:durableId="280A39BC"/>
  <w16cid:commentId w16cid:paraId="2FE1E464" w16cid:durableId="280A3AB6"/>
  <w16cid:commentId w16cid:paraId="46268102" w16cid:durableId="280A3C30"/>
  <w16cid:commentId w16cid:paraId="029FC92D" w16cid:durableId="280A3E9B"/>
  <w16cid:commentId w16cid:paraId="49C4DE11" w16cid:durableId="280A4086"/>
  <w16cid:commentId w16cid:paraId="0A4CB463" w16cid:durableId="280A427A"/>
  <w16cid:commentId w16cid:paraId="0CC3D65C" w16cid:durableId="280A4153"/>
  <w16cid:commentId w16cid:paraId="066D0D8F" w16cid:durableId="280A4375"/>
  <w16cid:commentId w16cid:paraId="595A71A2" w16cid:durableId="280CC07B"/>
  <w16cid:commentId w16cid:paraId="7652CD0E" w16cid:durableId="280CC0E4"/>
  <w16cid:commentId w16cid:paraId="175694D6" w16cid:durableId="280A4499"/>
  <w16cid:commentId w16cid:paraId="49E620E0" w16cid:durableId="280CB04C"/>
  <w16cid:commentId w16cid:paraId="5B5B6530" w16cid:durableId="280CB04D"/>
  <w16cid:commentId w16cid:paraId="1CF74801" w16cid:durableId="280CB04E"/>
  <w16cid:commentId w16cid:paraId="70A223E6" w16cid:durableId="280CC2C2"/>
  <w16cid:commentId w16cid:paraId="43BC7E98" w16cid:durableId="280A4C43"/>
  <w16cid:commentId w16cid:paraId="5FFF6F1B" w16cid:durableId="280A4F3D"/>
  <w16cid:commentId w16cid:paraId="64A7E9A3" w16cid:durableId="280C69E7"/>
  <w16cid:commentId w16cid:paraId="4483A758" w16cid:durableId="280CC953"/>
  <w16cid:commentId w16cid:paraId="37169F1B" w16cid:durableId="280CCABF"/>
  <w16cid:commentId w16cid:paraId="065884A7" w16cid:durableId="280CC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32C0" w14:textId="77777777" w:rsidR="00230367" w:rsidRDefault="00230367" w:rsidP="0072654E">
      <w:r>
        <w:separator/>
      </w:r>
    </w:p>
  </w:endnote>
  <w:endnote w:type="continuationSeparator" w:id="0">
    <w:p w14:paraId="73CA14F4" w14:textId="77777777" w:rsidR="00230367" w:rsidRDefault="00230367" w:rsidP="0072654E">
      <w:r>
        <w:continuationSeparator/>
      </w:r>
    </w:p>
  </w:endnote>
  <w:endnote w:type="continuationNotice" w:id="1">
    <w:p w14:paraId="5E105362" w14:textId="77777777" w:rsidR="00230367" w:rsidRDefault="00230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E32F" w14:textId="77777777" w:rsidR="00230367" w:rsidRDefault="00230367" w:rsidP="0072654E">
      <w:r>
        <w:separator/>
      </w:r>
    </w:p>
  </w:footnote>
  <w:footnote w:type="continuationSeparator" w:id="0">
    <w:p w14:paraId="767AF190" w14:textId="77777777" w:rsidR="00230367" w:rsidRDefault="00230367" w:rsidP="0072654E">
      <w:r>
        <w:continuationSeparator/>
      </w:r>
    </w:p>
  </w:footnote>
  <w:footnote w:type="continuationNotice" w:id="1">
    <w:p w14:paraId="326D1314" w14:textId="77777777" w:rsidR="00230367" w:rsidRDefault="00230367"/>
  </w:footnote>
  <w:footnote w:id="2">
    <w:p w14:paraId="091DE69B" w14:textId="77777777" w:rsidR="00230367" w:rsidRPr="002F0D7D" w:rsidRDefault="00230367" w:rsidP="0086395D">
      <w:pPr>
        <w:pStyle w:val="Textpoznpodarou"/>
      </w:pPr>
      <w:r w:rsidRPr="002F0D7D">
        <w:rPr>
          <w:rStyle w:val="Znakapoznpodarou"/>
        </w:rPr>
        <w:footnoteRef/>
      </w:r>
      <w:r w:rsidRPr="002F0D7D">
        <w:t xml:space="preserve"> Nařízení Rady (ES) č. 1466/97 o posílení dohledu nad stavy rozpočtů a nad hospodářskými politikami a o posílení koordinace hospodářských politik</w:t>
      </w:r>
    </w:p>
  </w:footnote>
  <w:footnote w:id="3">
    <w:p w14:paraId="5B24818D" w14:textId="740DCCDB" w:rsidR="00230367" w:rsidRPr="00096052" w:rsidRDefault="00230367" w:rsidP="0086395D">
      <w:pPr>
        <w:pStyle w:val="Textpoznpodarou"/>
      </w:pPr>
      <w:r w:rsidRPr="00096052">
        <w:rPr>
          <w:rStyle w:val="Znakapoznpodarou"/>
        </w:rPr>
        <w:footnoteRef/>
      </w:r>
      <w:r w:rsidRPr="00096052">
        <w:t xml:space="preserve"> Všeobecnou únikovou klauzuli aktivovala Evropská komise pro roky 2020 až 2023, aby umožnila členským státům flexibilně reagovat na pandemickou a posléze energetickou krizi. Klauzule umožňuje odchýlení od střednědobého rozpočtové</w:t>
      </w:r>
      <w:r w:rsidR="00122A5A">
        <w:t>ho</w:t>
      </w:r>
      <w:r w:rsidRPr="00096052">
        <w:t xml:space="preserve"> cíle za předpokladu, že nedojde k ohrožení střednědobé udržitelnosti veřejných financí. Její ukončení pak znamená nutnost návratu ke střednědobému rozpočtovému cíli.</w:t>
      </w:r>
    </w:p>
  </w:footnote>
  <w:footnote w:id="4">
    <w:p w14:paraId="228AF5BC" w14:textId="77777777" w:rsidR="00230367" w:rsidRPr="00096052" w:rsidRDefault="00230367" w:rsidP="0086395D">
      <w:pPr>
        <w:pStyle w:val="Textpoznpodarou"/>
      </w:pPr>
      <w:r w:rsidRPr="00096052">
        <w:rPr>
          <w:rStyle w:val="Znakapoznpodarou"/>
        </w:rPr>
        <w:footnoteRef/>
      </w:r>
      <w:r w:rsidRPr="00096052">
        <w:t xml:space="preserve"> The 2021 Ageing Report: Economic and Budgetary Projections for the EU Member States (2019-2070). </w:t>
      </w:r>
      <w:r w:rsidRPr="001741CC">
        <w:rPr>
          <w:lang w:val="en-US"/>
        </w:rPr>
        <w:t xml:space="preserve">Institutional Paper 148. Květen 2021. </w:t>
      </w:r>
      <w:r w:rsidRPr="00096052">
        <w:t>Brusel.</w:t>
      </w:r>
    </w:p>
  </w:footnote>
  <w:footnote w:id="5">
    <w:p w14:paraId="4801FC45" w14:textId="77777777" w:rsidR="00230367" w:rsidRPr="00096052" w:rsidRDefault="00230367">
      <w:pPr>
        <w:pStyle w:val="Textpoznpodarou"/>
      </w:pPr>
      <w:r w:rsidRPr="00096052">
        <w:rPr>
          <w:rStyle w:val="Znakapoznpodarou"/>
        </w:rPr>
        <w:footnoteRef/>
      </w:r>
      <w:r w:rsidRPr="00096052">
        <w:t xml:space="preserve"> Debt Sustainability Monitor 2022. Institutional Paper 199. Duben 2023. Brusel.</w:t>
      </w:r>
    </w:p>
  </w:footnote>
  <w:footnote w:id="6">
    <w:p w14:paraId="0F37CE24" w14:textId="77777777" w:rsidR="00230367" w:rsidRPr="00096052" w:rsidRDefault="00230367" w:rsidP="003810C8">
      <w:pPr>
        <w:pStyle w:val="Textpoznpodarou"/>
      </w:pPr>
      <w:r w:rsidRPr="00096052">
        <w:rPr>
          <w:rStyle w:val="Znakapoznpodarou"/>
        </w:rPr>
        <w:footnoteRef/>
      </w:r>
      <w:r w:rsidRPr="00096052">
        <w:t xml:space="preserve"> Agentura S&amp;P počítá s dluhem sektoru vládních institucí na konci predikčního horizontu v roce 2022 na hodnotě 41,5 % HDP.</w:t>
      </w:r>
    </w:p>
  </w:footnote>
  <w:footnote w:id="7">
    <w:p w14:paraId="6AEC0435" w14:textId="77777777" w:rsidR="00230367" w:rsidRPr="00096052" w:rsidRDefault="00230367">
      <w:pPr>
        <w:pStyle w:val="Textpoznpodarou"/>
      </w:pPr>
      <w:r w:rsidRPr="00096052">
        <w:rPr>
          <w:rStyle w:val="Znakapoznpodarou"/>
        </w:rPr>
        <w:footnoteRef/>
      </w:r>
      <w:r w:rsidRPr="00096052">
        <w:t xml:space="preserve"> Agentura predikuje hodnoty dluhu do roku 2026 mezi 42 a 44 % HDP.</w:t>
      </w:r>
    </w:p>
  </w:footnote>
  <w:footnote w:id="8">
    <w:p w14:paraId="5AB3E492" w14:textId="0C07A143" w:rsidR="00230367" w:rsidRDefault="00230367">
      <w:pPr>
        <w:pStyle w:val="Textpoznpodarou"/>
      </w:pPr>
      <w:r>
        <w:rPr>
          <w:rStyle w:val="Znakapoznpodarou"/>
        </w:rPr>
        <w:footnoteRef/>
      </w:r>
      <w:r>
        <w:t xml:space="preserve"> </w:t>
      </w:r>
      <w:r w:rsidRPr="001365CC">
        <w:rPr>
          <w:lang w:val="en-US"/>
        </w:rPr>
        <w:t>Z. Múcka, L. Odór: Optimal Sovereign Debt – Case of Slovakia, CBR Working Paper No 3/2018</w:t>
      </w:r>
    </w:p>
  </w:footnote>
  <w:footnote w:id="9">
    <w:p w14:paraId="1CF8F3EF" w14:textId="57B0B938" w:rsidR="00230367" w:rsidRDefault="00230367">
      <w:pPr>
        <w:pStyle w:val="Textpoznpodarou"/>
      </w:pPr>
      <w:r>
        <w:rPr>
          <w:rStyle w:val="Znakapoznpodarou"/>
        </w:rPr>
        <w:footnoteRef/>
      </w:r>
      <w:r>
        <w:t xml:space="preserve"> </w:t>
      </w:r>
      <w:r w:rsidRPr="00096052">
        <w:t>F.N.G. Andersson, L. Jonung: The Swedish fiscal Framework – The most successful one in the EU? 2019</w:t>
      </w:r>
    </w:p>
  </w:footnote>
  <w:footnote w:id="10">
    <w:p w14:paraId="7B6A49E1" w14:textId="77777777" w:rsidR="00230367" w:rsidRPr="00096052" w:rsidRDefault="00230367">
      <w:pPr>
        <w:pStyle w:val="Textpoznpodarou"/>
      </w:pPr>
      <w:r w:rsidRPr="00096052">
        <w:rPr>
          <w:rStyle w:val="Znakapoznpodarou"/>
        </w:rPr>
        <w:footnoteRef/>
      </w:r>
      <w:r w:rsidRPr="00096052">
        <w:t xml:space="preserve"> </w:t>
      </w:r>
      <w:hyperlink r:id="rId1" w:history="1">
        <w:r w:rsidRPr="00096052">
          <w:rPr>
            <w:rStyle w:val="Hypertextovodkaz"/>
          </w:rPr>
          <w:t>https://www.weforum.org/agenda/2023/02/imf-global-growth-forecast-inflation-cools-inflation/</w:t>
        </w:r>
      </w:hyperlink>
    </w:p>
    <w:p w14:paraId="37A13AD8" w14:textId="77777777" w:rsidR="00230367" w:rsidRPr="00096052" w:rsidRDefault="00230367">
      <w:pPr>
        <w:pStyle w:val="Textpoznpodarou"/>
      </w:pPr>
    </w:p>
  </w:footnote>
  <w:footnote w:id="11">
    <w:p w14:paraId="3F5B3EEB" w14:textId="77777777" w:rsidR="00230367" w:rsidRPr="00096052" w:rsidRDefault="00230367" w:rsidP="003810C8">
      <w:pPr>
        <w:pStyle w:val="Textpoznpodarou"/>
      </w:pPr>
      <w:r w:rsidRPr="00096052">
        <w:rPr>
          <w:rStyle w:val="Znakapoznpodarou"/>
        </w:rPr>
        <w:footnoteRef/>
      </w:r>
      <w:r w:rsidRPr="00096052">
        <w:t xml:space="preserve"> Část 7 přináší přehled řady studií, které se problematickou zabývají a dochází k tomuto závěr. Z novějších lze jmenovat např. Attinasi a Matelli, 2017, Alesina et al., 2019, Salmon a de Rugy, 2020, Stanivuk, 2020 nebo IMF World Economic Outlook, 2023.</w:t>
      </w:r>
    </w:p>
  </w:footnote>
  <w:footnote w:id="12">
    <w:p w14:paraId="2A899E08" w14:textId="51AE128D" w:rsidR="00230367" w:rsidRPr="00096052" w:rsidRDefault="00230367" w:rsidP="003810C8">
      <w:pPr>
        <w:pStyle w:val="Textpoznpodarou"/>
      </w:pPr>
      <w:r w:rsidRPr="00096052">
        <w:rPr>
          <w:rStyle w:val="Znakapoznpodarou"/>
        </w:rPr>
        <w:footnoteRef/>
      </w:r>
      <w:r w:rsidRPr="00096052">
        <w:t xml:space="preserve"> Viz např. Caner et al., 2010 nebo Jalles a Medas, 2022, mimo dalších studií uvedených v části 7.</w:t>
      </w:r>
    </w:p>
  </w:footnote>
  <w:footnote w:id="13">
    <w:p w14:paraId="7C805884" w14:textId="77777777" w:rsidR="00230367" w:rsidRPr="00096052" w:rsidRDefault="00230367" w:rsidP="003810C8">
      <w:pPr>
        <w:pStyle w:val="Textpoznpodarou"/>
      </w:pPr>
      <w:r w:rsidRPr="00096052">
        <w:rPr>
          <w:rStyle w:val="Znakapoznpodarou"/>
        </w:rPr>
        <w:footnoteRef/>
      </w:r>
      <w:r w:rsidRPr="00096052">
        <w:t xml:space="preserve"> Salmon a deRugy (2020) přináší rešerši několika studií a provádí svůj vlastní výzkum. Výsledky co do úspěšnosti se liší v přesných hodnotách, avšak ve všech citovaných studiích platí, že výdajové konsolidace jsou více zastoupeny v úspěšných konsolidacích a méně zastoupeny v těch neúspěšných.</w:t>
      </w:r>
    </w:p>
  </w:footnote>
  <w:footnote w:id="14">
    <w:p w14:paraId="62D0C852" w14:textId="77777777" w:rsidR="00230367" w:rsidRPr="00096052" w:rsidRDefault="00230367" w:rsidP="003810C8">
      <w:pPr>
        <w:pStyle w:val="Textpoznpodarou"/>
      </w:pPr>
      <w:r w:rsidRPr="00096052">
        <w:rPr>
          <w:rStyle w:val="Znakapoznpodarou"/>
        </w:rPr>
        <w:footnoteRef/>
      </w:r>
      <w:r w:rsidRPr="00096052">
        <w:t xml:space="preserve"> Viz např. Molnár, 2012, Ball et al., 2013 nebo Ciminelli et al., 2017</w:t>
      </w:r>
    </w:p>
  </w:footnote>
  <w:footnote w:id="15">
    <w:p w14:paraId="7EA1E21A" w14:textId="77777777" w:rsidR="00230367" w:rsidRPr="00096052" w:rsidRDefault="00230367" w:rsidP="003810C8">
      <w:pPr>
        <w:pStyle w:val="Textpoznpodarou"/>
      </w:pPr>
      <w:r w:rsidRPr="00096052">
        <w:rPr>
          <w:rStyle w:val="Znakapoznpodarou"/>
        </w:rPr>
        <w:footnoteRef/>
      </w:r>
      <w:r w:rsidRPr="00096052">
        <w:t xml:space="preserve"> Viz např. Tsibouris et al., 2006 nebo Molnár, 2012</w:t>
      </w:r>
    </w:p>
  </w:footnote>
  <w:footnote w:id="16">
    <w:p w14:paraId="236C0A5D" w14:textId="77777777" w:rsidR="00230367" w:rsidRPr="00096052" w:rsidRDefault="00230367" w:rsidP="003810C8">
      <w:pPr>
        <w:pStyle w:val="Textpoznpodarou"/>
      </w:pPr>
      <w:r w:rsidRPr="00096052">
        <w:rPr>
          <w:rStyle w:val="Znakapoznpodarou"/>
        </w:rPr>
        <w:footnoteRef/>
      </w:r>
      <w:r w:rsidRPr="00096052">
        <w:t xml:space="preserve"> Viz výše poznámka č. 4</w:t>
      </w:r>
    </w:p>
  </w:footnote>
  <w:footnote w:id="17">
    <w:p w14:paraId="02D662A3" w14:textId="77777777" w:rsidR="00230367" w:rsidRPr="00096052" w:rsidRDefault="00230367" w:rsidP="003810C8">
      <w:pPr>
        <w:pStyle w:val="Textpoznpodarou"/>
      </w:pPr>
      <w:r w:rsidRPr="00096052">
        <w:rPr>
          <w:rStyle w:val="Znakapoznpodarou"/>
        </w:rPr>
        <w:footnoteRef/>
      </w:r>
      <w:r w:rsidRPr="00096052">
        <w:t xml:space="preserve"> J. M. Keynes: General theory of employment, interest and money, 1936</w:t>
      </w:r>
    </w:p>
  </w:footnote>
  <w:footnote w:id="18">
    <w:p w14:paraId="7592BA50" w14:textId="77777777" w:rsidR="00230367" w:rsidRPr="00096052" w:rsidRDefault="00230367" w:rsidP="003810C8">
      <w:pPr>
        <w:pStyle w:val="Textpoznpodarou"/>
      </w:pPr>
      <w:r w:rsidRPr="00096052">
        <w:rPr>
          <w:rStyle w:val="Znakapoznpodarou"/>
        </w:rPr>
        <w:footnoteRef/>
      </w:r>
      <w:r w:rsidRPr="00096052">
        <w:t xml:space="preserve"> P. Samuelson: Economics, 1948</w:t>
      </w:r>
    </w:p>
  </w:footnote>
  <w:footnote w:id="19">
    <w:p w14:paraId="19028AA0" w14:textId="188D9B39" w:rsidR="00230367" w:rsidRPr="00096052" w:rsidRDefault="00230367" w:rsidP="003810C8">
      <w:pPr>
        <w:pStyle w:val="Textpoznpodarou"/>
      </w:pPr>
      <w:r w:rsidRPr="00096052">
        <w:rPr>
          <w:rStyle w:val="Znakapoznpodarou"/>
        </w:rPr>
        <w:footnoteRef/>
      </w:r>
      <w:r w:rsidRPr="00096052">
        <w:t xml:space="preserve"> Giavazz, F., Pagano, M.: Can severe fiscal consolidation be expansionary? Tales of two small european countries. 1990; Giavazzi, F., Pagano, M.: Non-keynesian effects of fiscal policy: More international evidence and the swedi</w:t>
      </w:r>
      <w:r>
        <w:t>s</w:t>
      </w:r>
      <w:r w:rsidRPr="00096052">
        <w:t>h experience. 1996</w:t>
      </w:r>
    </w:p>
  </w:footnote>
  <w:footnote w:id="20">
    <w:p w14:paraId="118CD466" w14:textId="77777777" w:rsidR="00230367" w:rsidRPr="00096052" w:rsidRDefault="00230367" w:rsidP="003810C8">
      <w:pPr>
        <w:pStyle w:val="Textpoznpodarou"/>
      </w:pPr>
      <w:r w:rsidRPr="00096052">
        <w:rPr>
          <w:rStyle w:val="Znakapoznpodarou"/>
        </w:rPr>
        <w:footnoteRef/>
      </w:r>
      <w:r w:rsidRPr="00096052">
        <w:t xml:space="preserve"> J. Hassler: Experiences from the Swedish Crisis in the 1990s – An Opportunity for a Complete Makeover, Intereconomics – Review of European Economic Policy, 2015: 261–265.</w:t>
      </w:r>
    </w:p>
  </w:footnote>
  <w:footnote w:id="21">
    <w:p w14:paraId="62BD1057" w14:textId="77777777" w:rsidR="00230367" w:rsidRPr="00096052" w:rsidRDefault="00230367" w:rsidP="003810C8">
      <w:pPr>
        <w:pStyle w:val="Textpoznpodarou"/>
      </w:pPr>
      <w:r w:rsidRPr="00096052">
        <w:rPr>
          <w:rStyle w:val="Znakapoznpodarou"/>
        </w:rPr>
        <w:footnoteRef/>
      </w:r>
      <w:r w:rsidRPr="00096052">
        <w:t xml:space="preserve"> J. Henriksson: Ten lessons about budget consolidation. 2007</w:t>
      </w:r>
    </w:p>
  </w:footnote>
  <w:footnote w:id="22">
    <w:p w14:paraId="0A28B7CB" w14:textId="77777777" w:rsidR="00230367" w:rsidRPr="00096052" w:rsidRDefault="00230367" w:rsidP="003810C8">
      <w:pPr>
        <w:pStyle w:val="Textpoznpodarou"/>
        <w:rPr>
          <w:rFonts w:cs="Calibri"/>
        </w:rPr>
      </w:pPr>
      <w:r w:rsidRPr="00096052">
        <w:rPr>
          <w:rStyle w:val="Znakapoznpodarou"/>
          <w:rFonts w:cs="Calibri"/>
        </w:rPr>
        <w:footnoteRef/>
      </w:r>
      <w:r w:rsidRPr="00096052">
        <w:rPr>
          <w:rFonts w:cs="Calibri"/>
        </w:rPr>
        <w:t xml:space="preserve"> A. Larsson, J. </w:t>
      </w:r>
      <w:r w:rsidRPr="00096052">
        <w:rPr>
          <w:rFonts w:eastAsia="MS Mincho" w:cs="Calibri"/>
          <w:szCs w:val="24"/>
        </w:rPr>
        <w:t>Sonnegård, The Swedish Model, The EEAG Report on the European Economy.  Munich 2012: 99–114.</w:t>
      </w:r>
    </w:p>
  </w:footnote>
  <w:footnote w:id="23">
    <w:p w14:paraId="571FA695" w14:textId="77777777" w:rsidR="00230367" w:rsidRPr="00096052" w:rsidRDefault="00230367" w:rsidP="003810C8">
      <w:pPr>
        <w:pStyle w:val="Textpoznpodarou"/>
      </w:pPr>
      <w:r w:rsidRPr="00096052">
        <w:rPr>
          <w:rStyle w:val="Znakapoznpodarou"/>
        </w:rPr>
        <w:footnoteRef/>
      </w:r>
      <w:r w:rsidRPr="00096052">
        <w:t xml:space="preserve"> F.N.G. Andersson, L. Jonung: The Swedish fiscal Framework – The most successful one in the EU? 2019</w:t>
      </w:r>
    </w:p>
  </w:footnote>
  <w:footnote w:id="24">
    <w:p w14:paraId="7446990A" w14:textId="77777777" w:rsidR="00230367" w:rsidRPr="00096052" w:rsidRDefault="00230367" w:rsidP="003810C8">
      <w:pPr>
        <w:pStyle w:val="Textpoznpodarou"/>
      </w:pPr>
      <w:r w:rsidRPr="00096052">
        <w:rPr>
          <w:rStyle w:val="Znakapoznpodarou"/>
        </w:rPr>
        <w:footnoteRef/>
      </w:r>
      <w:r w:rsidRPr="00096052">
        <w:t xml:space="preserve"> Z. Múcka, L. Odór: Optimal Sovereign Debt – Case of Slovakia, CBR Working Paper No 3/2018</w:t>
      </w:r>
    </w:p>
  </w:footnote>
  <w:footnote w:id="25">
    <w:p w14:paraId="5369F896" w14:textId="77777777" w:rsidR="00230367" w:rsidRPr="00096052" w:rsidRDefault="00230367" w:rsidP="003810C8">
      <w:pPr>
        <w:pStyle w:val="Textpoznpodarou"/>
      </w:pPr>
      <w:r w:rsidRPr="00096052">
        <w:rPr>
          <w:rStyle w:val="Znakapoznpodarou"/>
        </w:rPr>
        <w:footnoteRef/>
      </w:r>
      <w:r w:rsidRPr="00096052">
        <w:t xml:space="preserve"> Aiyagari, R. and McGrattan, E. (1998). The Optimum Quantity of Debt. Journal of Monetary</w:t>
      </w:r>
    </w:p>
    <w:p w14:paraId="23727852" w14:textId="77777777" w:rsidR="00230367" w:rsidRPr="00096052" w:rsidRDefault="00230367" w:rsidP="003810C8">
      <w:pPr>
        <w:pStyle w:val="Textpoznpodarou"/>
      </w:pPr>
      <w:r w:rsidRPr="001741CC">
        <w:t xml:space="preserve">Economics, (42):447–469; </w:t>
      </w:r>
      <w:r w:rsidRPr="00096052">
        <w:t xml:space="preserve">Chatterjee, S., Gibson, J., and Rioja, F. (2017). Optimal public debt redux. Journal of Economic </w:t>
      </w:r>
      <w:r w:rsidRPr="001741CC">
        <w:t>Dynamics and Control, 83: 162–174</w:t>
      </w:r>
    </w:p>
  </w:footnote>
  <w:footnote w:id="26">
    <w:p w14:paraId="797EB5DB" w14:textId="77777777" w:rsidR="00230367" w:rsidRPr="00096052" w:rsidRDefault="00230367" w:rsidP="003810C8">
      <w:pPr>
        <w:pStyle w:val="Textpoznpodarou"/>
      </w:pPr>
      <w:r w:rsidRPr="00096052">
        <w:rPr>
          <w:rStyle w:val="Znakapoznpodarou"/>
        </w:rPr>
        <w:footnoteRef/>
      </w:r>
      <w:r w:rsidRPr="00096052">
        <w:t xml:space="preserve"> J. Bibow: Fiscal consolidation: contrasting strategies and lessons from international experience. 2004</w:t>
      </w:r>
    </w:p>
  </w:footnote>
  <w:footnote w:id="27">
    <w:p w14:paraId="0D138B1F" w14:textId="77777777" w:rsidR="00230367" w:rsidRPr="00096052" w:rsidRDefault="00230367" w:rsidP="003810C8">
      <w:pPr>
        <w:pStyle w:val="Textpoznpodarou"/>
      </w:pPr>
      <w:r w:rsidRPr="00096052">
        <w:rPr>
          <w:rStyle w:val="Znakapoznpodarou"/>
        </w:rPr>
        <w:footnoteRef/>
      </w:r>
      <w:r w:rsidRPr="00096052">
        <w:t xml:space="preserve"> J. Stiglitz: Euro: Společná měna jako hrozba pro budoucnost Evropy. 2017</w:t>
      </w:r>
    </w:p>
  </w:footnote>
  <w:footnote w:id="28">
    <w:p w14:paraId="41CCE1C7" w14:textId="77777777" w:rsidR="00230367" w:rsidRPr="00096052" w:rsidRDefault="00230367" w:rsidP="003810C8">
      <w:pPr>
        <w:pStyle w:val="Textpoznpodarou"/>
      </w:pPr>
      <w:r w:rsidRPr="00096052">
        <w:rPr>
          <w:rStyle w:val="Znakapoznpodarou"/>
        </w:rPr>
        <w:footnoteRef/>
      </w:r>
      <w:r w:rsidRPr="00096052">
        <w:t xml:space="preserve"> OECD Economic Outlook, Volume 2007 Issue 1</w:t>
      </w:r>
    </w:p>
  </w:footnote>
  <w:footnote w:id="29">
    <w:p w14:paraId="6BFE6E00" w14:textId="77777777" w:rsidR="00230367" w:rsidRPr="00096052" w:rsidRDefault="00230367" w:rsidP="003810C8">
      <w:pPr>
        <w:pStyle w:val="Textpoznpodarou"/>
      </w:pPr>
      <w:r w:rsidRPr="00096052">
        <w:rPr>
          <w:rStyle w:val="Znakapoznpodarou"/>
        </w:rPr>
        <w:footnoteRef/>
      </w:r>
      <w:r w:rsidRPr="00096052">
        <w:t xml:space="preserve"> J.C. Okwuokei: Fiscal Consolidation: Country Experiences and Lessons from the empirical literature. 2014</w:t>
      </w:r>
    </w:p>
  </w:footnote>
  <w:footnote w:id="30">
    <w:p w14:paraId="1ACEE69F" w14:textId="77777777" w:rsidR="00230367" w:rsidRPr="00096052" w:rsidRDefault="00230367" w:rsidP="003810C8">
      <w:pPr>
        <w:pStyle w:val="Textpoznpodarou"/>
      </w:pPr>
      <w:r w:rsidRPr="00096052">
        <w:rPr>
          <w:rStyle w:val="Znakapoznpodarou"/>
        </w:rPr>
        <w:footnoteRef/>
      </w:r>
      <w:r w:rsidRPr="00096052">
        <w:t xml:space="preserve"> J. McCrae, J. Myers, K. Glatzel: Undertaking a Fiscal Consolidation: a guide to action. London 2009.</w:t>
      </w:r>
    </w:p>
  </w:footnote>
  <w:footnote w:id="31">
    <w:p w14:paraId="0E72158A" w14:textId="77777777" w:rsidR="00230367" w:rsidRPr="00096052" w:rsidRDefault="00230367" w:rsidP="003810C8">
      <w:pPr>
        <w:pStyle w:val="Textpoznpodarou"/>
      </w:pPr>
      <w:r w:rsidRPr="00096052">
        <w:rPr>
          <w:rStyle w:val="Znakapoznpodarou"/>
        </w:rPr>
        <w:footnoteRef/>
      </w:r>
      <w:r w:rsidRPr="00096052">
        <w:t xml:space="preserve"> F. Heylen, G. Everaert: Success and failure of fiscal consolidation in the OECD: A multivariate analysis. 2000</w:t>
      </w:r>
    </w:p>
  </w:footnote>
  <w:footnote w:id="32">
    <w:p w14:paraId="49B11650" w14:textId="77777777" w:rsidR="00230367" w:rsidRPr="00096052" w:rsidRDefault="00230367" w:rsidP="003810C8">
      <w:pPr>
        <w:pStyle w:val="Textpoznpodarou"/>
      </w:pPr>
      <w:r w:rsidRPr="00096052">
        <w:rPr>
          <w:rStyle w:val="Znakapoznpodarou"/>
        </w:rPr>
        <w:footnoteRef/>
      </w:r>
      <w:r w:rsidRPr="00096052">
        <w:t xml:space="preserve"> M. Molnár: Fiscal consolidation: What factors determine the success of consolidation efforts? 2012</w:t>
      </w:r>
    </w:p>
  </w:footnote>
  <w:footnote w:id="33">
    <w:p w14:paraId="29B1EA55" w14:textId="77777777" w:rsidR="00230367" w:rsidRPr="00096052" w:rsidRDefault="00230367" w:rsidP="003810C8">
      <w:pPr>
        <w:pStyle w:val="Textpoznpodarou"/>
      </w:pPr>
      <w:r w:rsidRPr="00096052">
        <w:rPr>
          <w:rStyle w:val="Znakapoznpodarou"/>
        </w:rPr>
        <w:footnoteRef/>
      </w:r>
      <w:r w:rsidRPr="00096052">
        <w:t xml:space="preserve"> A. Alesina, C. Favero, F. Giavazzi: What do we know about the effects of austerity? 2018; A. Alesina, C. Favero, F. Giavazzi: Austerity: when it works and when it doesn‘t. 2019; A. Alesina, C. Favero, F. Giavazzi, O. Barbiero, M. Paradisi: The Effects of Fiscal Consolidations: Theory and Evidence. NBER Working Paper Series, Working Paper 23385 2017: 1–65.</w:t>
      </w:r>
    </w:p>
  </w:footnote>
  <w:footnote w:id="34">
    <w:p w14:paraId="29778E9B" w14:textId="77777777" w:rsidR="00230367" w:rsidRPr="00096052" w:rsidRDefault="00230367" w:rsidP="003810C8">
      <w:pPr>
        <w:pStyle w:val="Textpoznpodarou"/>
      </w:pPr>
      <w:r w:rsidRPr="00096052">
        <w:rPr>
          <w:rStyle w:val="Znakapoznpodarou"/>
        </w:rPr>
        <w:footnoteRef/>
      </w:r>
      <w:r w:rsidRPr="00096052">
        <w:t xml:space="preserve"> Y. Carri</w:t>
      </w:r>
      <w:r w:rsidRPr="00096052">
        <w:rPr>
          <w:rFonts w:cs="Calibri"/>
        </w:rPr>
        <w:t>è</w:t>
      </w:r>
      <w:r w:rsidRPr="00096052">
        <w:t>re-Swallow, A.C. David, D. Leigh: Macroeconomic Effects of Fiscal Consolidation: New Narrative Evidence from Latin America and the Caribbean. 2010</w:t>
      </w:r>
    </w:p>
  </w:footnote>
  <w:footnote w:id="35">
    <w:p w14:paraId="6AA68DF9" w14:textId="77777777" w:rsidR="00230367" w:rsidRPr="00096052" w:rsidRDefault="00230367" w:rsidP="003810C8">
      <w:pPr>
        <w:pStyle w:val="Textpoznpodarou"/>
      </w:pPr>
      <w:r w:rsidRPr="00096052">
        <w:rPr>
          <w:rStyle w:val="Znakapoznpodarou"/>
        </w:rPr>
        <w:footnoteRef/>
      </w:r>
      <w:r w:rsidRPr="00096052">
        <w:t xml:space="preserve"> W. Yang, J. Fidrmuc, S. Ghosh: Macroeconomic Effects of Fiscal Adjustment: A Tale of two Approaches. 2013</w:t>
      </w:r>
    </w:p>
  </w:footnote>
  <w:footnote w:id="36">
    <w:p w14:paraId="12A1761B" w14:textId="77777777" w:rsidR="00230367" w:rsidRPr="00096052" w:rsidRDefault="00230367" w:rsidP="003810C8">
      <w:pPr>
        <w:pStyle w:val="Textpoznpodarou"/>
      </w:pPr>
      <w:r w:rsidRPr="00096052">
        <w:rPr>
          <w:rStyle w:val="Znakapoznpodarou"/>
        </w:rPr>
        <w:footnoteRef/>
      </w:r>
      <w:r w:rsidRPr="00096052">
        <w:t xml:space="preserve"> Fiscal Consolidation: Past Experience, Cost and Benefits, ECB Monthly Bulletin, June 2010.</w:t>
      </w:r>
    </w:p>
  </w:footnote>
  <w:footnote w:id="37">
    <w:p w14:paraId="573CABD2" w14:textId="77777777" w:rsidR="00230367" w:rsidRPr="00096052" w:rsidRDefault="00230367" w:rsidP="003810C8">
      <w:pPr>
        <w:pStyle w:val="Textpoznpodarou"/>
      </w:pPr>
      <w:r w:rsidRPr="00096052">
        <w:rPr>
          <w:rStyle w:val="Znakapoznpodarou"/>
        </w:rPr>
        <w:footnoteRef/>
      </w:r>
      <w:r w:rsidRPr="00096052">
        <w:t xml:space="preserve"> Srov. výše cit.: W. Yang, J. Fidrmuc, S. Ghosh: Macroeconomic Effects of Fiscal Adjustment: A Tale of two Approaches. 2013; Y. Carrière-Swallow, A.C. David, D. Leigh: Macroeconomic Effects of Fiscal Consolidation: New Narrative Evidence from Latin America and the Caribbean. 2010</w:t>
      </w:r>
    </w:p>
  </w:footnote>
  <w:footnote w:id="38">
    <w:p w14:paraId="4D98721A" w14:textId="77777777" w:rsidR="00230367" w:rsidRPr="00096052" w:rsidRDefault="00230367" w:rsidP="003810C8">
      <w:pPr>
        <w:pStyle w:val="Textpoznpodarou"/>
      </w:pPr>
      <w:r w:rsidRPr="00096052">
        <w:rPr>
          <w:rStyle w:val="Znakapoznpodarou"/>
        </w:rPr>
        <w:footnoteRef/>
      </w:r>
      <w:r w:rsidRPr="00096052">
        <w:t xml:space="preserve"> G. Georgantas, M. Kasselaki, A. Tagkalakis, The short-run effects of fiscal adjustment in OECD countries, Bank od Greece, Working Paper no. 308, November 2022: 1–35.</w:t>
      </w:r>
    </w:p>
  </w:footnote>
  <w:footnote w:id="39">
    <w:p w14:paraId="6C5E2EFA" w14:textId="77777777" w:rsidR="00230367" w:rsidRPr="00096052" w:rsidRDefault="00230367" w:rsidP="003810C8">
      <w:pPr>
        <w:pStyle w:val="Textpoznpodarou"/>
      </w:pPr>
      <w:r w:rsidRPr="00096052">
        <w:rPr>
          <w:rStyle w:val="Znakapoznpodarou"/>
        </w:rPr>
        <w:footnoteRef/>
      </w:r>
      <w:r w:rsidRPr="00096052">
        <w:t xml:space="preserve"> M. G. Attinasi, L. Metelli, Is Fiscal Consolidation Self-Defeating? A Panel-VAR Analysis for the Euro Area Countries, Journal of International Money and Finance 74, issue C, 2017: 147–164.</w:t>
      </w:r>
    </w:p>
  </w:footnote>
  <w:footnote w:id="40">
    <w:p w14:paraId="743D1D5C" w14:textId="77777777" w:rsidR="00230367" w:rsidRPr="00096052" w:rsidRDefault="00230367" w:rsidP="003810C8">
      <w:pPr>
        <w:pStyle w:val="Textpoznpodarou"/>
      </w:pPr>
      <w:r w:rsidRPr="00096052">
        <w:rPr>
          <w:rStyle w:val="Znakapoznpodarou"/>
        </w:rPr>
        <w:footnoteRef/>
      </w:r>
      <w:r w:rsidRPr="00096052">
        <w:t xml:space="preserve"> J. B. DeLong, L. H. Summers, Fiscal Policy in a Depressed Economy, (Draft), 2012: 1–52.</w:t>
      </w:r>
    </w:p>
  </w:footnote>
  <w:footnote w:id="41">
    <w:p w14:paraId="679C4C07" w14:textId="77777777" w:rsidR="00230367" w:rsidRPr="00096052" w:rsidRDefault="00230367" w:rsidP="003810C8">
      <w:pPr>
        <w:pStyle w:val="Textpoznpodarou"/>
      </w:pPr>
      <w:r w:rsidRPr="00096052">
        <w:rPr>
          <w:rStyle w:val="Znakapoznpodarou"/>
        </w:rPr>
        <w:footnoteRef/>
      </w:r>
      <w:r w:rsidRPr="00096052">
        <w:t xml:space="preserve"> A. Afonso, J. Alves, J. T. Jalles: (Non-)Keynesian Effects of Fiscal Austerity: New Evidence from a large sample*, REM Working Paper Series, REM Working Paper 0158-2021, January 2021: 1–40.</w:t>
      </w:r>
    </w:p>
  </w:footnote>
  <w:footnote w:id="42">
    <w:p w14:paraId="721DA140" w14:textId="77777777" w:rsidR="00230367" w:rsidRPr="00096052" w:rsidRDefault="00230367" w:rsidP="003810C8">
      <w:pPr>
        <w:pStyle w:val="Textpoznpodarou"/>
      </w:pPr>
      <w:r w:rsidRPr="00096052">
        <w:rPr>
          <w:rStyle w:val="Znakapoznpodarou"/>
        </w:rPr>
        <w:footnoteRef/>
      </w:r>
      <w:r w:rsidRPr="00096052">
        <w:t xml:space="preserve"> B. Stanivuk: Fiscal consolidation – lessons from the past. 2020</w:t>
      </w:r>
    </w:p>
  </w:footnote>
  <w:footnote w:id="43">
    <w:p w14:paraId="75C005FD" w14:textId="77777777" w:rsidR="00230367" w:rsidRPr="00096052" w:rsidRDefault="00230367" w:rsidP="003810C8">
      <w:pPr>
        <w:pStyle w:val="Textpoznpodarou"/>
      </w:pPr>
      <w:r w:rsidRPr="00096052">
        <w:rPr>
          <w:rStyle w:val="Znakapoznpodarou"/>
        </w:rPr>
        <w:footnoteRef/>
      </w:r>
      <w:r w:rsidRPr="00096052">
        <w:t xml:space="preserve"> G.C. Tsibouris, M.A. Horton, Mj.J. Flanagan, W.S. Maliszewski: Experience with large fiscal adjustments. 2006</w:t>
      </w:r>
    </w:p>
  </w:footnote>
  <w:footnote w:id="44">
    <w:p w14:paraId="62B2B0EC" w14:textId="77777777" w:rsidR="00230367" w:rsidRPr="00096052" w:rsidRDefault="00230367" w:rsidP="003810C8">
      <w:pPr>
        <w:pStyle w:val="Textpoznpodarou"/>
      </w:pPr>
      <w:r w:rsidRPr="00096052">
        <w:rPr>
          <w:rStyle w:val="Znakapoznpodarou"/>
        </w:rPr>
        <w:footnoteRef/>
      </w:r>
      <w:r w:rsidRPr="00096052">
        <w:t xml:space="preserve"> E. Mu</w:t>
      </w:r>
      <w:r w:rsidRPr="00096052">
        <w:rPr>
          <w:rFonts w:cs="Calibri"/>
        </w:rPr>
        <w:t>ñ</w:t>
      </w:r>
      <w:r w:rsidRPr="00096052">
        <w:t>oz, E. Olabeirria: Are budget rigidities a source of fiscal distress and a constraint of fiscal consolidation? 2019</w:t>
      </w:r>
    </w:p>
  </w:footnote>
  <w:footnote w:id="45">
    <w:p w14:paraId="7C3A2ADE" w14:textId="77777777" w:rsidR="00230367" w:rsidRPr="00096052" w:rsidRDefault="00230367" w:rsidP="003810C8">
      <w:pPr>
        <w:pStyle w:val="Textpoznpodarou"/>
      </w:pPr>
      <w:r w:rsidRPr="00096052">
        <w:rPr>
          <w:rStyle w:val="Znakapoznpodarou"/>
        </w:rPr>
        <w:footnoteRef/>
      </w:r>
      <w:r w:rsidRPr="00096052">
        <w:t xml:space="preserve"> V. de Rugy, J. Salmon: Flattening the debt curve: Empirical lessons for fiscal consolidation. 2020</w:t>
      </w:r>
    </w:p>
  </w:footnote>
  <w:footnote w:id="46">
    <w:p w14:paraId="5E8B7E62" w14:textId="77777777" w:rsidR="00230367" w:rsidRPr="00096052" w:rsidRDefault="00230367" w:rsidP="003810C8">
      <w:pPr>
        <w:pStyle w:val="Textpoznpodarou"/>
      </w:pPr>
      <w:r w:rsidRPr="00096052">
        <w:rPr>
          <w:rStyle w:val="Znakapoznpodarou"/>
        </w:rPr>
        <w:footnoteRef/>
      </w:r>
      <w:r w:rsidRPr="00096052">
        <w:t xml:space="preserve"> </w:t>
      </w:r>
      <w:r w:rsidRPr="001741CC">
        <w:rPr>
          <w:lang w:val="en-US"/>
        </w:rPr>
        <w:t>V. Balasundharam, O. Basdevant, D. Benicio, A. Ceber, Y. Kim, L. Mazzone, H. Selim, Y. Yang: Fiscal Consolidation: Taking Stock of Success Factors, Impact, and Design. 2023</w:t>
      </w:r>
    </w:p>
  </w:footnote>
  <w:footnote w:id="47">
    <w:p w14:paraId="287C59A2" w14:textId="77777777" w:rsidR="00230367" w:rsidRPr="00096052" w:rsidRDefault="00230367" w:rsidP="000F1532">
      <w:pPr>
        <w:pStyle w:val="Textpoznpodarou"/>
      </w:pPr>
      <w:r w:rsidRPr="00096052">
        <w:rPr>
          <w:rStyle w:val="Znakapoznpodarou"/>
        </w:rPr>
        <w:footnoteRef/>
      </w:r>
      <w:r w:rsidRPr="00096052">
        <w:t xml:space="preserve"> F. Wöhlbier, C. Astarita, G. Mourre: Consolidation on the revenue side and growth-friendly tax structures: an indicator based approach, European Economy: Economic Papers no. 513, 2014: 1–53.</w:t>
      </w:r>
    </w:p>
  </w:footnote>
  <w:footnote w:id="48">
    <w:p w14:paraId="45876222" w14:textId="77777777" w:rsidR="00230367" w:rsidRPr="00096052" w:rsidRDefault="00230367" w:rsidP="001402AD">
      <w:pPr>
        <w:pStyle w:val="Textpoznpodarou"/>
      </w:pPr>
      <w:r w:rsidRPr="00096052">
        <w:rPr>
          <w:rStyle w:val="Znakapoznpodarou"/>
        </w:rPr>
        <w:footnoteRef/>
      </w:r>
      <w:r w:rsidRPr="00096052">
        <w:t xml:space="preserve"> L. Rawdanowicz, E. Wurzel, A. K. Christensen: The Equity Implications of Fiscal Consolidation, OECD Economics Department Working Papers No. 1013, 2013: 1–36.</w:t>
      </w:r>
    </w:p>
  </w:footnote>
  <w:footnote w:id="49">
    <w:p w14:paraId="75CC9AB9" w14:textId="77777777" w:rsidR="00230367" w:rsidRPr="00096052" w:rsidRDefault="00230367" w:rsidP="00CE529B">
      <w:pPr>
        <w:pStyle w:val="Textpoznpodarou"/>
      </w:pPr>
      <w:r w:rsidRPr="00096052">
        <w:rPr>
          <w:rStyle w:val="Znakapoznpodarou"/>
        </w:rPr>
        <w:footnoteRef/>
      </w:r>
      <w:r w:rsidRPr="00096052">
        <w:t xml:space="preserve"> R. Beetsma, O. Furtuna, M. Giuliodori: Revenue- versus spending-based consolidation plans: the role of follow-up, ECB Working Paper Series No 2178, September 2018: 1–76; srov. R. Beetsma, O. Furtuna, M. Giuliodori, H. Mumtaz: Revenue- versus spending-based fiscal consolidation announcements: Multipliers and follow-up, Journal of International Economics, 131(27), 2021: 1–23.</w:t>
      </w:r>
    </w:p>
  </w:footnote>
  <w:footnote w:id="50">
    <w:p w14:paraId="4558AC62" w14:textId="77777777" w:rsidR="00230367" w:rsidRPr="00096052" w:rsidRDefault="00230367" w:rsidP="00CE529B">
      <w:pPr>
        <w:pStyle w:val="Textpoznpodarou"/>
      </w:pPr>
      <w:r w:rsidRPr="00096052">
        <w:rPr>
          <w:rStyle w:val="Znakapoznpodarou"/>
        </w:rPr>
        <w:footnoteRef/>
      </w:r>
      <w:r w:rsidRPr="00096052">
        <w:t xml:space="preserve"> International Monetary Fund: Coming Down to Earth: How to Tackle Soaring Public Debt, in: World Economic Outlook, April 2023: A Rocky Recovery. Washington, DC 2023: 69–89.</w:t>
      </w:r>
    </w:p>
  </w:footnote>
  <w:footnote w:id="51">
    <w:p w14:paraId="75DA0B22" w14:textId="77777777" w:rsidR="00230367" w:rsidRPr="00096052" w:rsidRDefault="00230367" w:rsidP="00CE529B">
      <w:pPr>
        <w:pStyle w:val="Textpoznpodarou"/>
      </w:pPr>
      <w:r w:rsidRPr="00096052">
        <w:rPr>
          <w:rStyle w:val="Znakapoznpodarou"/>
        </w:rPr>
        <w:footnoteRef/>
      </w:r>
      <w:r w:rsidRPr="00096052">
        <w:t xml:space="preserve"> R. Mirdala: Lessons Learned from Tax versus Expenditure Based Fiscal Consolidation in the European Transition Economies, William Davidson Institute Working Paper No. 1058, 2013: 1–30.</w:t>
      </w:r>
    </w:p>
  </w:footnote>
  <w:footnote w:id="52">
    <w:p w14:paraId="48EA07E5" w14:textId="77777777" w:rsidR="00230367" w:rsidRPr="00096052" w:rsidRDefault="00230367" w:rsidP="003810C8">
      <w:pPr>
        <w:pStyle w:val="Textpoznpodarou"/>
      </w:pPr>
      <w:r w:rsidRPr="00096052">
        <w:rPr>
          <w:rStyle w:val="Znakapoznpodarou"/>
        </w:rPr>
        <w:footnoteRef/>
      </w:r>
      <w:r w:rsidRPr="00096052">
        <w:t xml:space="preserve"> V. Klyuev, S. Snudden: Effects of Fiscal Consolidation in the Czech Republic, Finance a úvěr, 61(4), 2011: 306–326.</w:t>
      </w:r>
    </w:p>
  </w:footnote>
  <w:footnote w:id="53">
    <w:p w14:paraId="553DAF70" w14:textId="77777777" w:rsidR="00230367" w:rsidRPr="00096052" w:rsidRDefault="00230367" w:rsidP="003810C8">
      <w:pPr>
        <w:pStyle w:val="Textpoznpodarou"/>
        <w:rPr>
          <w:rFonts w:cs="Calibri"/>
        </w:rPr>
      </w:pPr>
      <w:r w:rsidRPr="00096052">
        <w:rPr>
          <w:rStyle w:val="Znakapoznpodarou"/>
          <w:rFonts w:cs="Calibri"/>
        </w:rPr>
        <w:footnoteRef/>
      </w:r>
      <w:r w:rsidRPr="00096052">
        <w:rPr>
          <w:rFonts w:cs="Calibri"/>
        </w:rPr>
        <w:t xml:space="preserve"> L. Ball, D. Furceri, D. Leigh, P. Loungani: The Distributional Effects of Fiscal Consolidation, IMF Working Paper No. 13/151, 2013: 1–23.</w:t>
      </w:r>
    </w:p>
  </w:footnote>
  <w:footnote w:id="54">
    <w:p w14:paraId="3A802DF6" w14:textId="77777777" w:rsidR="00230367" w:rsidRPr="00096052" w:rsidRDefault="00230367" w:rsidP="003810C8">
      <w:pPr>
        <w:pStyle w:val="Textpoznpodarou"/>
        <w:rPr>
          <w:rFonts w:cs="Calibri"/>
        </w:rPr>
      </w:pPr>
      <w:r w:rsidRPr="00096052">
        <w:rPr>
          <w:rStyle w:val="Znakapoznpodarou"/>
          <w:rFonts w:cs="Calibri"/>
        </w:rPr>
        <w:footnoteRef/>
      </w:r>
      <w:r w:rsidRPr="00096052">
        <w:rPr>
          <w:rFonts w:cs="Calibri"/>
        </w:rPr>
        <w:t xml:space="preserve"> G. Ciminelli et al.: The composition effects of tax-based consolidations on income inequality, International Labour Office, Working Paper no. 19, June 2017: 1–26.</w:t>
      </w:r>
    </w:p>
  </w:footnote>
  <w:footnote w:id="55">
    <w:p w14:paraId="626FFAC6" w14:textId="77777777" w:rsidR="00230367" w:rsidRPr="00096052" w:rsidRDefault="00230367" w:rsidP="003810C8">
      <w:pPr>
        <w:pStyle w:val="Textpoznpodarou"/>
      </w:pPr>
      <w:r w:rsidRPr="00096052">
        <w:rPr>
          <w:rStyle w:val="Znakapoznpodarou"/>
        </w:rPr>
        <w:footnoteRef/>
      </w:r>
      <w:r w:rsidRPr="00096052">
        <w:t xml:space="preserve"> C. Reinhart, K. Rogoff: Growth in a time of debt. 2010</w:t>
      </w:r>
    </w:p>
  </w:footnote>
  <w:footnote w:id="56">
    <w:p w14:paraId="7CF477E9" w14:textId="77777777" w:rsidR="00230367" w:rsidRPr="00096052" w:rsidRDefault="00230367" w:rsidP="003810C8">
      <w:pPr>
        <w:pStyle w:val="Textpoznpodarou"/>
      </w:pPr>
      <w:r w:rsidRPr="00096052">
        <w:rPr>
          <w:rStyle w:val="Znakapoznpodarou"/>
        </w:rPr>
        <w:footnoteRef/>
      </w:r>
      <w:r w:rsidRPr="00096052">
        <w:t xml:space="preserve"> T. Herndon, M. Ash, R. Pollina: Does High Public Debt Consistently Stiffle Economic Growth? A Critique of Reinhart and Rogoff. Cambridge Journal of Economics, 38(2): 257–279.</w:t>
      </w:r>
    </w:p>
  </w:footnote>
  <w:footnote w:id="57">
    <w:p w14:paraId="49A91AC2" w14:textId="77777777" w:rsidR="00230367" w:rsidRPr="00096052" w:rsidRDefault="00230367" w:rsidP="00B3154B">
      <w:pPr>
        <w:pStyle w:val="Textpoznpodarou"/>
      </w:pPr>
      <w:r w:rsidRPr="00096052">
        <w:rPr>
          <w:rStyle w:val="Znakapoznpodarou"/>
        </w:rPr>
        <w:footnoteRef/>
      </w:r>
      <w:r w:rsidRPr="00096052">
        <w:t xml:space="preserve"> M. Caner, T. Grennes, F. Koehler-Geib: Finding the Tipping Point—When Sovereign Debt Turns Bad, Policy Research Working Paper 5391, July 2010: 1–13.</w:t>
      </w:r>
    </w:p>
  </w:footnote>
  <w:footnote w:id="58">
    <w:p w14:paraId="77745AB7" w14:textId="77777777" w:rsidR="00230367" w:rsidRPr="00096052" w:rsidRDefault="00230367" w:rsidP="00D03A98">
      <w:pPr>
        <w:pStyle w:val="Textpoznpodarou"/>
      </w:pPr>
      <w:r w:rsidRPr="00096052">
        <w:rPr>
          <w:rStyle w:val="Znakapoznpodarou"/>
        </w:rPr>
        <w:footnoteRef/>
      </w:r>
      <w:r w:rsidRPr="00096052">
        <w:t xml:space="preserve"> J. Ostry, A. Ghosh, R. Espinoza: When Should Public Debt Be Reduced?. Staff Discussion Notes. 15(1), 2015: 1–23.</w:t>
      </w:r>
    </w:p>
  </w:footnote>
  <w:footnote w:id="59">
    <w:p w14:paraId="45C9214E" w14:textId="77777777" w:rsidR="00230367" w:rsidRPr="00096052" w:rsidRDefault="00230367" w:rsidP="00F67823">
      <w:pPr>
        <w:pStyle w:val="Textpoznpodarou"/>
      </w:pPr>
      <w:r w:rsidRPr="00096052">
        <w:rPr>
          <w:rStyle w:val="Znakapoznpodarou"/>
        </w:rPr>
        <w:footnoteRef/>
      </w:r>
      <w:r w:rsidRPr="00096052">
        <w:t xml:space="preserve"> M. Gómez-Puig, S. Sosvilla-Rivero: Public debt and economic growth: Further evidence for the euro area, Institut de Recerca en Economia Aplicada Regional i Pública, Working Paper 2017/15: 1–41.</w:t>
      </w:r>
    </w:p>
  </w:footnote>
  <w:footnote w:id="60">
    <w:p w14:paraId="500F8CDE" w14:textId="77777777" w:rsidR="00230367" w:rsidRPr="00096052" w:rsidRDefault="00230367" w:rsidP="004E24D9">
      <w:pPr>
        <w:pStyle w:val="Textpoznpodarou"/>
      </w:pPr>
      <w:r w:rsidRPr="00096052">
        <w:rPr>
          <w:rStyle w:val="Znakapoznpodarou"/>
        </w:rPr>
        <w:footnoteRef/>
      </w:r>
      <w:r w:rsidRPr="00096052">
        <w:t xml:space="preserve"> P. Heimberger: Do higher public debt levels reduce economic growth? 2021</w:t>
      </w:r>
    </w:p>
  </w:footnote>
  <w:footnote w:id="61">
    <w:p w14:paraId="7F9C1130" w14:textId="77777777" w:rsidR="00230367" w:rsidRPr="00096052" w:rsidRDefault="00230367" w:rsidP="004E24D9">
      <w:pPr>
        <w:pStyle w:val="Textpoznpodarou"/>
      </w:pPr>
      <w:r w:rsidRPr="00096052">
        <w:rPr>
          <w:rStyle w:val="Znakapoznpodarou"/>
        </w:rPr>
        <w:footnoteRef/>
      </w:r>
      <w:r w:rsidRPr="00096052">
        <w:t xml:space="preserve"> J. T. Jalles, and P. A. Medas: Economic Growth after Debt Surges (July 1, 2022). IMF Working Paper No. 2022/159: 1–34.</w:t>
      </w:r>
    </w:p>
  </w:footnote>
  <w:footnote w:id="62">
    <w:p w14:paraId="214C57E6" w14:textId="77777777" w:rsidR="00230367" w:rsidRPr="00096052" w:rsidRDefault="00230367" w:rsidP="004E24D9">
      <w:pPr>
        <w:pStyle w:val="Textpoznpodarou"/>
      </w:pPr>
      <w:r w:rsidRPr="00096052">
        <w:rPr>
          <w:rStyle w:val="Znakapoznpodarou"/>
        </w:rPr>
        <w:footnoteRef/>
      </w:r>
      <w:r w:rsidRPr="00096052">
        <w:t xml:space="preserve"> C. de Soyres, R. Kawai, M. Wang, Public Debt and Real GDP: Revisiting the Impact Prepared, IMF Working Paper no. 22/76: 1–38.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93912"/>
      <w:docPartObj>
        <w:docPartGallery w:val="Page Numbers (Top of Page)"/>
        <w:docPartUnique/>
      </w:docPartObj>
    </w:sdtPr>
    <w:sdtEndPr/>
    <w:sdtContent>
      <w:p w14:paraId="54D36A4A" w14:textId="43055F38" w:rsidR="00230367" w:rsidRDefault="00F87BC8">
        <w:pPr>
          <w:pStyle w:val="Zhlav"/>
          <w:jc w:val="center"/>
        </w:pPr>
        <w:r>
          <w:t xml:space="preserve">- </w:t>
        </w:r>
        <w:r w:rsidR="00230367">
          <w:fldChar w:fldCharType="begin"/>
        </w:r>
        <w:r w:rsidR="00230367">
          <w:instrText>PAGE   \* MERGEFORMAT</w:instrText>
        </w:r>
        <w:r w:rsidR="00230367">
          <w:fldChar w:fldCharType="separate"/>
        </w:r>
        <w:r w:rsidR="00816ED5" w:rsidRPr="00816ED5">
          <w:rPr>
            <w:noProof/>
            <w:lang w:val="cs-CZ"/>
          </w:rPr>
          <w:t>8</w:t>
        </w:r>
        <w:r w:rsidR="00230367">
          <w:fldChar w:fldCharType="end"/>
        </w:r>
        <w:r>
          <w:t xml:space="preserve"> -</w:t>
        </w:r>
      </w:p>
    </w:sdtContent>
  </w:sdt>
  <w:p w14:paraId="040FC283" w14:textId="77777777" w:rsidR="00230367" w:rsidRDefault="002303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20BE" w14:textId="486D5122" w:rsidR="00230367" w:rsidRPr="00AB4795" w:rsidRDefault="00230367" w:rsidP="00AB4795">
    <w:pPr>
      <w:pStyle w:val="Zhlav"/>
      <w:jc w:val="right"/>
      <w:rPr>
        <w:b/>
        <w:lang w:val="cs-CZ"/>
      </w:rPr>
    </w:pPr>
    <w:r w:rsidRPr="00AB4795">
      <w:rPr>
        <w:b/>
        <w:lang w:val="cs-CZ"/>
      </w:rPr>
      <w:t>V</w:t>
    </w:r>
    <w:r>
      <w:rPr>
        <w:b/>
        <w:lang w:val="cs-CZ"/>
      </w:rPr>
      <w:t>III</w:t>
    </w:r>
    <w:r w:rsidRPr="00AB4795">
      <w:rPr>
        <w:b/>
        <w:lang w:val="cs-CZ"/>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94417"/>
      <w:docPartObj>
        <w:docPartGallery w:val="Page Numbers (Top of Page)"/>
        <w:docPartUnique/>
      </w:docPartObj>
    </w:sdtPr>
    <w:sdtEndPr/>
    <w:sdtContent>
      <w:p w14:paraId="3968176A" w14:textId="1F539096" w:rsidR="00F87BC8" w:rsidRPr="00F87BC8" w:rsidRDefault="00F87BC8" w:rsidP="00F87BC8">
        <w:pPr>
          <w:pStyle w:val="Zhlav"/>
          <w:jc w:val="center"/>
        </w:pPr>
        <w:r>
          <w:t xml:space="preserve">- </w:t>
        </w:r>
        <w:r>
          <w:fldChar w:fldCharType="begin"/>
        </w:r>
        <w:r>
          <w:instrText>PAGE   \* MERGEFORMAT</w:instrText>
        </w:r>
        <w:r>
          <w:fldChar w:fldCharType="separate"/>
        </w:r>
        <w:r w:rsidR="00816ED5" w:rsidRPr="00816ED5">
          <w:rPr>
            <w:noProof/>
            <w:lang w:val="cs-CZ"/>
          </w:rPr>
          <w:t>2</w:t>
        </w:r>
        <w:r>
          <w:fldChar w:fldCharType="end"/>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B065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D62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7A5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7A2F7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283842"/>
    <w:lvl w:ilvl="0">
      <w:start w:val="1"/>
      <w:numFmt w:val="decimal"/>
      <w:lvlText w:val="%1."/>
      <w:lvlJc w:val="left"/>
      <w:pPr>
        <w:tabs>
          <w:tab w:val="num" w:pos="360"/>
        </w:tabs>
        <w:ind w:left="360" w:hanging="360"/>
      </w:pPr>
    </w:lvl>
  </w:abstractNum>
  <w:abstractNum w:abstractNumId="5" w15:restartNumberingAfterBreak="0">
    <w:nsid w:val="0A580CD8"/>
    <w:multiLevelType w:val="multilevel"/>
    <w:tmpl w:val="5B646B2E"/>
    <w:lvl w:ilvl="0">
      <w:start w:val="1"/>
      <w:numFmt w:val="decimal"/>
      <w:pStyle w:val="Nadpis1"/>
      <w:lvlText w:val="%1"/>
      <w:lvlJc w:val="left"/>
      <w:pPr>
        <w:ind w:left="0" w:firstLine="0"/>
      </w:pPr>
      <w:rPr>
        <w:rFonts w:hint="default"/>
      </w:rPr>
    </w:lvl>
    <w:lvl w:ilvl="1">
      <w:start w:val="1"/>
      <w:numFmt w:val="decimal"/>
      <w:pStyle w:val="Nadpis2"/>
      <w:lvlText w:val="%1.%2"/>
      <w:lvlJc w:val="left"/>
      <w:pPr>
        <w:ind w:left="0" w:firstLine="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0ACC7734"/>
    <w:multiLevelType w:val="hybridMultilevel"/>
    <w:tmpl w:val="98348A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EE38BA"/>
    <w:multiLevelType w:val="hybridMultilevel"/>
    <w:tmpl w:val="9CA01D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F7C00"/>
    <w:multiLevelType w:val="hybridMultilevel"/>
    <w:tmpl w:val="D97A9BB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8FC5D3C"/>
    <w:multiLevelType w:val="hybridMultilevel"/>
    <w:tmpl w:val="3C4A45DC"/>
    <w:lvl w:ilvl="0" w:tplc="3118E8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A60275"/>
    <w:multiLevelType w:val="hybridMultilevel"/>
    <w:tmpl w:val="9C82B782"/>
    <w:lvl w:ilvl="0" w:tplc="04050011">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73EB5702"/>
    <w:multiLevelType w:val="hybridMultilevel"/>
    <w:tmpl w:val="53A4558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8C165B2"/>
    <w:multiLevelType w:val="hybridMultilevel"/>
    <w:tmpl w:val="5942C1F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9"/>
  </w:num>
  <w:num w:numId="3">
    <w:abstractNumId w:val="6"/>
  </w:num>
  <w:num w:numId="4">
    <w:abstractNumId w:val="7"/>
  </w:num>
  <w:num w:numId="5">
    <w:abstractNumId w:val="12"/>
  </w:num>
  <w:num w:numId="6">
    <w:abstractNumId w:val="11"/>
  </w:num>
  <w:num w:numId="7">
    <w:abstractNumId w:val="8"/>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1A"/>
    <w:rsid w:val="00001CF6"/>
    <w:rsid w:val="00002B76"/>
    <w:rsid w:val="00002C90"/>
    <w:rsid w:val="000165B4"/>
    <w:rsid w:val="00017AC0"/>
    <w:rsid w:val="000220FC"/>
    <w:rsid w:val="00030910"/>
    <w:rsid w:val="00037BC8"/>
    <w:rsid w:val="00040069"/>
    <w:rsid w:val="0004223B"/>
    <w:rsid w:val="00046621"/>
    <w:rsid w:val="00051F3A"/>
    <w:rsid w:val="00052A63"/>
    <w:rsid w:val="00053DCE"/>
    <w:rsid w:val="00054CEA"/>
    <w:rsid w:val="000553D5"/>
    <w:rsid w:val="0005642B"/>
    <w:rsid w:val="000578F8"/>
    <w:rsid w:val="000610B7"/>
    <w:rsid w:val="0006733D"/>
    <w:rsid w:val="000748DB"/>
    <w:rsid w:val="000750F3"/>
    <w:rsid w:val="00076FFE"/>
    <w:rsid w:val="000771AE"/>
    <w:rsid w:val="00080ABF"/>
    <w:rsid w:val="00081554"/>
    <w:rsid w:val="000830E3"/>
    <w:rsid w:val="00084274"/>
    <w:rsid w:val="00092343"/>
    <w:rsid w:val="00093635"/>
    <w:rsid w:val="0009401A"/>
    <w:rsid w:val="00094074"/>
    <w:rsid w:val="00095F42"/>
    <w:rsid w:val="00096052"/>
    <w:rsid w:val="000A37B8"/>
    <w:rsid w:val="000A76EA"/>
    <w:rsid w:val="000B2E61"/>
    <w:rsid w:val="000B4078"/>
    <w:rsid w:val="000C1E9A"/>
    <w:rsid w:val="000C53DF"/>
    <w:rsid w:val="000C545A"/>
    <w:rsid w:val="000C5910"/>
    <w:rsid w:val="000C617B"/>
    <w:rsid w:val="000D0074"/>
    <w:rsid w:val="000D0476"/>
    <w:rsid w:val="000D4FBE"/>
    <w:rsid w:val="000D64EC"/>
    <w:rsid w:val="000D6A6A"/>
    <w:rsid w:val="000E4A94"/>
    <w:rsid w:val="000E7D5F"/>
    <w:rsid w:val="000F07C2"/>
    <w:rsid w:val="000F0D7B"/>
    <w:rsid w:val="000F1532"/>
    <w:rsid w:val="000F49CE"/>
    <w:rsid w:val="000F5C5D"/>
    <w:rsid w:val="000F6241"/>
    <w:rsid w:val="000F7303"/>
    <w:rsid w:val="0010163B"/>
    <w:rsid w:val="0010210A"/>
    <w:rsid w:val="00105BA2"/>
    <w:rsid w:val="0010675F"/>
    <w:rsid w:val="00113B34"/>
    <w:rsid w:val="00122A5A"/>
    <w:rsid w:val="001239BE"/>
    <w:rsid w:val="001240A9"/>
    <w:rsid w:val="00124DCA"/>
    <w:rsid w:val="00136035"/>
    <w:rsid w:val="001365CC"/>
    <w:rsid w:val="001402AD"/>
    <w:rsid w:val="00141F36"/>
    <w:rsid w:val="00146EDB"/>
    <w:rsid w:val="0015200E"/>
    <w:rsid w:val="00152F3B"/>
    <w:rsid w:val="001538B0"/>
    <w:rsid w:val="001547D1"/>
    <w:rsid w:val="00161B8D"/>
    <w:rsid w:val="001629A5"/>
    <w:rsid w:val="00163BCE"/>
    <w:rsid w:val="00164244"/>
    <w:rsid w:val="00167BDD"/>
    <w:rsid w:val="001741CC"/>
    <w:rsid w:val="001773E5"/>
    <w:rsid w:val="00183265"/>
    <w:rsid w:val="001833E3"/>
    <w:rsid w:val="00185C64"/>
    <w:rsid w:val="00187E7F"/>
    <w:rsid w:val="00191F1A"/>
    <w:rsid w:val="00194581"/>
    <w:rsid w:val="001B0D1B"/>
    <w:rsid w:val="001B3E63"/>
    <w:rsid w:val="001B4520"/>
    <w:rsid w:val="001B6092"/>
    <w:rsid w:val="001B73B8"/>
    <w:rsid w:val="001B7B14"/>
    <w:rsid w:val="001C43A0"/>
    <w:rsid w:val="001D3EA6"/>
    <w:rsid w:val="001D5F6D"/>
    <w:rsid w:val="001E7510"/>
    <w:rsid w:val="001F27EF"/>
    <w:rsid w:val="001F55F6"/>
    <w:rsid w:val="002000B5"/>
    <w:rsid w:val="00203260"/>
    <w:rsid w:val="0020586A"/>
    <w:rsid w:val="00210A87"/>
    <w:rsid w:val="00211FAA"/>
    <w:rsid w:val="00214467"/>
    <w:rsid w:val="00216831"/>
    <w:rsid w:val="00221C56"/>
    <w:rsid w:val="00221ED3"/>
    <w:rsid w:val="00222F86"/>
    <w:rsid w:val="002240C3"/>
    <w:rsid w:val="00230262"/>
    <w:rsid w:val="0023031D"/>
    <w:rsid w:val="00230367"/>
    <w:rsid w:val="002303B2"/>
    <w:rsid w:val="00231BFA"/>
    <w:rsid w:val="002403A0"/>
    <w:rsid w:val="00244741"/>
    <w:rsid w:val="00245CC7"/>
    <w:rsid w:val="00254413"/>
    <w:rsid w:val="00262725"/>
    <w:rsid w:val="002723F6"/>
    <w:rsid w:val="002809AA"/>
    <w:rsid w:val="00297D73"/>
    <w:rsid w:val="002A49CC"/>
    <w:rsid w:val="002A5352"/>
    <w:rsid w:val="002C149A"/>
    <w:rsid w:val="002C4446"/>
    <w:rsid w:val="002C737D"/>
    <w:rsid w:val="002D0BE7"/>
    <w:rsid w:val="002D16F8"/>
    <w:rsid w:val="002D5446"/>
    <w:rsid w:val="002E0216"/>
    <w:rsid w:val="002E4497"/>
    <w:rsid w:val="002E6161"/>
    <w:rsid w:val="002F0D7D"/>
    <w:rsid w:val="002F4AD1"/>
    <w:rsid w:val="002F6279"/>
    <w:rsid w:val="00305003"/>
    <w:rsid w:val="00310D34"/>
    <w:rsid w:val="0031136C"/>
    <w:rsid w:val="00312A29"/>
    <w:rsid w:val="00316479"/>
    <w:rsid w:val="003208CE"/>
    <w:rsid w:val="0032131A"/>
    <w:rsid w:val="003217E5"/>
    <w:rsid w:val="0032688D"/>
    <w:rsid w:val="00326B40"/>
    <w:rsid w:val="00335CCA"/>
    <w:rsid w:val="003405E1"/>
    <w:rsid w:val="0034285E"/>
    <w:rsid w:val="00346568"/>
    <w:rsid w:val="00347FE8"/>
    <w:rsid w:val="00352760"/>
    <w:rsid w:val="00356C37"/>
    <w:rsid w:val="00360CC1"/>
    <w:rsid w:val="00361A4E"/>
    <w:rsid w:val="003633B3"/>
    <w:rsid w:val="00366FD8"/>
    <w:rsid w:val="00371800"/>
    <w:rsid w:val="0037439C"/>
    <w:rsid w:val="003745AB"/>
    <w:rsid w:val="003810C8"/>
    <w:rsid w:val="003907E9"/>
    <w:rsid w:val="0039163D"/>
    <w:rsid w:val="003A350B"/>
    <w:rsid w:val="003A36E7"/>
    <w:rsid w:val="003A4350"/>
    <w:rsid w:val="003A6E8C"/>
    <w:rsid w:val="003B12BE"/>
    <w:rsid w:val="003B428F"/>
    <w:rsid w:val="003B4294"/>
    <w:rsid w:val="003C08BF"/>
    <w:rsid w:val="003C6C6B"/>
    <w:rsid w:val="003C741E"/>
    <w:rsid w:val="003E1084"/>
    <w:rsid w:val="003E1A6B"/>
    <w:rsid w:val="003E1F37"/>
    <w:rsid w:val="003E48B4"/>
    <w:rsid w:val="003E5678"/>
    <w:rsid w:val="003F725F"/>
    <w:rsid w:val="00400A0C"/>
    <w:rsid w:val="004036A6"/>
    <w:rsid w:val="00405574"/>
    <w:rsid w:val="00407F72"/>
    <w:rsid w:val="0041058F"/>
    <w:rsid w:val="00411BE9"/>
    <w:rsid w:val="004206E2"/>
    <w:rsid w:val="00425FA7"/>
    <w:rsid w:val="00430782"/>
    <w:rsid w:val="004344C8"/>
    <w:rsid w:val="004355D5"/>
    <w:rsid w:val="004437D2"/>
    <w:rsid w:val="004479A9"/>
    <w:rsid w:val="00451054"/>
    <w:rsid w:val="004552FD"/>
    <w:rsid w:val="0045534A"/>
    <w:rsid w:val="00461A6A"/>
    <w:rsid w:val="0046762D"/>
    <w:rsid w:val="00471B7E"/>
    <w:rsid w:val="0047540C"/>
    <w:rsid w:val="004763AF"/>
    <w:rsid w:val="004768AD"/>
    <w:rsid w:val="004771AF"/>
    <w:rsid w:val="00482B77"/>
    <w:rsid w:val="00484035"/>
    <w:rsid w:val="004840D0"/>
    <w:rsid w:val="004860FE"/>
    <w:rsid w:val="00487075"/>
    <w:rsid w:val="004906A4"/>
    <w:rsid w:val="00490C31"/>
    <w:rsid w:val="0049233C"/>
    <w:rsid w:val="004940DE"/>
    <w:rsid w:val="00495A1A"/>
    <w:rsid w:val="004A0011"/>
    <w:rsid w:val="004A0122"/>
    <w:rsid w:val="004A29C1"/>
    <w:rsid w:val="004A4F86"/>
    <w:rsid w:val="004B2BAB"/>
    <w:rsid w:val="004B5813"/>
    <w:rsid w:val="004B6651"/>
    <w:rsid w:val="004C2E1B"/>
    <w:rsid w:val="004C4ACE"/>
    <w:rsid w:val="004D0B59"/>
    <w:rsid w:val="004D4420"/>
    <w:rsid w:val="004E24D9"/>
    <w:rsid w:val="004E5907"/>
    <w:rsid w:val="004F19F4"/>
    <w:rsid w:val="004F51B0"/>
    <w:rsid w:val="005017C1"/>
    <w:rsid w:val="00510FF2"/>
    <w:rsid w:val="00511AEA"/>
    <w:rsid w:val="0051365C"/>
    <w:rsid w:val="005257CD"/>
    <w:rsid w:val="00526BF1"/>
    <w:rsid w:val="00532268"/>
    <w:rsid w:val="00532840"/>
    <w:rsid w:val="00536C34"/>
    <w:rsid w:val="00540FD6"/>
    <w:rsid w:val="005411D4"/>
    <w:rsid w:val="00542446"/>
    <w:rsid w:val="00545352"/>
    <w:rsid w:val="00547B67"/>
    <w:rsid w:val="00555054"/>
    <w:rsid w:val="005571AD"/>
    <w:rsid w:val="00563173"/>
    <w:rsid w:val="005655BC"/>
    <w:rsid w:val="005726F7"/>
    <w:rsid w:val="0057510B"/>
    <w:rsid w:val="005763E8"/>
    <w:rsid w:val="005814D6"/>
    <w:rsid w:val="00583729"/>
    <w:rsid w:val="00590D8D"/>
    <w:rsid w:val="00594416"/>
    <w:rsid w:val="005A096A"/>
    <w:rsid w:val="005A1692"/>
    <w:rsid w:val="005A3750"/>
    <w:rsid w:val="005B65B9"/>
    <w:rsid w:val="005C0114"/>
    <w:rsid w:val="005C4802"/>
    <w:rsid w:val="005C7AE6"/>
    <w:rsid w:val="005D05D2"/>
    <w:rsid w:val="005D4664"/>
    <w:rsid w:val="005D4A62"/>
    <w:rsid w:val="005D50C6"/>
    <w:rsid w:val="005D5630"/>
    <w:rsid w:val="005D68B4"/>
    <w:rsid w:val="005E32A2"/>
    <w:rsid w:val="005E7F7B"/>
    <w:rsid w:val="005F23BA"/>
    <w:rsid w:val="005F32BC"/>
    <w:rsid w:val="005F3B17"/>
    <w:rsid w:val="00600E66"/>
    <w:rsid w:val="0060119A"/>
    <w:rsid w:val="0061436C"/>
    <w:rsid w:val="00621A8E"/>
    <w:rsid w:val="00621BAE"/>
    <w:rsid w:val="0062207D"/>
    <w:rsid w:val="0062664F"/>
    <w:rsid w:val="00631121"/>
    <w:rsid w:val="00632FCE"/>
    <w:rsid w:val="00633687"/>
    <w:rsid w:val="00641DAD"/>
    <w:rsid w:val="0064605E"/>
    <w:rsid w:val="00647427"/>
    <w:rsid w:val="006544BC"/>
    <w:rsid w:val="00660A13"/>
    <w:rsid w:val="00660C2D"/>
    <w:rsid w:val="00663F4A"/>
    <w:rsid w:val="00667161"/>
    <w:rsid w:val="00667BCD"/>
    <w:rsid w:val="00671DBA"/>
    <w:rsid w:val="00680DE4"/>
    <w:rsid w:val="00696C1F"/>
    <w:rsid w:val="00696F03"/>
    <w:rsid w:val="006A0660"/>
    <w:rsid w:val="006A093B"/>
    <w:rsid w:val="006A6FF3"/>
    <w:rsid w:val="006A71CC"/>
    <w:rsid w:val="006B7072"/>
    <w:rsid w:val="006B79F9"/>
    <w:rsid w:val="006C0D78"/>
    <w:rsid w:val="006C1F03"/>
    <w:rsid w:val="006D44D6"/>
    <w:rsid w:val="006D6029"/>
    <w:rsid w:val="006F1F8A"/>
    <w:rsid w:val="006F2ACE"/>
    <w:rsid w:val="006F5B9D"/>
    <w:rsid w:val="006F6C18"/>
    <w:rsid w:val="00701570"/>
    <w:rsid w:val="007137A2"/>
    <w:rsid w:val="00715CD4"/>
    <w:rsid w:val="007200DB"/>
    <w:rsid w:val="00720EE0"/>
    <w:rsid w:val="007223CE"/>
    <w:rsid w:val="0072654E"/>
    <w:rsid w:val="00727134"/>
    <w:rsid w:val="00730962"/>
    <w:rsid w:val="00733963"/>
    <w:rsid w:val="007361D2"/>
    <w:rsid w:val="00740696"/>
    <w:rsid w:val="00740953"/>
    <w:rsid w:val="00742BD0"/>
    <w:rsid w:val="007563EE"/>
    <w:rsid w:val="00760640"/>
    <w:rsid w:val="007607A4"/>
    <w:rsid w:val="007644C2"/>
    <w:rsid w:val="00767DF6"/>
    <w:rsid w:val="0077130E"/>
    <w:rsid w:val="007736F7"/>
    <w:rsid w:val="007743FE"/>
    <w:rsid w:val="00782F5B"/>
    <w:rsid w:val="0078421C"/>
    <w:rsid w:val="00784AED"/>
    <w:rsid w:val="00785843"/>
    <w:rsid w:val="00786C64"/>
    <w:rsid w:val="00787839"/>
    <w:rsid w:val="007921A5"/>
    <w:rsid w:val="0079798E"/>
    <w:rsid w:val="007A0884"/>
    <w:rsid w:val="007A08AB"/>
    <w:rsid w:val="007A4D69"/>
    <w:rsid w:val="007A55F9"/>
    <w:rsid w:val="007A6103"/>
    <w:rsid w:val="007B1A8F"/>
    <w:rsid w:val="007B2CCB"/>
    <w:rsid w:val="007B5E88"/>
    <w:rsid w:val="007C24F4"/>
    <w:rsid w:val="007C3FA6"/>
    <w:rsid w:val="007C4A6B"/>
    <w:rsid w:val="007C4B22"/>
    <w:rsid w:val="007C526D"/>
    <w:rsid w:val="007C659D"/>
    <w:rsid w:val="007D43DF"/>
    <w:rsid w:val="007D719C"/>
    <w:rsid w:val="007E56AF"/>
    <w:rsid w:val="007E666B"/>
    <w:rsid w:val="007F0609"/>
    <w:rsid w:val="007F388D"/>
    <w:rsid w:val="007F5A2B"/>
    <w:rsid w:val="00801AD1"/>
    <w:rsid w:val="00802487"/>
    <w:rsid w:val="008048FF"/>
    <w:rsid w:val="00815154"/>
    <w:rsid w:val="00816ED5"/>
    <w:rsid w:val="00817A67"/>
    <w:rsid w:val="008254A4"/>
    <w:rsid w:val="008267D7"/>
    <w:rsid w:val="00827A54"/>
    <w:rsid w:val="00851422"/>
    <w:rsid w:val="00855855"/>
    <w:rsid w:val="0086395D"/>
    <w:rsid w:val="00867957"/>
    <w:rsid w:val="008700EB"/>
    <w:rsid w:val="0087345B"/>
    <w:rsid w:val="00875ADE"/>
    <w:rsid w:val="00882C99"/>
    <w:rsid w:val="00890A46"/>
    <w:rsid w:val="00892C3A"/>
    <w:rsid w:val="00894623"/>
    <w:rsid w:val="008A0C59"/>
    <w:rsid w:val="008A71B9"/>
    <w:rsid w:val="008A7ED5"/>
    <w:rsid w:val="008B0A90"/>
    <w:rsid w:val="008C18A3"/>
    <w:rsid w:val="008C4909"/>
    <w:rsid w:val="008E04D9"/>
    <w:rsid w:val="008E144C"/>
    <w:rsid w:val="008E32AE"/>
    <w:rsid w:val="008E7A3B"/>
    <w:rsid w:val="008F24AA"/>
    <w:rsid w:val="008F2D5A"/>
    <w:rsid w:val="008F577E"/>
    <w:rsid w:val="008F5C84"/>
    <w:rsid w:val="008F670C"/>
    <w:rsid w:val="00900F86"/>
    <w:rsid w:val="00901DD6"/>
    <w:rsid w:val="00902DB2"/>
    <w:rsid w:val="00903802"/>
    <w:rsid w:val="009051AC"/>
    <w:rsid w:val="0090741E"/>
    <w:rsid w:val="00910EF9"/>
    <w:rsid w:val="009269C0"/>
    <w:rsid w:val="00934DDC"/>
    <w:rsid w:val="00936227"/>
    <w:rsid w:val="00940151"/>
    <w:rsid w:val="009457EE"/>
    <w:rsid w:val="009461B2"/>
    <w:rsid w:val="00956DAC"/>
    <w:rsid w:val="00960386"/>
    <w:rsid w:val="00960912"/>
    <w:rsid w:val="00964835"/>
    <w:rsid w:val="00964E0D"/>
    <w:rsid w:val="00965942"/>
    <w:rsid w:val="00965ED2"/>
    <w:rsid w:val="009661C6"/>
    <w:rsid w:val="00976A37"/>
    <w:rsid w:val="009778BD"/>
    <w:rsid w:val="009805FB"/>
    <w:rsid w:val="00986B46"/>
    <w:rsid w:val="0099314F"/>
    <w:rsid w:val="009967C3"/>
    <w:rsid w:val="00996ED0"/>
    <w:rsid w:val="009A2A5D"/>
    <w:rsid w:val="009A766E"/>
    <w:rsid w:val="009B44D1"/>
    <w:rsid w:val="009C000F"/>
    <w:rsid w:val="009C5E02"/>
    <w:rsid w:val="009D2A62"/>
    <w:rsid w:val="009D77B4"/>
    <w:rsid w:val="009E4204"/>
    <w:rsid w:val="009E4761"/>
    <w:rsid w:val="009E4BD6"/>
    <w:rsid w:val="009E6670"/>
    <w:rsid w:val="009F12BD"/>
    <w:rsid w:val="009F2B0C"/>
    <w:rsid w:val="009F4058"/>
    <w:rsid w:val="00A01BDD"/>
    <w:rsid w:val="00A04DCD"/>
    <w:rsid w:val="00A1169E"/>
    <w:rsid w:val="00A23694"/>
    <w:rsid w:val="00A24A1F"/>
    <w:rsid w:val="00A33C85"/>
    <w:rsid w:val="00A34016"/>
    <w:rsid w:val="00A36D3D"/>
    <w:rsid w:val="00A40AE3"/>
    <w:rsid w:val="00A40F0E"/>
    <w:rsid w:val="00A44D0A"/>
    <w:rsid w:val="00A4663B"/>
    <w:rsid w:val="00A469FC"/>
    <w:rsid w:val="00A524FB"/>
    <w:rsid w:val="00A57459"/>
    <w:rsid w:val="00A61209"/>
    <w:rsid w:val="00A71C96"/>
    <w:rsid w:val="00A72D5A"/>
    <w:rsid w:val="00A7466B"/>
    <w:rsid w:val="00A80562"/>
    <w:rsid w:val="00A81770"/>
    <w:rsid w:val="00A82FEE"/>
    <w:rsid w:val="00A83F2F"/>
    <w:rsid w:val="00A85050"/>
    <w:rsid w:val="00A852DB"/>
    <w:rsid w:val="00A8709D"/>
    <w:rsid w:val="00A903C7"/>
    <w:rsid w:val="00AA4CCF"/>
    <w:rsid w:val="00AB15CC"/>
    <w:rsid w:val="00AB1978"/>
    <w:rsid w:val="00AB4795"/>
    <w:rsid w:val="00AC592E"/>
    <w:rsid w:val="00AC7138"/>
    <w:rsid w:val="00AD0059"/>
    <w:rsid w:val="00AD28B1"/>
    <w:rsid w:val="00AD3523"/>
    <w:rsid w:val="00AD4F57"/>
    <w:rsid w:val="00AD5D53"/>
    <w:rsid w:val="00AD5FFC"/>
    <w:rsid w:val="00AF166F"/>
    <w:rsid w:val="00AF3670"/>
    <w:rsid w:val="00B01CA9"/>
    <w:rsid w:val="00B0480E"/>
    <w:rsid w:val="00B112B6"/>
    <w:rsid w:val="00B11D03"/>
    <w:rsid w:val="00B13F2C"/>
    <w:rsid w:val="00B14DF1"/>
    <w:rsid w:val="00B1561A"/>
    <w:rsid w:val="00B3154B"/>
    <w:rsid w:val="00B324C8"/>
    <w:rsid w:val="00B354F2"/>
    <w:rsid w:val="00B3760B"/>
    <w:rsid w:val="00B40BE8"/>
    <w:rsid w:val="00B47CD4"/>
    <w:rsid w:val="00B52375"/>
    <w:rsid w:val="00B54273"/>
    <w:rsid w:val="00B60630"/>
    <w:rsid w:val="00B60D9C"/>
    <w:rsid w:val="00B6603A"/>
    <w:rsid w:val="00B660B5"/>
    <w:rsid w:val="00B66C3B"/>
    <w:rsid w:val="00B66E29"/>
    <w:rsid w:val="00B726E9"/>
    <w:rsid w:val="00B74E76"/>
    <w:rsid w:val="00B76F97"/>
    <w:rsid w:val="00B845DA"/>
    <w:rsid w:val="00B8710C"/>
    <w:rsid w:val="00B9353E"/>
    <w:rsid w:val="00B9399E"/>
    <w:rsid w:val="00B94DE4"/>
    <w:rsid w:val="00B95B20"/>
    <w:rsid w:val="00B95D7F"/>
    <w:rsid w:val="00BA0DE4"/>
    <w:rsid w:val="00BA2931"/>
    <w:rsid w:val="00BA2CB0"/>
    <w:rsid w:val="00BA6983"/>
    <w:rsid w:val="00BB0489"/>
    <w:rsid w:val="00BB4D92"/>
    <w:rsid w:val="00BB714B"/>
    <w:rsid w:val="00BC5196"/>
    <w:rsid w:val="00BC7945"/>
    <w:rsid w:val="00BD41D0"/>
    <w:rsid w:val="00BE0032"/>
    <w:rsid w:val="00BE12A4"/>
    <w:rsid w:val="00BE2912"/>
    <w:rsid w:val="00BE534B"/>
    <w:rsid w:val="00C01A35"/>
    <w:rsid w:val="00C03DB9"/>
    <w:rsid w:val="00C05BBF"/>
    <w:rsid w:val="00C07F26"/>
    <w:rsid w:val="00C07F5B"/>
    <w:rsid w:val="00C10512"/>
    <w:rsid w:val="00C3030F"/>
    <w:rsid w:val="00C334FF"/>
    <w:rsid w:val="00C616F1"/>
    <w:rsid w:val="00C62D79"/>
    <w:rsid w:val="00C66687"/>
    <w:rsid w:val="00C67B17"/>
    <w:rsid w:val="00C723E8"/>
    <w:rsid w:val="00C75CE7"/>
    <w:rsid w:val="00C76F7B"/>
    <w:rsid w:val="00C8377B"/>
    <w:rsid w:val="00C83D74"/>
    <w:rsid w:val="00C9396D"/>
    <w:rsid w:val="00C94F85"/>
    <w:rsid w:val="00CA4E6E"/>
    <w:rsid w:val="00CA618D"/>
    <w:rsid w:val="00CA6A97"/>
    <w:rsid w:val="00CA762E"/>
    <w:rsid w:val="00CA782D"/>
    <w:rsid w:val="00CB1F8A"/>
    <w:rsid w:val="00CC1F93"/>
    <w:rsid w:val="00CC2837"/>
    <w:rsid w:val="00CC4A42"/>
    <w:rsid w:val="00CC535F"/>
    <w:rsid w:val="00CC536C"/>
    <w:rsid w:val="00CE2F69"/>
    <w:rsid w:val="00CE529B"/>
    <w:rsid w:val="00CE57B9"/>
    <w:rsid w:val="00CF3EE3"/>
    <w:rsid w:val="00CF5488"/>
    <w:rsid w:val="00CF6905"/>
    <w:rsid w:val="00D0327D"/>
    <w:rsid w:val="00D032A4"/>
    <w:rsid w:val="00D0377A"/>
    <w:rsid w:val="00D039F2"/>
    <w:rsid w:val="00D03A98"/>
    <w:rsid w:val="00D0438E"/>
    <w:rsid w:val="00D06D61"/>
    <w:rsid w:val="00D10BAE"/>
    <w:rsid w:val="00D121AA"/>
    <w:rsid w:val="00D17C2C"/>
    <w:rsid w:val="00D24790"/>
    <w:rsid w:val="00D251D1"/>
    <w:rsid w:val="00D33E35"/>
    <w:rsid w:val="00D366E7"/>
    <w:rsid w:val="00D43567"/>
    <w:rsid w:val="00D475D0"/>
    <w:rsid w:val="00D53C6B"/>
    <w:rsid w:val="00D61F2A"/>
    <w:rsid w:val="00D70B3B"/>
    <w:rsid w:val="00D74F95"/>
    <w:rsid w:val="00D752FA"/>
    <w:rsid w:val="00D77016"/>
    <w:rsid w:val="00D84633"/>
    <w:rsid w:val="00D92369"/>
    <w:rsid w:val="00D9316C"/>
    <w:rsid w:val="00DA1EDB"/>
    <w:rsid w:val="00DA2199"/>
    <w:rsid w:val="00DA6383"/>
    <w:rsid w:val="00DB4B34"/>
    <w:rsid w:val="00DB6527"/>
    <w:rsid w:val="00DC6BD4"/>
    <w:rsid w:val="00DD2F30"/>
    <w:rsid w:val="00DD47BD"/>
    <w:rsid w:val="00DD5EA4"/>
    <w:rsid w:val="00DD703D"/>
    <w:rsid w:val="00DD763A"/>
    <w:rsid w:val="00DD7AA1"/>
    <w:rsid w:val="00DE3046"/>
    <w:rsid w:val="00DE5BC7"/>
    <w:rsid w:val="00DF1F87"/>
    <w:rsid w:val="00DF5608"/>
    <w:rsid w:val="00E0248C"/>
    <w:rsid w:val="00E05A40"/>
    <w:rsid w:val="00E05D46"/>
    <w:rsid w:val="00E116DD"/>
    <w:rsid w:val="00E14E57"/>
    <w:rsid w:val="00E17566"/>
    <w:rsid w:val="00E23C6D"/>
    <w:rsid w:val="00E26F63"/>
    <w:rsid w:val="00E30F6D"/>
    <w:rsid w:val="00E34779"/>
    <w:rsid w:val="00E52347"/>
    <w:rsid w:val="00E6009C"/>
    <w:rsid w:val="00E62047"/>
    <w:rsid w:val="00E64EBA"/>
    <w:rsid w:val="00E70CD4"/>
    <w:rsid w:val="00E75546"/>
    <w:rsid w:val="00E7660C"/>
    <w:rsid w:val="00E778DC"/>
    <w:rsid w:val="00E81FDF"/>
    <w:rsid w:val="00E86486"/>
    <w:rsid w:val="00E91ABF"/>
    <w:rsid w:val="00E92BEA"/>
    <w:rsid w:val="00E9316C"/>
    <w:rsid w:val="00E94F4C"/>
    <w:rsid w:val="00E97184"/>
    <w:rsid w:val="00EA017D"/>
    <w:rsid w:val="00EA78D1"/>
    <w:rsid w:val="00EA798A"/>
    <w:rsid w:val="00EC2F87"/>
    <w:rsid w:val="00ED3153"/>
    <w:rsid w:val="00ED58A8"/>
    <w:rsid w:val="00EF1679"/>
    <w:rsid w:val="00EF3267"/>
    <w:rsid w:val="00EF34CF"/>
    <w:rsid w:val="00EF3E53"/>
    <w:rsid w:val="00F01B6A"/>
    <w:rsid w:val="00F032E6"/>
    <w:rsid w:val="00F036B3"/>
    <w:rsid w:val="00F03CA1"/>
    <w:rsid w:val="00F04227"/>
    <w:rsid w:val="00F04C7D"/>
    <w:rsid w:val="00F04E30"/>
    <w:rsid w:val="00F05FF3"/>
    <w:rsid w:val="00F1137D"/>
    <w:rsid w:val="00F17538"/>
    <w:rsid w:val="00F21B1B"/>
    <w:rsid w:val="00F2342E"/>
    <w:rsid w:val="00F236F6"/>
    <w:rsid w:val="00F24C49"/>
    <w:rsid w:val="00F25EB8"/>
    <w:rsid w:val="00F2797A"/>
    <w:rsid w:val="00F33590"/>
    <w:rsid w:val="00F501EE"/>
    <w:rsid w:val="00F512F8"/>
    <w:rsid w:val="00F541F2"/>
    <w:rsid w:val="00F67823"/>
    <w:rsid w:val="00F70DE5"/>
    <w:rsid w:val="00F81224"/>
    <w:rsid w:val="00F84736"/>
    <w:rsid w:val="00F87BC8"/>
    <w:rsid w:val="00F9071B"/>
    <w:rsid w:val="00F91051"/>
    <w:rsid w:val="00FA01D2"/>
    <w:rsid w:val="00FA0B2C"/>
    <w:rsid w:val="00FA1441"/>
    <w:rsid w:val="00FA4CBA"/>
    <w:rsid w:val="00FA67FF"/>
    <w:rsid w:val="00FB1290"/>
    <w:rsid w:val="00FB6AAD"/>
    <w:rsid w:val="00FB7F2A"/>
    <w:rsid w:val="00FC0B98"/>
    <w:rsid w:val="00FD36BC"/>
    <w:rsid w:val="00FE0F49"/>
    <w:rsid w:val="00FE3764"/>
    <w:rsid w:val="00FE4CBB"/>
    <w:rsid w:val="00FF33F8"/>
    <w:rsid w:val="00FF4608"/>
    <w:rsid w:val="00FF4A16"/>
    <w:rsid w:val="00FF6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396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rsid w:val="009A766E"/>
    <w:pPr>
      <w:widowControl w:val="0"/>
      <w:spacing w:after="120"/>
      <w:jc w:val="both"/>
    </w:pPr>
    <w:rPr>
      <w:rFonts w:ascii="Times New Roman" w:hAnsi="Times New Roman"/>
      <w:sz w:val="24"/>
      <w:szCs w:val="22"/>
      <w:lang w:val="en-US" w:eastAsia="en-US"/>
    </w:rPr>
  </w:style>
  <w:style w:type="paragraph" w:styleId="Nadpis1">
    <w:name w:val="heading 1"/>
    <w:basedOn w:val="Normln"/>
    <w:next w:val="Normln"/>
    <w:link w:val="Nadpis1Char"/>
    <w:uiPriority w:val="9"/>
    <w:qFormat/>
    <w:rsid w:val="00230367"/>
    <w:pPr>
      <w:keepNext/>
      <w:keepLines/>
      <w:numPr>
        <w:numId w:val="8"/>
      </w:numPr>
      <w:pBdr>
        <w:bottom w:val="single" w:sz="8" w:space="1" w:color="140E96"/>
      </w:pBdr>
      <w:spacing w:before="240"/>
      <w:outlineLvl w:val="0"/>
    </w:pPr>
    <w:rPr>
      <w:rFonts w:eastAsiaTheme="majorEastAsia" w:cstheme="majorBidi"/>
      <w:b/>
      <w:color w:val="140E96"/>
      <w:sz w:val="28"/>
      <w:szCs w:val="32"/>
    </w:rPr>
  </w:style>
  <w:style w:type="paragraph" w:styleId="Nadpis2">
    <w:name w:val="heading 2"/>
    <w:basedOn w:val="Normln"/>
    <w:next w:val="Normln"/>
    <w:link w:val="Nadpis2Char"/>
    <w:uiPriority w:val="9"/>
    <w:unhideWhenUsed/>
    <w:qFormat/>
    <w:rsid w:val="00230367"/>
    <w:pPr>
      <w:keepNext/>
      <w:keepLines/>
      <w:numPr>
        <w:ilvl w:val="1"/>
        <w:numId w:val="8"/>
      </w:numPr>
      <w:spacing w:before="40"/>
      <w:outlineLvl w:val="1"/>
    </w:pPr>
    <w:rPr>
      <w:rFonts w:eastAsiaTheme="majorEastAsia" w:cstheme="majorBidi"/>
      <w:b/>
      <w:color w:val="140E96"/>
      <w:sz w:val="26"/>
      <w:szCs w:val="26"/>
    </w:rPr>
  </w:style>
  <w:style w:type="paragraph" w:styleId="Nadpis3">
    <w:name w:val="heading 3"/>
    <w:basedOn w:val="Normln"/>
    <w:next w:val="Normln"/>
    <w:link w:val="Nadpis3Char"/>
    <w:uiPriority w:val="9"/>
    <w:unhideWhenUsed/>
    <w:qFormat/>
    <w:rsid w:val="00230367"/>
    <w:pPr>
      <w:keepNext/>
      <w:keepLines/>
      <w:numPr>
        <w:ilvl w:val="2"/>
        <w:numId w:val="8"/>
      </w:numPr>
      <w:spacing w:before="40" w:after="0"/>
      <w:outlineLvl w:val="2"/>
    </w:pPr>
    <w:rPr>
      <w:rFonts w:eastAsiaTheme="majorEastAsia" w:cstheme="majorBidi"/>
      <w:b/>
      <w:color w:val="140E9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jemn">
    <w:name w:val="Subtle Emphasis"/>
    <w:uiPriority w:val="19"/>
    <w:qFormat/>
    <w:rsid w:val="0045534A"/>
    <w:rPr>
      <w:i/>
      <w:iCs/>
      <w:color w:val="404040"/>
      <w:sz w:val="20"/>
    </w:rPr>
  </w:style>
  <w:style w:type="character" w:styleId="Siln">
    <w:name w:val="Strong"/>
    <w:uiPriority w:val="22"/>
    <w:qFormat/>
    <w:rsid w:val="0045534A"/>
    <w:rPr>
      <w:b/>
      <w:bCs/>
      <w:sz w:val="20"/>
    </w:rPr>
  </w:style>
  <w:style w:type="paragraph" w:styleId="Textpoznpodarou">
    <w:name w:val="footnote text"/>
    <w:basedOn w:val="Normln"/>
    <w:link w:val="TextpoznpodarouChar"/>
    <w:uiPriority w:val="99"/>
    <w:semiHidden/>
    <w:unhideWhenUsed/>
    <w:rsid w:val="0072654E"/>
    <w:pPr>
      <w:widowControl/>
    </w:pPr>
    <w:rPr>
      <w:sz w:val="20"/>
      <w:szCs w:val="20"/>
      <w:lang w:val="cs-CZ"/>
    </w:rPr>
  </w:style>
  <w:style w:type="character" w:customStyle="1" w:styleId="TextpoznpodarouChar">
    <w:name w:val="Text pozn. pod čarou Char"/>
    <w:link w:val="Textpoznpodarou"/>
    <w:uiPriority w:val="99"/>
    <w:semiHidden/>
    <w:rsid w:val="0072654E"/>
    <w:rPr>
      <w:lang w:eastAsia="en-US"/>
    </w:rPr>
  </w:style>
  <w:style w:type="character" w:styleId="Znakapoznpodarou">
    <w:name w:val="footnote reference"/>
    <w:uiPriority w:val="99"/>
    <w:semiHidden/>
    <w:unhideWhenUsed/>
    <w:rsid w:val="0072654E"/>
    <w:rPr>
      <w:vertAlign w:val="superscript"/>
    </w:rPr>
  </w:style>
  <w:style w:type="character" w:styleId="Zdraznn">
    <w:name w:val="Emphasis"/>
    <w:uiPriority w:val="20"/>
    <w:qFormat/>
    <w:rsid w:val="000B2E61"/>
    <w:rPr>
      <w:i/>
      <w:iCs/>
    </w:rPr>
  </w:style>
  <w:style w:type="table" w:styleId="Mkatabulky">
    <w:name w:val="Table Grid"/>
    <w:basedOn w:val="Normlntabulka"/>
    <w:uiPriority w:val="39"/>
    <w:rsid w:val="00513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032E6"/>
    <w:rPr>
      <w:color w:val="0563C1"/>
      <w:u w:val="single"/>
    </w:rPr>
  </w:style>
  <w:style w:type="paragraph" w:styleId="Revize">
    <w:name w:val="Revision"/>
    <w:hidden/>
    <w:uiPriority w:val="99"/>
    <w:semiHidden/>
    <w:rsid w:val="00ED58A8"/>
    <w:rPr>
      <w:sz w:val="22"/>
      <w:szCs w:val="22"/>
      <w:lang w:val="en-US" w:eastAsia="en-US"/>
    </w:rPr>
  </w:style>
  <w:style w:type="character" w:styleId="Odkaznakoment">
    <w:name w:val="annotation reference"/>
    <w:basedOn w:val="Standardnpsmoodstavce"/>
    <w:uiPriority w:val="99"/>
    <w:semiHidden/>
    <w:unhideWhenUsed/>
    <w:rsid w:val="00CA6A97"/>
    <w:rPr>
      <w:sz w:val="16"/>
      <w:szCs w:val="16"/>
    </w:rPr>
  </w:style>
  <w:style w:type="paragraph" w:styleId="Textkomente">
    <w:name w:val="annotation text"/>
    <w:basedOn w:val="Normln"/>
    <w:link w:val="TextkomenteChar"/>
    <w:uiPriority w:val="99"/>
    <w:semiHidden/>
    <w:unhideWhenUsed/>
    <w:rsid w:val="00CA6A97"/>
    <w:rPr>
      <w:sz w:val="20"/>
      <w:szCs w:val="20"/>
    </w:rPr>
  </w:style>
  <w:style w:type="character" w:customStyle="1" w:styleId="TextkomenteChar">
    <w:name w:val="Text komentáře Char"/>
    <w:basedOn w:val="Standardnpsmoodstavce"/>
    <w:link w:val="Textkomente"/>
    <w:uiPriority w:val="99"/>
    <w:semiHidden/>
    <w:rsid w:val="00CA6A97"/>
    <w:rPr>
      <w:lang w:val="en-US" w:eastAsia="en-US"/>
    </w:rPr>
  </w:style>
  <w:style w:type="paragraph" w:styleId="Pedmtkomente">
    <w:name w:val="annotation subject"/>
    <w:basedOn w:val="Textkomente"/>
    <w:next w:val="Textkomente"/>
    <w:link w:val="PedmtkomenteChar"/>
    <w:uiPriority w:val="99"/>
    <w:semiHidden/>
    <w:unhideWhenUsed/>
    <w:rsid w:val="00CA6A97"/>
    <w:rPr>
      <w:b/>
      <w:bCs/>
    </w:rPr>
  </w:style>
  <w:style w:type="character" w:customStyle="1" w:styleId="PedmtkomenteChar">
    <w:name w:val="Předmět komentáře Char"/>
    <w:basedOn w:val="TextkomenteChar"/>
    <w:link w:val="Pedmtkomente"/>
    <w:uiPriority w:val="99"/>
    <w:semiHidden/>
    <w:rsid w:val="00CA6A97"/>
    <w:rPr>
      <w:b/>
      <w:bCs/>
      <w:lang w:val="en-US" w:eastAsia="en-US"/>
    </w:rPr>
  </w:style>
  <w:style w:type="character" w:customStyle="1" w:styleId="Nevyeenzmnka1">
    <w:name w:val="Nevyřešená zmínka1"/>
    <w:basedOn w:val="Standardnpsmoodstavce"/>
    <w:uiPriority w:val="99"/>
    <w:semiHidden/>
    <w:unhideWhenUsed/>
    <w:rsid w:val="00451054"/>
    <w:rPr>
      <w:color w:val="605E5C"/>
      <w:shd w:val="clear" w:color="auto" w:fill="E1DFDD"/>
    </w:rPr>
  </w:style>
  <w:style w:type="paragraph" w:styleId="Zhlav">
    <w:name w:val="header"/>
    <w:basedOn w:val="Normln"/>
    <w:link w:val="ZhlavChar"/>
    <w:uiPriority w:val="99"/>
    <w:unhideWhenUsed/>
    <w:rsid w:val="00AF166F"/>
    <w:pPr>
      <w:tabs>
        <w:tab w:val="center" w:pos="4536"/>
        <w:tab w:val="right" w:pos="9072"/>
      </w:tabs>
    </w:pPr>
  </w:style>
  <w:style w:type="character" w:customStyle="1" w:styleId="ZhlavChar">
    <w:name w:val="Záhlaví Char"/>
    <w:basedOn w:val="Standardnpsmoodstavce"/>
    <w:link w:val="Zhlav"/>
    <w:uiPriority w:val="99"/>
    <w:rsid w:val="00AF166F"/>
    <w:rPr>
      <w:sz w:val="22"/>
      <w:szCs w:val="22"/>
      <w:lang w:val="en-US" w:eastAsia="en-US"/>
    </w:rPr>
  </w:style>
  <w:style w:type="paragraph" w:styleId="Zpat">
    <w:name w:val="footer"/>
    <w:basedOn w:val="Normln"/>
    <w:link w:val="ZpatChar"/>
    <w:uiPriority w:val="99"/>
    <w:unhideWhenUsed/>
    <w:rsid w:val="00AF166F"/>
    <w:pPr>
      <w:tabs>
        <w:tab w:val="center" w:pos="4536"/>
        <w:tab w:val="right" w:pos="9072"/>
      </w:tabs>
    </w:pPr>
  </w:style>
  <w:style w:type="character" w:customStyle="1" w:styleId="ZpatChar">
    <w:name w:val="Zápatí Char"/>
    <w:basedOn w:val="Standardnpsmoodstavce"/>
    <w:link w:val="Zpat"/>
    <w:uiPriority w:val="99"/>
    <w:rsid w:val="00AF166F"/>
    <w:rPr>
      <w:sz w:val="22"/>
      <w:szCs w:val="22"/>
      <w:lang w:val="en-US" w:eastAsia="en-US"/>
    </w:rPr>
  </w:style>
  <w:style w:type="paragraph" w:styleId="Textbubliny">
    <w:name w:val="Balloon Text"/>
    <w:basedOn w:val="Normln"/>
    <w:link w:val="TextbublinyChar"/>
    <w:uiPriority w:val="99"/>
    <w:semiHidden/>
    <w:unhideWhenUsed/>
    <w:rsid w:val="00BE53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534B"/>
    <w:rPr>
      <w:rFonts w:ascii="Segoe UI" w:hAnsi="Segoe UI" w:cs="Segoe UI"/>
      <w:sz w:val="18"/>
      <w:szCs w:val="18"/>
      <w:lang w:val="en-US" w:eastAsia="en-US"/>
    </w:rPr>
  </w:style>
  <w:style w:type="character" w:styleId="Sledovanodkaz">
    <w:name w:val="FollowedHyperlink"/>
    <w:basedOn w:val="Standardnpsmoodstavce"/>
    <w:uiPriority w:val="99"/>
    <w:semiHidden/>
    <w:unhideWhenUsed/>
    <w:rsid w:val="00001CF6"/>
    <w:rPr>
      <w:color w:val="954F72" w:themeColor="followedHyperlink"/>
      <w:u w:val="single"/>
    </w:rPr>
  </w:style>
  <w:style w:type="paragraph" w:styleId="Nzev">
    <w:name w:val="Title"/>
    <w:basedOn w:val="Normln"/>
    <w:next w:val="Normln"/>
    <w:link w:val="NzevChar"/>
    <w:uiPriority w:val="99"/>
    <w:qFormat/>
    <w:rsid w:val="009778BD"/>
    <w:pPr>
      <w:keepNext/>
      <w:widowControl/>
      <w:autoSpaceDE w:val="0"/>
      <w:autoSpaceDN w:val="0"/>
      <w:adjustRightInd w:val="0"/>
      <w:spacing w:before="120"/>
      <w:jc w:val="center"/>
    </w:pPr>
    <w:rPr>
      <w:rFonts w:eastAsia="Times New Roman"/>
      <w:bCs/>
      <w:iCs/>
      <w:color w:val="140E96"/>
      <w:sz w:val="36"/>
      <w:szCs w:val="60"/>
      <w:lang w:val="cs-CZ"/>
    </w:rPr>
  </w:style>
  <w:style w:type="character" w:customStyle="1" w:styleId="NzevChar">
    <w:name w:val="Název Char"/>
    <w:basedOn w:val="Standardnpsmoodstavce"/>
    <w:link w:val="Nzev"/>
    <w:uiPriority w:val="99"/>
    <w:rsid w:val="009778BD"/>
    <w:rPr>
      <w:rFonts w:ascii="Times New Roman" w:eastAsia="Times New Roman" w:hAnsi="Times New Roman"/>
      <w:bCs/>
      <w:iCs/>
      <w:color w:val="140E96"/>
      <w:sz w:val="36"/>
      <w:szCs w:val="60"/>
      <w:lang w:eastAsia="en-US"/>
    </w:rPr>
  </w:style>
  <w:style w:type="character" w:customStyle="1" w:styleId="Nadpis1Char">
    <w:name w:val="Nadpis 1 Char"/>
    <w:basedOn w:val="Standardnpsmoodstavce"/>
    <w:link w:val="Nadpis1"/>
    <w:uiPriority w:val="9"/>
    <w:rsid w:val="00230367"/>
    <w:rPr>
      <w:rFonts w:ascii="Times New Roman" w:eastAsiaTheme="majorEastAsia" w:hAnsi="Times New Roman" w:cstheme="majorBidi"/>
      <w:b/>
      <w:color w:val="140E96"/>
      <w:sz w:val="28"/>
      <w:szCs w:val="32"/>
      <w:lang w:val="en-US" w:eastAsia="en-US"/>
    </w:rPr>
  </w:style>
  <w:style w:type="paragraph" w:styleId="Nadpisobsahu">
    <w:name w:val="TOC Heading"/>
    <w:basedOn w:val="Nadpis1"/>
    <w:next w:val="Normln"/>
    <w:uiPriority w:val="39"/>
    <w:unhideWhenUsed/>
    <w:qFormat/>
    <w:rsid w:val="009A766E"/>
    <w:pPr>
      <w:pageBreakBefore/>
      <w:widowControl/>
      <w:numPr>
        <w:numId w:val="0"/>
      </w:numPr>
      <w:spacing w:line="259" w:lineRule="auto"/>
      <w:outlineLvl w:val="9"/>
    </w:pPr>
    <w:rPr>
      <w:lang w:val="cs-CZ" w:eastAsia="cs-CZ"/>
    </w:rPr>
  </w:style>
  <w:style w:type="character" w:customStyle="1" w:styleId="Nadpis2Char">
    <w:name w:val="Nadpis 2 Char"/>
    <w:basedOn w:val="Standardnpsmoodstavce"/>
    <w:link w:val="Nadpis2"/>
    <w:uiPriority w:val="9"/>
    <w:rsid w:val="00230367"/>
    <w:rPr>
      <w:rFonts w:ascii="Times New Roman" w:eastAsiaTheme="majorEastAsia" w:hAnsi="Times New Roman" w:cstheme="majorBidi"/>
      <w:b/>
      <w:color w:val="140E96"/>
      <w:sz w:val="26"/>
      <w:szCs w:val="26"/>
      <w:lang w:val="en-US" w:eastAsia="en-US"/>
    </w:rPr>
  </w:style>
  <w:style w:type="paragraph" w:styleId="Odstavecseseznamem">
    <w:name w:val="List Paragraph"/>
    <w:basedOn w:val="Normln"/>
    <w:uiPriority w:val="34"/>
    <w:qFormat/>
    <w:rsid w:val="00F25EB8"/>
    <w:pPr>
      <w:ind w:left="720"/>
      <w:contextualSpacing/>
    </w:pPr>
  </w:style>
  <w:style w:type="character" w:customStyle="1" w:styleId="Nadpis3Char">
    <w:name w:val="Nadpis 3 Char"/>
    <w:basedOn w:val="Standardnpsmoodstavce"/>
    <w:link w:val="Nadpis3"/>
    <w:uiPriority w:val="9"/>
    <w:rsid w:val="00230367"/>
    <w:rPr>
      <w:rFonts w:ascii="Times New Roman" w:eastAsiaTheme="majorEastAsia" w:hAnsi="Times New Roman" w:cstheme="majorBidi"/>
      <w:b/>
      <w:color w:val="140E96"/>
      <w:sz w:val="24"/>
      <w:szCs w:val="24"/>
      <w:lang w:val="en-US" w:eastAsia="en-US"/>
    </w:rPr>
  </w:style>
  <w:style w:type="character" w:customStyle="1" w:styleId="StylZnakapoznpodarouLatinkaArial">
    <w:name w:val="Styl Značka pozn. pod čarou + (Latinka) Arial"/>
    <w:basedOn w:val="Znakapoznpodarou"/>
    <w:rsid w:val="0045534A"/>
    <w:rPr>
      <w:rFonts w:ascii="Times New Roman" w:hAnsi="Times New Roman"/>
      <w:vertAlign w:val="superscript"/>
    </w:rPr>
  </w:style>
  <w:style w:type="paragraph" w:styleId="Obsah1">
    <w:name w:val="toc 1"/>
    <w:basedOn w:val="Normln"/>
    <w:next w:val="Normln"/>
    <w:autoRedefine/>
    <w:uiPriority w:val="39"/>
    <w:unhideWhenUsed/>
    <w:rsid w:val="00230367"/>
    <w:pPr>
      <w:spacing w:after="100"/>
    </w:pPr>
  </w:style>
  <w:style w:type="paragraph" w:styleId="Obsah2">
    <w:name w:val="toc 2"/>
    <w:basedOn w:val="Normln"/>
    <w:next w:val="Normln"/>
    <w:autoRedefine/>
    <w:uiPriority w:val="39"/>
    <w:unhideWhenUsed/>
    <w:rsid w:val="00230367"/>
    <w:pPr>
      <w:spacing w:after="100"/>
      <w:ind w:left="240"/>
    </w:pPr>
  </w:style>
  <w:style w:type="paragraph" w:styleId="Obsah3">
    <w:name w:val="toc 3"/>
    <w:basedOn w:val="Normln"/>
    <w:next w:val="Normln"/>
    <w:autoRedefine/>
    <w:uiPriority w:val="39"/>
    <w:unhideWhenUsed/>
    <w:rsid w:val="002303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16/09/relationships/commentsIds" Target="commentsIds.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weforum.org/agenda/2023/02/imf-global-growth-forecast-inflation-cools-inflatio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2DD4-72D1-4B94-B5C1-0F7068D4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12122</Words>
  <Characters>71526</Characters>
  <Application>Microsoft Office Word</Application>
  <DocSecurity>0</DocSecurity>
  <Lines>596</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83482</CharactersWithSpaces>
  <SharedDoc>false</SharedDoc>
  <HLinks>
    <vt:vector size="6" baseType="variant">
      <vt:variant>
        <vt:i4>1179654</vt:i4>
      </vt:variant>
      <vt:variant>
        <vt:i4>0</vt:i4>
      </vt:variant>
      <vt:variant>
        <vt:i4>0</vt:i4>
      </vt:variant>
      <vt:variant>
        <vt:i4>5</vt:i4>
      </vt:variant>
      <vt:variant>
        <vt:lpwstr>https://www.weforum.org/agenda/2023/02/imf-global-growth-forecast-inflation-cools-inflation/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2023-05-22T07:57:00Z</dcterms:created>
  <dcterms:modified xsi:type="dcterms:W3CDTF">2023-05-22T10:35:00Z</dcterms:modified>
</cp:coreProperties>
</file>