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6052F7" w14:textId="77777777" w:rsidR="0003045D" w:rsidRPr="003730B5" w:rsidRDefault="0003045D" w:rsidP="008F2906">
      <w:pPr>
        <w:pStyle w:val="Nzev"/>
        <w:pageBreakBefore/>
        <w:widowControl w:val="0"/>
        <w:pBdr>
          <w:bottom w:val="none" w:sz="0" w:space="0" w:color="auto"/>
        </w:pBdr>
        <w:spacing w:before="240" w:after="120"/>
        <w:contextualSpacing w:val="0"/>
        <w:jc w:val="center"/>
        <w:outlineLvl w:val="0"/>
        <w:rPr>
          <w:rFonts w:ascii="Times New Roman" w:eastAsia="Times New Roman" w:hAnsi="Times New Roman" w:cs="Times New Roman"/>
          <w:b/>
          <w:bCs/>
          <w:color w:val="auto"/>
          <w:spacing w:val="0"/>
          <w:kern w:val="32"/>
          <w:sz w:val="40"/>
          <w:szCs w:val="32"/>
        </w:rPr>
      </w:pPr>
      <w:r w:rsidRPr="003730B5">
        <w:rPr>
          <w:rFonts w:ascii="Times New Roman" w:eastAsia="Times New Roman" w:hAnsi="Times New Roman" w:cs="Times New Roman"/>
          <w:b/>
          <w:bCs/>
          <w:color w:val="auto"/>
          <w:spacing w:val="0"/>
          <w:kern w:val="32"/>
          <w:sz w:val="40"/>
          <w:szCs w:val="32"/>
        </w:rPr>
        <w:t>Důvodová zpráva</w:t>
      </w:r>
    </w:p>
    <w:p w14:paraId="045BA699" w14:textId="4E155CD1" w:rsidR="0003045D" w:rsidRPr="003730B5" w:rsidRDefault="0003045D" w:rsidP="006F504E">
      <w:pPr>
        <w:pStyle w:val="Nadpis1"/>
        <w:keepNext w:val="0"/>
        <w:widowControl w:val="0"/>
        <w:numPr>
          <w:ilvl w:val="0"/>
          <w:numId w:val="28"/>
        </w:numPr>
        <w:rPr>
          <w:rFonts w:cs="Times New Roman"/>
        </w:rPr>
      </w:pPr>
      <w:r w:rsidRPr="003730B5">
        <w:rPr>
          <w:rFonts w:cs="Times New Roman"/>
        </w:rPr>
        <w:t>Obecná část</w:t>
      </w:r>
    </w:p>
    <w:p w14:paraId="5A6FB135" w14:textId="2D6F6CFF" w:rsidR="0046385B" w:rsidRPr="003730B5" w:rsidRDefault="004748E6" w:rsidP="00736CD0">
      <w:pPr>
        <w:pStyle w:val="DTlotextu1"/>
        <w:widowControl w:val="0"/>
      </w:pPr>
      <w:r w:rsidRPr="003730B5">
        <w:t xml:space="preserve">Návrh zákona </w:t>
      </w:r>
      <w:r w:rsidR="00C862B4" w:rsidRPr="003730B5">
        <w:t>o </w:t>
      </w:r>
      <w:r w:rsidRPr="003730B5">
        <w:t>konsolidaci veřejných rozpočtů (tzv. konsolidační balíček</w:t>
      </w:r>
      <w:r w:rsidR="003765AA" w:rsidRPr="003730B5">
        <w:t xml:space="preserve"> nebo též tzv. ozdravný balíček</w:t>
      </w:r>
      <w:r w:rsidRPr="003730B5">
        <w:t xml:space="preserve">) </w:t>
      </w:r>
      <w:r w:rsidR="00736CD0" w:rsidRPr="003730B5">
        <w:t>je jedním z klíčových výstupů dohody stran</w:t>
      </w:r>
      <w:r w:rsidR="003765AA" w:rsidRPr="003730B5">
        <w:t xml:space="preserve"> vládní koalice</w:t>
      </w:r>
      <w:r w:rsidR="00736CD0" w:rsidRPr="003730B5">
        <w:t>, která byla veřejno</w:t>
      </w:r>
      <w:r w:rsidR="00820AEF" w:rsidRPr="003730B5">
        <w:t>sti finálně představena dne 11. </w:t>
      </w:r>
      <w:r w:rsidR="00820D28" w:rsidRPr="003730B5">
        <w:t xml:space="preserve">5. </w:t>
      </w:r>
      <w:r w:rsidR="00736CD0" w:rsidRPr="003730B5">
        <w:t xml:space="preserve">2023. </w:t>
      </w:r>
      <w:r w:rsidR="0046385B" w:rsidRPr="003730B5">
        <w:t xml:space="preserve">Tvoří nejvýznamnější část opatření </w:t>
      </w:r>
      <w:r w:rsidR="00736CD0" w:rsidRPr="003730B5">
        <w:t xml:space="preserve">ke snižování strukturálního deficitu státního rozpočtu </w:t>
      </w:r>
      <w:r w:rsidR="007C6C1D" w:rsidRPr="003730B5">
        <w:t>a </w:t>
      </w:r>
      <w:r w:rsidR="0046385B" w:rsidRPr="003730B5">
        <w:t xml:space="preserve">konsolidaci veřejných financí, přičemž se soustředí na ta témata, která vyžadují legislativní řešení ve formě změny zákona </w:t>
      </w:r>
      <w:r w:rsidR="007C6C1D" w:rsidRPr="003730B5">
        <w:t>a </w:t>
      </w:r>
      <w:r w:rsidR="0046385B" w:rsidRPr="003730B5">
        <w:t>kter</w:t>
      </w:r>
      <w:r w:rsidR="00FC42A6" w:rsidRPr="003730B5">
        <w:t>á</w:t>
      </w:r>
      <w:r w:rsidR="0046385B" w:rsidRPr="003730B5">
        <w:t xml:space="preserve"> nejsou řešena v rámci samostatných projektů. Součástí odůvodnění materiálu je nicméně </w:t>
      </w:r>
      <w:r w:rsidR="007C6C1D" w:rsidRPr="003730B5">
        <w:t>i </w:t>
      </w:r>
      <w:r w:rsidR="0046385B" w:rsidRPr="003730B5">
        <w:t xml:space="preserve">stručné pojednání </w:t>
      </w:r>
      <w:r w:rsidR="007C6C1D" w:rsidRPr="003730B5">
        <w:t>o </w:t>
      </w:r>
      <w:r w:rsidR="0046385B" w:rsidRPr="003730B5">
        <w:t xml:space="preserve">změnách, které jsou z legislativního pohledu řešeny samostatně, </w:t>
      </w:r>
      <w:r w:rsidR="007C6C1D" w:rsidRPr="003730B5">
        <w:t>a o </w:t>
      </w:r>
      <w:r w:rsidR="0046385B" w:rsidRPr="003730B5">
        <w:t>změnách, které nevyžadují legislativní řešení</w:t>
      </w:r>
      <w:r w:rsidR="001F0C2B" w:rsidRPr="003730B5">
        <w:t>,</w:t>
      </w:r>
      <w:r w:rsidR="0046385B" w:rsidRPr="003730B5">
        <w:t xml:space="preserve"> </w:t>
      </w:r>
      <w:r w:rsidR="007C6C1D" w:rsidRPr="003730B5">
        <w:t>a </w:t>
      </w:r>
      <w:r w:rsidR="0046385B" w:rsidRPr="003730B5">
        <w:t>lze je tedy realizovat exekutivními nástroji.</w:t>
      </w:r>
    </w:p>
    <w:p w14:paraId="6E45070C" w14:textId="1443B5FF" w:rsidR="00736CD0" w:rsidRPr="003730B5" w:rsidRDefault="003765AA" w:rsidP="00736CD0">
      <w:pPr>
        <w:pStyle w:val="DTlotextu1"/>
        <w:widowControl w:val="0"/>
      </w:pPr>
      <w:r w:rsidRPr="003730B5">
        <w:t>F</w:t>
      </w:r>
      <w:r w:rsidR="0046385B" w:rsidRPr="003730B5">
        <w:t>ormálním předkladatelem materiálu je Ministerstvo financí,</w:t>
      </w:r>
      <w:r w:rsidRPr="003730B5">
        <w:t xml:space="preserve"> nicméně se</w:t>
      </w:r>
      <w:r w:rsidR="0046385B" w:rsidRPr="003730B5">
        <w:t xml:space="preserve"> jedná</w:t>
      </w:r>
      <w:r w:rsidR="00736CD0" w:rsidRPr="003730B5">
        <w:t xml:space="preserve"> </w:t>
      </w:r>
      <w:r w:rsidR="007C6C1D" w:rsidRPr="003730B5">
        <w:t>o </w:t>
      </w:r>
      <w:r w:rsidR="00736CD0" w:rsidRPr="003730B5">
        <w:t>sou</w:t>
      </w:r>
      <w:r w:rsidR="006F6B81" w:rsidRPr="003730B5">
        <w:t xml:space="preserve">bor návrhů, na kterém se podílely </w:t>
      </w:r>
      <w:r w:rsidR="007C6C1D" w:rsidRPr="003730B5">
        <w:t>i </w:t>
      </w:r>
      <w:r w:rsidR="006F6B81" w:rsidRPr="003730B5">
        <w:t xml:space="preserve">ostatní rezorty </w:t>
      </w:r>
      <w:r w:rsidR="007C6C1D" w:rsidRPr="003730B5">
        <w:t>a </w:t>
      </w:r>
      <w:r w:rsidR="006F6B81" w:rsidRPr="003730B5">
        <w:t xml:space="preserve">které byly na koaliční úrovni diskutovány s členy horní </w:t>
      </w:r>
      <w:r w:rsidR="007C6C1D" w:rsidRPr="003730B5">
        <w:t>i </w:t>
      </w:r>
      <w:r w:rsidR="006F6B81" w:rsidRPr="003730B5">
        <w:t xml:space="preserve">dolní komory Parlamentu České republiky, přičemž myšlenkovým východiskem řady z nich byly návrhy </w:t>
      </w:r>
      <w:r w:rsidR="007C6C1D" w:rsidRPr="003730B5">
        <w:t>a </w:t>
      </w:r>
      <w:r w:rsidR="006F6B81" w:rsidRPr="003730B5">
        <w:t>podněty odborné veřejnosti, zejména pak Národní ekonomické rady vlády (NERV).</w:t>
      </w:r>
      <w:r w:rsidR="00736CD0" w:rsidRPr="003730B5">
        <w:t xml:space="preserve"> </w:t>
      </w:r>
    </w:p>
    <w:p w14:paraId="79FBD46A" w14:textId="5906F672" w:rsidR="006F6B81" w:rsidRPr="003730B5" w:rsidRDefault="006F6B81" w:rsidP="00736CD0">
      <w:pPr>
        <w:pStyle w:val="DTlotextu1"/>
        <w:widowControl w:val="0"/>
      </w:pPr>
      <w:r w:rsidRPr="003730B5">
        <w:t xml:space="preserve">Ačkoli v rámci normativního textu návrhu jsou zákony řazeny v souladu s Legislativními pravidly vlády </w:t>
      </w:r>
      <w:r w:rsidR="0017762B" w:rsidRPr="003730B5">
        <w:t xml:space="preserve">chronologicky </w:t>
      </w:r>
      <w:r w:rsidRPr="003730B5">
        <w:t xml:space="preserve">podle data </w:t>
      </w:r>
      <w:r w:rsidR="00FC42A6" w:rsidRPr="003730B5">
        <w:t xml:space="preserve">vydání </w:t>
      </w:r>
      <w:r w:rsidRPr="003730B5">
        <w:t>novelizovaných zákonů, pro účely obecné části důvodové zprávy jsou témata zpracována dle jednotlivých tematicky souvisejících oblastí.</w:t>
      </w:r>
    </w:p>
    <w:p w14:paraId="637E9433" w14:textId="5D814766" w:rsidR="00736CD0" w:rsidRPr="003730B5" w:rsidRDefault="00EF62FB" w:rsidP="00EF62FB">
      <w:pPr>
        <w:pStyle w:val="DTlotextu1"/>
        <w:widowControl w:val="0"/>
      </w:pPr>
      <w:r w:rsidRPr="003730B5">
        <w:t xml:space="preserve">Odůvodnění především ekonomického aspektu, který byl vzat v potaz při celkové skladbě jednotlivých návrhů </w:t>
      </w:r>
      <w:r w:rsidR="007C6C1D" w:rsidRPr="003730B5">
        <w:t>a </w:t>
      </w:r>
      <w:r w:rsidRPr="003730B5">
        <w:t>opatření</w:t>
      </w:r>
      <w:r w:rsidR="00FC42A6" w:rsidRPr="003730B5">
        <w:t>,</w:t>
      </w:r>
      <w:r w:rsidRPr="003730B5">
        <w:t xml:space="preserve"> je součástí přiložené </w:t>
      </w:r>
      <w:r w:rsidR="001F0C2B" w:rsidRPr="003730B5">
        <w:rPr>
          <w:i/>
        </w:rPr>
        <w:t xml:space="preserve">Závěrečné zprávy z hodnocení dopadů </w:t>
      </w:r>
      <w:r w:rsidRPr="003730B5">
        <w:rPr>
          <w:i/>
        </w:rPr>
        <w:t>regulace</w:t>
      </w:r>
      <w:r w:rsidR="001F0C2B" w:rsidRPr="003730B5">
        <w:rPr>
          <w:i/>
        </w:rPr>
        <w:t xml:space="preserve"> (RIA)</w:t>
      </w:r>
      <w:r w:rsidRPr="003730B5">
        <w:t xml:space="preserve">. Vychází z myšlenky preference </w:t>
      </w:r>
      <w:r w:rsidR="00736CD0" w:rsidRPr="003730B5">
        <w:t>opatření především na výdajové straně státního rozpočtu</w:t>
      </w:r>
      <w:r w:rsidRPr="003730B5">
        <w:t xml:space="preserve"> doprovázených opatřeními na příjmové straně veřejných rozpočtů s důrazem na státní rozpočet.</w:t>
      </w:r>
      <w:r w:rsidR="00736CD0" w:rsidRPr="003730B5">
        <w:t xml:space="preserve"> </w:t>
      </w:r>
    </w:p>
    <w:p w14:paraId="5683C15B" w14:textId="4787E528" w:rsidR="00736CD0" w:rsidRPr="003730B5" w:rsidRDefault="00EF62FB" w:rsidP="00736CD0">
      <w:pPr>
        <w:pStyle w:val="DTlotextu1"/>
        <w:widowControl w:val="0"/>
      </w:pPr>
      <w:r w:rsidRPr="003730B5">
        <w:t>Na k</w:t>
      </w:r>
      <w:r w:rsidR="00736CD0" w:rsidRPr="003730B5">
        <w:t>onsolidační opatření</w:t>
      </w:r>
      <w:r w:rsidRPr="003730B5">
        <w:t xml:space="preserve"> je třeba nazírat nejen optikou krátkodobou, ale je nutné k nim přistupovat jako </w:t>
      </w:r>
      <w:r w:rsidR="007C6C1D" w:rsidRPr="003730B5">
        <w:t>k </w:t>
      </w:r>
      <w:r w:rsidRPr="003730B5">
        <w:t>investici</w:t>
      </w:r>
      <w:r w:rsidR="00736CD0" w:rsidRPr="003730B5">
        <w:t xml:space="preserve"> do budoucnosti země. Podobně jako jiné investice mohou mít některé </w:t>
      </w:r>
      <w:r w:rsidR="007C6C1D" w:rsidRPr="003730B5">
        <w:t>z </w:t>
      </w:r>
      <w:r w:rsidR="00736CD0" w:rsidRPr="003730B5">
        <w:t xml:space="preserve">nich své počáteční náklady </w:t>
      </w:r>
      <w:r w:rsidR="007C6C1D" w:rsidRPr="003730B5">
        <w:t>a </w:t>
      </w:r>
      <w:r w:rsidR="00736CD0" w:rsidRPr="003730B5">
        <w:t xml:space="preserve">jejich přínosy se projeví </w:t>
      </w:r>
      <w:r w:rsidR="007C6C1D" w:rsidRPr="003730B5">
        <w:t>v </w:t>
      </w:r>
      <w:r w:rsidR="00736CD0" w:rsidRPr="003730B5">
        <w:t xml:space="preserve">delším časovém horizontu. Hlavním přínosem je zvýšení stability systému veřejných financí </w:t>
      </w:r>
      <w:r w:rsidR="007C6C1D" w:rsidRPr="003730B5">
        <w:t>a </w:t>
      </w:r>
      <w:r w:rsidR="00736CD0" w:rsidRPr="003730B5">
        <w:t>posílení příznivého proinvestičního prostředí, které podpoří blahobyt obyvatel Č</w:t>
      </w:r>
      <w:r w:rsidR="0017762B" w:rsidRPr="003730B5">
        <w:t>eské republiky</w:t>
      </w:r>
      <w:r w:rsidR="00736CD0" w:rsidRPr="003730B5">
        <w:t>.</w:t>
      </w:r>
    </w:p>
    <w:p w14:paraId="00D0B7C5" w14:textId="4D842EBE" w:rsidR="00AD2BB1" w:rsidRPr="003730B5" w:rsidRDefault="003E1A4D" w:rsidP="008F2906">
      <w:pPr>
        <w:pStyle w:val="DTlotextu1"/>
        <w:widowControl w:val="0"/>
      </w:pPr>
      <w:r w:rsidRPr="003730B5">
        <w:t xml:space="preserve">Návrh zákona </w:t>
      </w:r>
      <w:r w:rsidR="00C862B4" w:rsidRPr="003730B5">
        <w:t>o </w:t>
      </w:r>
      <w:r w:rsidRPr="003730B5">
        <w:t>konsolidaci veřejných rozpočtů (tzv. konsolidační balíček)</w:t>
      </w:r>
      <w:r w:rsidR="00AD2BB1" w:rsidRPr="003730B5">
        <w:t xml:space="preserve"> je souborem novel těchto zákonů</w:t>
      </w:r>
      <w:r w:rsidR="00E24D2D" w:rsidRPr="003730B5">
        <w:t xml:space="preserve"> (řazeno chronologicky podle čísla ve Sbírce zákonů)</w:t>
      </w:r>
      <w:r w:rsidR="00AD2BB1" w:rsidRPr="003730B5">
        <w:t>:</w:t>
      </w:r>
    </w:p>
    <w:p w14:paraId="00AE54FB" w14:textId="53080C29"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141/1961 Sb., </w:t>
      </w:r>
      <w:r w:rsidR="00552598" w:rsidRPr="003730B5">
        <w:rPr>
          <w:szCs w:val="24"/>
        </w:rPr>
        <w:t>o </w:t>
      </w:r>
      <w:r w:rsidRPr="003730B5">
        <w:rPr>
          <w:szCs w:val="24"/>
        </w:rPr>
        <w:t>trestním řízení soudním (trestní řád), ve znění pozdějších předpisů</w:t>
      </w:r>
      <w:r w:rsidR="00552598" w:rsidRPr="003730B5">
        <w:rPr>
          <w:szCs w:val="24"/>
        </w:rPr>
        <w:t xml:space="preserve"> (dále též „trestní řád“)</w:t>
      </w:r>
      <w:r w:rsidR="006927CA" w:rsidRPr="003730B5">
        <w:rPr>
          <w:szCs w:val="24"/>
        </w:rPr>
        <w:t>,</w:t>
      </w:r>
    </w:p>
    <w:p w14:paraId="3AFED123" w14:textId="55A6B071"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99/1963 Sb., občanský soudní řád, ve znění pozdějších předpisů</w:t>
      </w:r>
      <w:r w:rsidR="00552598" w:rsidRPr="003730B5">
        <w:rPr>
          <w:szCs w:val="24"/>
        </w:rPr>
        <w:t xml:space="preserve"> (dále též „občanský soudní řád“)</w:t>
      </w:r>
      <w:r w:rsidR="006927CA" w:rsidRPr="003730B5">
        <w:rPr>
          <w:szCs w:val="24"/>
        </w:rPr>
        <w:t>,</w:t>
      </w:r>
    </w:p>
    <w:p w14:paraId="5CAA0F25" w14:textId="1116FF31"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44/1988 Sb., o ochraně a využití nerostného bohatství (horní zákon), ve znění pozdějších předpisů (dále </w:t>
      </w:r>
      <w:r w:rsidR="00552598" w:rsidRPr="003730B5">
        <w:rPr>
          <w:szCs w:val="24"/>
        </w:rPr>
        <w:t>též</w:t>
      </w:r>
      <w:r w:rsidRPr="003730B5">
        <w:rPr>
          <w:szCs w:val="24"/>
        </w:rPr>
        <w:t xml:space="preserve"> „horní zákon“),</w:t>
      </w:r>
    </w:p>
    <w:p w14:paraId="0313E52C" w14:textId="126466EA"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451/1991 Sb., kterým se stanoví některé další předpoklady pro výkon některých funkcí ve státních orgánech </w:t>
      </w:r>
      <w:r w:rsidR="00552598" w:rsidRPr="003730B5">
        <w:rPr>
          <w:szCs w:val="24"/>
        </w:rPr>
        <w:t>a </w:t>
      </w:r>
      <w:r w:rsidRPr="003730B5">
        <w:rPr>
          <w:szCs w:val="24"/>
        </w:rPr>
        <w:t xml:space="preserve">organizacích České </w:t>
      </w:r>
      <w:r w:rsidR="00552598" w:rsidRPr="003730B5">
        <w:rPr>
          <w:szCs w:val="24"/>
        </w:rPr>
        <w:t>a </w:t>
      </w:r>
      <w:r w:rsidRPr="003730B5">
        <w:rPr>
          <w:szCs w:val="24"/>
        </w:rPr>
        <w:t xml:space="preserve">Slovenské Federativní Republiky, České republiky </w:t>
      </w:r>
      <w:r w:rsidR="00552598" w:rsidRPr="003730B5">
        <w:rPr>
          <w:szCs w:val="24"/>
        </w:rPr>
        <w:t>a </w:t>
      </w:r>
      <w:r w:rsidRPr="003730B5">
        <w:rPr>
          <w:szCs w:val="24"/>
        </w:rPr>
        <w:t>Slovenské republiky, ve znění pozdějších předpisů</w:t>
      </w:r>
      <w:r w:rsidR="006927CA" w:rsidRPr="003730B5">
        <w:rPr>
          <w:szCs w:val="24"/>
        </w:rPr>
        <w:t>,</w:t>
      </w:r>
    </w:p>
    <w:p w14:paraId="2D4B7D96" w14:textId="74FB10F4"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č. 549/1991 Sb., </w:t>
      </w:r>
      <w:r w:rsidR="00552598" w:rsidRPr="003730B5">
        <w:rPr>
          <w:szCs w:val="24"/>
        </w:rPr>
        <w:t>o </w:t>
      </w:r>
      <w:r w:rsidRPr="003730B5">
        <w:rPr>
          <w:szCs w:val="24"/>
        </w:rPr>
        <w:t>soudních poplatcích, ve znění pozdějších předpisů</w:t>
      </w:r>
      <w:r w:rsidR="00552598" w:rsidRPr="003730B5">
        <w:rPr>
          <w:szCs w:val="24"/>
        </w:rPr>
        <w:t xml:space="preserve"> (dále též „zákon </w:t>
      </w:r>
      <w:r w:rsidR="00534ED9" w:rsidRPr="003730B5">
        <w:rPr>
          <w:szCs w:val="24"/>
        </w:rPr>
        <w:t>o </w:t>
      </w:r>
      <w:r w:rsidR="00552598" w:rsidRPr="003730B5">
        <w:rPr>
          <w:szCs w:val="24"/>
        </w:rPr>
        <w:t>soudních poplatcích“)</w:t>
      </w:r>
      <w:r w:rsidR="006927CA" w:rsidRPr="003730B5">
        <w:rPr>
          <w:szCs w:val="24"/>
        </w:rPr>
        <w:t>,</w:t>
      </w:r>
    </w:p>
    <w:p w14:paraId="441DAA9A" w14:textId="3FB97627" w:rsidR="00B86B7B" w:rsidRPr="003730B5" w:rsidRDefault="00B86B7B" w:rsidP="00B86B7B">
      <w:pPr>
        <w:pStyle w:val="Odstavecseseznamem"/>
        <w:numPr>
          <w:ilvl w:val="0"/>
          <w:numId w:val="29"/>
        </w:numPr>
        <w:spacing w:after="160" w:line="259" w:lineRule="auto"/>
        <w:rPr>
          <w:szCs w:val="24"/>
        </w:rPr>
      </w:pPr>
      <w:r w:rsidRPr="003730B5">
        <w:rPr>
          <w:noProof/>
          <w:color w:val="000000"/>
          <w:szCs w:val="24"/>
        </w:rPr>
        <w:t xml:space="preserve">zákon </w:t>
      </w:r>
      <w:r w:rsidR="00552598" w:rsidRPr="003730B5">
        <w:rPr>
          <w:noProof/>
          <w:color w:val="000000"/>
          <w:szCs w:val="24"/>
        </w:rPr>
        <w:t>č. </w:t>
      </w:r>
      <w:r w:rsidRPr="003730B5">
        <w:rPr>
          <w:noProof/>
          <w:color w:val="000000"/>
          <w:szCs w:val="24"/>
        </w:rPr>
        <w:t xml:space="preserve">582/1991 Sb., </w:t>
      </w:r>
      <w:r w:rsidR="00552598" w:rsidRPr="003730B5">
        <w:rPr>
          <w:noProof/>
          <w:color w:val="000000"/>
          <w:szCs w:val="24"/>
        </w:rPr>
        <w:t>o </w:t>
      </w:r>
      <w:r w:rsidRPr="003730B5">
        <w:rPr>
          <w:noProof/>
          <w:color w:val="000000"/>
          <w:szCs w:val="24"/>
        </w:rPr>
        <w:t xml:space="preserve">organizaci </w:t>
      </w:r>
      <w:r w:rsidR="00552598" w:rsidRPr="003730B5">
        <w:rPr>
          <w:noProof/>
          <w:color w:val="000000"/>
          <w:szCs w:val="24"/>
        </w:rPr>
        <w:t>a </w:t>
      </w:r>
      <w:r w:rsidRPr="003730B5">
        <w:rPr>
          <w:noProof/>
          <w:color w:val="000000"/>
          <w:szCs w:val="24"/>
        </w:rPr>
        <w:t xml:space="preserve">provádění sociálního zabezpečení, </w:t>
      </w:r>
      <w:r w:rsidRPr="003730B5">
        <w:rPr>
          <w:szCs w:val="24"/>
        </w:rPr>
        <w:t>ve znění pozdějších předpisů</w:t>
      </w:r>
      <w:r w:rsidR="00552598" w:rsidRPr="003730B5">
        <w:rPr>
          <w:szCs w:val="24"/>
        </w:rPr>
        <w:t xml:space="preserve"> (dále též „zákon </w:t>
      </w:r>
      <w:r w:rsidR="00534ED9" w:rsidRPr="003730B5">
        <w:rPr>
          <w:szCs w:val="24"/>
        </w:rPr>
        <w:t>o </w:t>
      </w:r>
      <w:r w:rsidR="00552598" w:rsidRPr="003730B5">
        <w:rPr>
          <w:szCs w:val="24"/>
        </w:rPr>
        <w:t xml:space="preserve">organizaci </w:t>
      </w:r>
      <w:r w:rsidR="00534ED9" w:rsidRPr="003730B5">
        <w:rPr>
          <w:szCs w:val="24"/>
        </w:rPr>
        <w:t>a </w:t>
      </w:r>
      <w:r w:rsidR="00552598" w:rsidRPr="003730B5">
        <w:rPr>
          <w:szCs w:val="24"/>
        </w:rPr>
        <w:t>provádění sociálního zabezpečení“)</w:t>
      </w:r>
      <w:r w:rsidR="006927CA" w:rsidRPr="003730B5">
        <w:rPr>
          <w:szCs w:val="24"/>
        </w:rPr>
        <w:t>,</w:t>
      </w:r>
    </w:p>
    <w:p w14:paraId="4126AEE3" w14:textId="01773246" w:rsidR="00B86B7B" w:rsidRPr="003730B5" w:rsidRDefault="00B86B7B" w:rsidP="00B86B7B">
      <w:pPr>
        <w:pStyle w:val="Odstavecseseznamem"/>
        <w:numPr>
          <w:ilvl w:val="0"/>
          <w:numId w:val="29"/>
        </w:numPr>
        <w:spacing w:after="160" w:line="259" w:lineRule="auto"/>
        <w:rPr>
          <w:szCs w:val="24"/>
        </w:rPr>
      </w:pPr>
      <w:r w:rsidRPr="003730B5">
        <w:rPr>
          <w:szCs w:val="24"/>
        </w:rPr>
        <w:lastRenderedPageBreak/>
        <w:t xml:space="preserve">zákon </w:t>
      </w:r>
      <w:r w:rsidR="00552598" w:rsidRPr="003730B5">
        <w:rPr>
          <w:szCs w:val="24"/>
        </w:rPr>
        <w:t>č. </w:t>
      </w:r>
      <w:r w:rsidRPr="003730B5">
        <w:rPr>
          <w:szCs w:val="24"/>
        </w:rPr>
        <w:t xml:space="preserve">21/1992 Sb., </w:t>
      </w:r>
      <w:r w:rsidR="00552598" w:rsidRPr="003730B5">
        <w:rPr>
          <w:szCs w:val="24"/>
        </w:rPr>
        <w:t>o </w:t>
      </w:r>
      <w:r w:rsidRPr="003730B5">
        <w:rPr>
          <w:szCs w:val="24"/>
        </w:rPr>
        <w:t>bankách, ve znění pozdějších předpisů</w:t>
      </w:r>
      <w:r w:rsidR="00552598" w:rsidRPr="003730B5">
        <w:rPr>
          <w:szCs w:val="24"/>
        </w:rPr>
        <w:t xml:space="preserve"> (dále též „zákon o bankách“)</w:t>
      </w:r>
      <w:r w:rsidR="006927CA" w:rsidRPr="003730B5">
        <w:rPr>
          <w:szCs w:val="24"/>
        </w:rPr>
        <w:t>,</w:t>
      </w:r>
    </w:p>
    <w:p w14:paraId="4BB65866" w14:textId="7FA02C84" w:rsidR="0083045A" w:rsidRPr="003730B5" w:rsidRDefault="0083045A" w:rsidP="0083045A">
      <w:pPr>
        <w:pStyle w:val="Odstavecseseznamem"/>
        <w:numPr>
          <w:ilvl w:val="0"/>
          <w:numId w:val="29"/>
        </w:numPr>
        <w:rPr>
          <w:szCs w:val="24"/>
        </w:rPr>
      </w:pPr>
      <w:r w:rsidRPr="003730B5">
        <w:rPr>
          <w:szCs w:val="24"/>
        </w:rPr>
        <w:t xml:space="preserve">zákona č. 338/1992 Sb., o dani z nemovitých věcí, ve znění pozdějších předpisů (dále </w:t>
      </w:r>
      <w:r w:rsidR="00552598" w:rsidRPr="003730B5">
        <w:rPr>
          <w:szCs w:val="24"/>
        </w:rPr>
        <w:t>též</w:t>
      </w:r>
      <w:r w:rsidRPr="003730B5">
        <w:rPr>
          <w:szCs w:val="24"/>
        </w:rPr>
        <w:t xml:space="preserve"> „zákon o dani z nemovitých věcí“), </w:t>
      </w:r>
    </w:p>
    <w:p w14:paraId="0410053F" w14:textId="44C9CDB8" w:rsidR="00B86B7B" w:rsidRPr="003730B5" w:rsidRDefault="00B86B7B" w:rsidP="0083045A">
      <w:pPr>
        <w:pStyle w:val="Odstavecseseznamem"/>
        <w:numPr>
          <w:ilvl w:val="0"/>
          <w:numId w:val="29"/>
        </w:numPr>
        <w:spacing w:after="160" w:line="259" w:lineRule="auto"/>
        <w:rPr>
          <w:szCs w:val="24"/>
        </w:rPr>
      </w:pPr>
      <w:r w:rsidRPr="003730B5">
        <w:rPr>
          <w:szCs w:val="24"/>
        </w:rPr>
        <w:t>zákon č. 586/1992 Sb., o daních z příjmů, ve znění pozdějších předpisů</w:t>
      </w:r>
      <w:r w:rsidR="0083045A" w:rsidRPr="003730B5">
        <w:rPr>
          <w:szCs w:val="24"/>
        </w:rPr>
        <w:t xml:space="preserve"> (dále </w:t>
      </w:r>
      <w:r w:rsidR="00552598" w:rsidRPr="003730B5">
        <w:rPr>
          <w:szCs w:val="24"/>
        </w:rPr>
        <w:t>též</w:t>
      </w:r>
      <w:r w:rsidR="0083045A" w:rsidRPr="003730B5">
        <w:rPr>
          <w:szCs w:val="24"/>
        </w:rPr>
        <w:t xml:space="preserve"> „zákon </w:t>
      </w:r>
      <w:r w:rsidR="00552598" w:rsidRPr="003730B5">
        <w:rPr>
          <w:szCs w:val="24"/>
        </w:rPr>
        <w:t>o </w:t>
      </w:r>
      <w:r w:rsidR="0083045A" w:rsidRPr="003730B5">
        <w:rPr>
          <w:szCs w:val="24"/>
        </w:rPr>
        <w:t xml:space="preserve">daních </w:t>
      </w:r>
      <w:r w:rsidR="00552598" w:rsidRPr="003730B5">
        <w:rPr>
          <w:szCs w:val="24"/>
        </w:rPr>
        <w:t>z </w:t>
      </w:r>
      <w:r w:rsidR="0083045A" w:rsidRPr="003730B5">
        <w:rPr>
          <w:szCs w:val="24"/>
        </w:rPr>
        <w:t>příjmů“</w:t>
      </w:r>
      <w:r w:rsidR="00552598" w:rsidRPr="003730B5">
        <w:rPr>
          <w:szCs w:val="24"/>
        </w:rPr>
        <w:t xml:space="preserve"> nebo „ZDP“</w:t>
      </w:r>
      <w:r w:rsidR="0083045A" w:rsidRPr="003730B5">
        <w:rPr>
          <w:szCs w:val="24"/>
        </w:rPr>
        <w:t>),</w:t>
      </w:r>
    </w:p>
    <w:p w14:paraId="75A60000" w14:textId="544E1EEA" w:rsidR="00B86B7B" w:rsidRPr="003730B5" w:rsidRDefault="00B86B7B" w:rsidP="00B86B7B">
      <w:pPr>
        <w:pStyle w:val="Odstavecseseznamem"/>
        <w:numPr>
          <w:ilvl w:val="0"/>
          <w:numId w:val="29"/>
        </w:numPr>
        <w:spacing w:after="160" w:line="259" w:lineRule="auto"/>
        <w:rPr>
          <w:noProof/>
          <w:color w:val="000000"/>
          <w:szCs w:val="24"/>
        </w:rPr>
      </w:pPr>
      <w:r w:rsidRPr="003730B5">
        <w:rPr>
          <w:noProof/>
          <w:color w:val="000000"/>
          <w:szCs w:val="24"/>
        </w:rPr>
        <w:t xml:space="preserve">zákon </w:t>
      </w:r>
      <w:r w:rsidR="00552598" w:rsidRPr="003730B5">
        <w:rPr>
          <w:noProof/>
          <w:color w:val="000000"/>
          <w:szCs w:val="24"/>
        </w:rPr>
        <w:t>č. </w:t>
      </w:r>
      <w:r w:rsidRPr="003730B5">
        <w:rPr>
          <w:noProof/>
          <w:color w:val="000000"/>
          <w:szCs w:val="24"/>
        </w:rPr>
        <w:t xml:space="preserve">589/1992 Sb., </w:t>
      </w:r>
      <w:r w:rsidR="00552598" w:rsidRPr="003730B5">
        <w:rPr>
          <w:noProof/>
          <w:color w:val="000000"/>
          <w:szCs w:val="24"/>
        </w:rPr>
        <w:t>o </w:t>
      </w:r>
      <w:r w:rsidRPr="003730B5">
        <w:rPr>
          <w:noProof/>
          <w:color w:val="000000"/>
          <w:szCs w:val="24"/>
        </w:rPr>
        <w:t xml:space="preserve">pojistném na sociální zabezpečení </w:t>
      </w:r>
      <w:r w:rsidR="00552598" w:rsidRPr="003730B5">
        <w:rPr>
          <w:noProof/>
          <w:color w:val="000000"/>
          <w:szCs w:val="24"/>
        </w:rPr>
        <w:t>a </w:t>
      </w:r>
      <w:r w:rsidRPr="003730B5">
        <w:rPr>
          <w:noProof/>
          <w:color w:val="000000"/>
          <w:szCs w:val="24"/>
        </w:rPr>
        <w:t xml:space="preserve">příspěvku na státní politiku zaměstnanosti, </w:t>
      </w:r>
      <w:r w:rsidRPr="003730B5">
        <w:rPr>
          <w:szCs w:val="24"/>
        </w:rPr>
        <w:t>ve znění pozdějších předpisů</w:t>
      </w:r>
      <w:r w:rsidR="00751874" w:rsidRPr="003730B5">
        <w:rPr>
          <w:szCs w:val="24"/>
        </w:rPr>
        <w:t xml:space="preserve"> (dále též „</w:t>
      </w:r>
      <w:r w:rsidR="008D5875" w:rsidRPr="003730B5">
        <w:rPr>
          <w:szCs w:val="24"/>
        </w:rPr>
        <w:t xml:space="preserve">zákon </w:t>
      </w:r>
      <w:r w:rsidR="00751874" w:rsidRPr="003730B5">
        <w:rPr>
          <w:noProof/>
          <w:color w:val="000000"/>
          <w:szCs w:val="24"/>
        </w:rPr>
        <w:t>o pojistném na sociální zabezpečení</w:t>
      </w:r>
      <w:r w:rsidR="00751874" w:rsidRPr="003730B5">
        <w:rPr>
          <w:szCs w:val="24"/>
        </w:rPr>
        <w:t>“),</w:t>
      </w:r>
    </w:p>
    <w:p w14:paraId="7C5AF017" w14:textId="4AD93BBA" w:rsidR="00B86B7B" w:rsidRPr="003730B5" w:rsidRDefault="00B86B7B" w:rsidP="00B86B7B">
      <w:pPr>
        <w:pStyle w:val="Odstavecseseznamem"/>
        <w:numPr>
          <w:ilvl w:val="0"/>
          <w:numId w:val="29"/>
        </w:numPr>
        <w:spacing w:after="160" w:line="259" w:lineRule="auto"/>
        <w:rPr>
          <w:noProof/>
          <w:color w:val="000000"/>
          <w:szCs w:val="24"/>
        </w:rPr>
      </w:pPr>
      <w:r w:rsidRPr="003730B5">
        <w:rPr>
          <w:noProof/>
          <w:color w:val="000000"/>
          <w:szCs w:val="24"/>
        </w:rPr>
        <w:t xml:space="preserve">zákon </w:t>
      </w:r>
      <w:r w:rsidR="00552598" w:rsidRPr="003730B5">
        <w:rPr>
          <w:noProof/>
          <w:color w:val="000000"/>
          <w:szCs w:val="24"/>
        </w:rPr>
        <w:t>č. </w:t>
      </w:r>
      <w:r w:rsidRPr="003730B5">
        <w:rPr>
          <w:noProof/>
          <w:color w:val="000000"/>
          <w:szCs w:val="24"/>
        </w:rPr>
        <w:t xml:space="preserve">16/1993 Sb., </w:t>
      </w:r>
      <w:r w:rsidR="00552598" w:rsidRPr="003730B5">
        <w:rPr>
          <w:noProof/>
          <w:color w:val="000000"/>
          <w:szCs w:val="24"/>
        </w:rPr>
        <w:t>o </w:t>
      </w:r>
      <w:r w:rsidRPr="003730B5">
        <w:rPr>
          <w:noProof/>
          <w:color w:val="000000"/>
          <w:szCs w:val="24"/>
        </w:rPr>
        <w:t xml:space="preserve">dani silniční, </w:t>
      </w:r>
      <w:r w:rsidRPr="003730B5">
        <w:rPr>
          <w:szCs w:val="24"/>
        </w:rPr>
        <w:t>ve znění pozdějších předpisů</w:t>
      </w:r>
      <w:r w:rsidR="00751874" w:rsidRPr="003730B5">
        <w:rPr>
          <w:szCs w:val="24"/>
        </w:rPr>
        <w:t xml:space="preserve"> (dále též „zákon o dani silniční“),</w:t>
      </w:r>
    </w:p>
    <w:p w14:paraId="47B9985E" w14:textId="0C351D45"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96/1993 Sb., </w:t>
      </w:r>
      <w:r w:rsidR="00552598" w:rsidRPr="003730B5">
        <w:rPr>
          <w:szCs w:val="24"/>
        </w:rPr>
        <w:t>o </w:t>
      </w:r>
      <w:r w:rsidRPr="003730B5">
        <w:rPr>
          <w:szCs w:val="24"/>
        </w:rPr>
        <w:t xml:space="preserve">stavebním spoření </w:t>
      </w:r>
      <w:r w:rsidR="00552598" w:rsidRPr="003730B5">
        <w:rPr>
          <w:szCs w:val="24"/>
        </w:rPr>
        <w:t>a </w:t>
      </w:r>
      <w:r w:rsidRPr="003730B5">
        <w:rPr>
          <w:szCs w:val="24"/>
        </w:rPr>
        <w:t>státní podpoře stavebního spoření, ve znění pozdějších předpisů</w:t>
      </w:r>
      <w:r w:rsidR="006927CA" w:rsidRPr="003730B5">
        <w:rPr>
          <w:szCs w:val="24"/>
        </w:rPr>
        <w:t xml:space="preserve"> (dále též „zákon o stavebním spoření“),</w:t>
      </w:r>
    </w:p>
    <w:p w14:paraId="36172B49" w14:textId="67D40DFE" w:rsidR="00B86B7B" w:rsidRPr="003730B5" w:rsidRDefault="00B86B7B" w:rsidP="00B86B7B">
      <w:pPr>
        <w:pStyle w:val="Odstavecseseznamem"/>
        <w:numPr>
          <w:ilvl w:val="0"/>
          <w:numId w:val="29"/>
        </w:numPr>
        <w:spacing w:after="160" w:line="259" w:lineRule="auto"/>
        <w:rPr>
          <w:szCs w:val="24"/>
        </w:rPr>
      </w:pPr>
      <w:r w:rsidRPr="003730B5">
        <w:rPr>
          <w:szCs w:val="24"/>
        </w:rPr>
        <w:t>zákon č. 182/1993 Sb., o Ústavním soudu, ve znění pozdějších předpisů</w:t>
      </w:r>
      <w:r w:rsidR="006927CA" w:rsidRPr="003730B5">
        <w:rPr>
          <w:szCs w:val="24"/>
        </w:rPr>
        <w:t xml:space="preserve"> (dále též „zákon o Ústavním soudu“),</w:t>
      </w:r>
    </w:p>
    <w:p w14:paraId="31E460E5" w14:textId="0BDBC2C8"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283/1993 Sb., </w:t>
      </w:r>
      <w:r w:rsidR="00552598" w:rsidRPr="003730B5">
        <w:rPr>
          <w:szCs w:val="24"/>
        </w:rPr>
        <w:t>o </w:t>
      </w:r>
      <w:r w:rsidRPr="003730B5">
        <w:rPr>
          <w:szCs w:val="24"/>
        </w:rPr>
        <w:t>státním zastupitelství, ve znění pozdějších předpisů</w:t>
      </w:r>
      <w:r w:rsidR="006927CA" w:rsidRPr="003730B5">
        <w:rPr>
          <w:szCs w:val="24"/>
        </w:rPr>
        <w:t xml:space="preserve"> (dále též „zákon o státním zastupitelství“),</w:t>
      </w:r>
    </w:p>
    <w:p w14:paraId="2165EEB6" w14:textId="5B6771B0"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bookmarkStart w:id="0" w:name="_Hlk129765533"/>
      <w:r w:rsidRPr="003730B5">
        <w:rPr>
          <w:szCs w:val="24"/>
        </w:rPr>
        <w:t xml:space="preserve">293/1993 </w:t>
      </w:r>
      <w:bookmarkEnd w:id="0"/>
      <w:r w:rsidRPr="003730B5">
        <w:rPr>
          <w:szCs w:val="24"/>
        </w:rPr>
        <w:t xml:space="preserve">Sb., </w:t>
      </w:r>
      <w:r w:rsidR="00552598" w:rsidRPr="003730B5">
        <w:rPr>
          <w:szCs w:val="24"/>
        </w:rPr>
        <w:t>o </w:t>
      </w:r>
      <w:r w:rsidRPr="003730B5">
        <w:rPr>
          <w:szCs w:val="24"/>
        </w:rPr>
        <w:t>výkonu vazby, ve znění pozdějších předpisů</w:t>
      </w:r>
      <w:r w:rsidR="006927CA" w:rsidRPr="003730B5">
        <w:rPr>
          <w:szCs w:val="24"/>
        </w:rPr>
        <w:t xml:space="preserve"> (dále též „zákon o výkonu vazby“),</w:t>
      </w:r>
    </w:p>
    <w:p w14:paraId="5E837476" w14:textId="3C027AC0" w:rsidR="00B86B7B" w:rsidRPr="003730B5" w:rsidRDefault="00B86B7B" w:rsidP="00B86B7B">
      <w:pPr>
        <w:pStyle w:val="Odstavecseseznamem"/>
        <w:numPr>
          <w:ilvl w:val="0"/>
          <w:numId w:val="29"/>
        </w:numPr>
        <w:spacing w:after="160" w:line="259" w:lineRule="auto"/>
        <w:rPr>
          <w:bCs/>
          <w:szCs w:val="24"/>
        </w:rPr>
      </w:pPr>
      <w:r w:rsidRPr="003730B5">
        <w:rPr>
          <w:szCs w:val="24"/>
        </w:rPr>
        <w:t xml:space="preserve">zákon </w:t>
      </w:r>
      <w:r w:rsidR="00552598" w:rsidRPr="003730B5">
        <w:rPr>
          <w:szCs w:val="24"/>
        </w:rPr>
        <w:t>č. </w:t>
      </w:r>
      <w:r w:rsidRPr="003730B5">
        <w:rPr>
          <w:rFonts w:eastAsia="Calibri"/>
          <w:szCs w:val="24"/>
        </w:rPr>
        <w:t xml:space="preserve">236/1995 Sb., </w:t>
      </w:r>
      <w:r w:rsidR="00552598" w:rsidRPr="003730B5">
        <w:rPr>
          <w:bCs/>
          <w:szCs w:val="24"/>
        </w:rPr>
        <w:t>o </w:t>
      </w:r>
      <w:r w:rsidRPr="003730B5">
        <w:rPr>
          <w:bCs/>
          <w:szCs w:val="24"/>
        </w:rPr>
        <w:t xml:space="preserve">platu </w:t>
      </w:r>
      <w:r w:rsidR="00552598" w:rsidRPr="003730B5">
        <w:rPr>
          <w:bCs/>
          <w:szCs w:val="24"/>
        </w:rPr>
        <w:t>a </w:t>
      </w:r>
      <w:r w:rsidRPr="003730B5">
        <w:rPr>
          <w:bCs/>
          <w:szCs w:val="24"/>
        </w:rPr>
        <w:t xml:space="preserve">dalších náležitostech spojených s výkonem funkce představitelů státní moci </w:t>
      </w:r>
      <w:r w:rsidR="00552598" w:rsidRPr="003730B5">
        <w:rPr>
          <w:bCs/>
          <w:szCs w:val="24"/>
        </w:rPr>
        <w:t>a </w:t>
      </w:r>
      <w:r w:rsidRPr="003730B5">
        <w:rPr>
          <w:bCs/>
          <w:szCs w:val="24"/>
        </w:rPr>
        <w:t xml:space="preserve">některých státních orgánů </w:t>
      </w:r>
      <w:r w:rsidR="00552598" w:rsidRPr="003730B5">
        <w:rPr>
          <w:bCs/>
          <w:szCs w:val="24"/>
        </w:rPr>
        <w:t>a </w:t>
      </w:r>
      <w:r w:rsidRPr="003730B5">
        <w:rPr>
          <w:bCs/>
          <w:szCs w:val="24"/>
        </w:rPr>
        <w:t xml:space="preserve">soudců a poslanců Evropského parlamentu, </w:t>
      </w:r>
      <w:r w:rsidRPr="003730B5">
        <w:rPr>
          <w:szCs w:val="24"/>
        </w:rPr>
        <w:t>ve znění pozdějších předpisů</w:t>
      </w:r>
      <w:r w:rsidR="006927CA" w:rsidRPr="003730B5">
        <w:rPr>
          <w:szCs w:val="24"/>
        </w:rPr>
        <w:t xml:space="preserve"> (dále též „zákon </w:t>
      </w:r>
      <w:r w:rsidR="00534ED9" w:rsidRPr="003730B5">
        <w:rPr>
          <w:szCs w:val="24"/>
        </w:rPr>
        <w:t>č. </w:t>
      </w:r>
      <w:r w:rsidR="006927CA" w:rsidRPr="003730B5">
        <w:rPr>
          <w:szCs w:val="24"/>
        </w:rPr>
        <w:t>236/1995 Sb.“),</w:t>
      </w:r>
    </w:p>
    <w:p w14:paraId="7417C37B" w14:textId="717052DD"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13/1997 Sb., </w:t>
      </w:r>
      <w:r w:rsidR="00552598" w:rsidRPr="003730B5">
        <w:rPr>
          <w:szCs w:val="24"/>
        </w:rPr>
        <w:t>o </w:t>
      </w:r>
      <w:r w:rsidRPr="003730B5">
        <w:rPr>
          <w:szCs w:val="24"/>
        </w:rPr>
        <w:t>pozemních komunikacích, ve znění pozdějších předpisů</w:t>
      </w:r>
      <w:r w:rsidR="006927CA" w:rsidRPr="003730B5">
        <w:rPr>
          <w:szCs w:val="24"/>
        </w:rPr>
        <w:t xml:space="preserve"> (dále též „zákon o pozemních komunikacích“),</w:t>
      </w:r>
    </w:p>
    <w:p w14:paraId="7D27DE4B" w14:textId="6EC0A111" w:rsidR="002B2ABC" w:rsidRPr="003730B5" w:rsidRDefault="002B2ABC" w:rsidP="002B2ABC">
      <w:pPr>
        <w:pStyle w:val="Odstavecseseznamem"/>
        <w:numPr>
          <w:ilvl w:val="0"/>
          <w:numId w:val="29"/>
        </w:numPr>
        <w:spacing w:after="160" w:line="259" w:lineRule="auto"/>
        <w:rPr>
          <w:szCs w:val="24"/>
        </w:rPr>
      </w:pPr>
      <w:r w:rsidRPr="003730B5">
        <w:rPr>
          <w:szCs w:val="24"/>
        </w:rPr>
        <w:t xml:space="preserve">zákon </w:t>
      </w:r>
      <w:r w:rsidR="00811C11" w:rsidRPr="003730B5">
        <w:rPr>
          <w:szCs w:val="24"/>
        </w:rPr>
        <w:t>č. </w:t>
      </w:r>
      <w:r w:rsidRPr="003730B5">
        <w:rPr>
          <w:szCs w:val="24"/>
        </w:rPr>
        <w:t xml:space="preserve">111/1998 Sb., </w:t>
      </w:r>
      <w:r w:rsidR="00811C11" w:rsidRPr="003730B5">
        <w:rPr>
          <w:szCs w:val="24"/>
        </w:rPr>
        <w:t>o </w:t>
      </w:r>
      <w:r w:rsidRPr="003730B5">
        <w:rPr>
          <w:szCs w:val="24"/>
        </w:rPr>
        <w:t xml:space="preserve">vysokých školách </w:t>
      </w:r>
      <w:r w:rsidR="00811C11" w:rsidRPr="003730B5">
        <w:rPr>
          <w:szCs w:val="24"/>
        </w:rPr>
        <w:t>a o </w:t>
      </w:r>
      <w:r w:rsidRPr="003730B5">
        <w:rPr>
          <w:szCs w:val="24"/>
        </w:rPr>
        <w:t xml:space="preserve">změně </w:t>
      </w:r>
      <w:r w:rsidR="00811C11" w:rsidRPr="003730B5">
        <w:rPr>
          <w:szCs w:val="24"/>
        </w:rPr>
        <w:t>a </w:t>
      </w:r>
      <w:r w:rsidRPr="003730B5">
        <w:rPr>
          <w:szCs w:val="24"/>
        </w:rPr>
        <w:t xml:space="preserve">doplnění dalších zákonů (zákon </w:t>
      </w:r>
      <w:r w:rsidR="00811C11" w:rsidRPr="003730B5">
        <w:rPr>
          <w:szCs w:val="24"/>
        </w:rPr>
        <w:t>o </w:t>
      </w:r>
      <w:r w:rsidRPr="003730B5">
        <w:rPr>
          <w:szCs w:val="24"/>
        </w:rPr>
        <w:t xml:space="preserve">vysokých školách), ve znění pozdějších předpisů (dále též „zákon </w:t>
      </w:r>
      <w:r w:rsidR="00811C11" w:rsidRPr="003730B5">
        <w:rPr>
          <w:szCs w:val="24"/>
        </w:rPr>
        <w:t>o </w:t>
      </w:r>
      <w:r w:rsidRPr="003730B5">
        <w:rPr>
          <w:szCs w:val="24"/>
        </w:rPr>
        <w:t>vysokých školách“),</w:t>
      </w:r>
    </w:p>
    <w:p w14:paraId="4EB3461C" w14:textId="52CDA35E"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169/1999 Sb., </w:t>
      </w:r>
      <w:r w:rsidR="00552598" w:rsidRPr="003730B5">
        <w:rPr>
          <w:szCs w:val="24"/>
        </w:rPr>
        <w:t>o </w:t>
      </w:r>
      <w:r w:rsidRPr="003730B5">
        <w:rPr>
          <w:szCs w:val="24"/>
        </w:rPr>
        <w:t xml:space="preserve">výkonu trestu odnětí svobody </w:t>
      </w:r>
      <w:r w:rsidR="00552598" w:rsidRPr="003730B5">
        <w:rPr>
          <w:szCs w:val="24"/>
        </w:rPr>
        <w:t>a o </w:t>
      </w:r>
      <w:r w:rsidRPr="003730B5">
        <w:rPr>
          <w:szCs w:val="24"/>
        </w:rPr>
        <w:t>změně některých souvisejících zákonů, ve znění pozdějších předpisů</w:t>
      </w:r>
      <w:r w:rsidR="006927CA" w:rsidRPr="003730B5">
        <w:rPr>
          <w:szCs w:val="24"/>
        </w:rPr>
        <w:t xml:space="preserve"> (dále též „zákon o </w:t>
      </w:r>
      <w:r w:rsidR="00887D92" w:rsidRPr="003730B5">
        <w:rPr>
          <w:szCs w:val="24"/>
        </w:rPr>
        <w:t xml:space="preserve">výkonu </w:t>
      </w:r>
      <w:r w:rsidR="006927CA" w:rsidRPr="003730B5">
        <w:rPr>
          <w:szCs w:val="24"/>
        </w:rPr>
        <w:t>trestu odnětí svobody“),</w:t>
      </w:r>
    </w:p>
    <w:p w14:paraId="4E9586E6" w14:textId="1D5954C9"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104/2000 Sb., </w:t>
      </w:r>
      <w:r w:rsidR="00552598" w:rsidRPr="003730B5">
        <w:rPr>
          <w:szCs w:val="24"/>
        </w:rPr>
        <w:t>o </w:t>
      </w:r>
      <w:r w:rsidRPr="003730B5">
        <w:rPr>
          <w:szCs w:val="24"/>
        </w:rPr>
        <w:t>Státním fondu dopravní infrastruktury, ve znění pozdějších předpisů</w:t>
      </w:r>
      <w:r w:rsidR="006927CA" w:rsidRPr="003730B5">
        <w:rPr>
          <w:szCs w:val="24"/>
        </w:rPr>
        <w:t xml:space="preserve"> (dále též „zákon o Státním fondu dopravní infrastruktury“),</w:t>
      </w:r>
    </w:p>
    <w:p w14:paraId="59650084" w14:textId="79EFEB70"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218/2000 Sb., </w:t>
      </w:r>
      <w:r w:rsidR="00552598" w:rsidRPr="003730B5">
        <w:rPr>
          <w:szCs w:val="24"/>
        </w:rPr>
        <w:t>o </w:t>
      </w:r>
      <w:r w:rsidRPr="003730B5">
        <w:rPr>
          <w:szCs w:val="24"/>
        </w:rPr>
        <w:t xml:space="preserve">rozpočtových pravidlech </w:t>
      </w:r>
      <w:r w:rsidR="00552598" w:rsidRPr="003730B5">
        <w:rPr>
          <w:szCs w:val="24"/>
        </w:rPr>
        <w:t>a o </w:t>
      </w:r>
      <w:r w:rsidRPr="003730B5">
        <w:rPr>
          <w:szCs w:val="24"/>
        </w:rPr>
        <w:t>změně některých souvisejících zákonů (rozpočtová pravidla), ve znění pozdějších předpisů</w:t>
      </w:r>
      <w:r w:rsidR="006927CA" w:rsidRPr="003730B5">
        <w:rPr>
          <w:szCs w:val="24"/>
        </w:rPr>
        <w:t xml:space="preserve"> (dále též „rozpočtov</w:t>
      </w:r>
      <w:r w:rsidR="00B621CC" w:rsidRPr="003730B5">
        <w:rPr>
          <w:szCs w:val="24"/>
        </w:rPr>
        <w:t>á</w:t>
      </w:r>
      <w:r w:rsidR="006927CA" w:rsidRPr="003730B5">
        <w:rPr>
          <w:szCs w:val="24"/>
        </w:rPr>
        <w:t xml:space="preserve"> pravidl</w:t>
      </w:r>
      <w:r w:rsidR="00B621CC" w:rsidRPr="003730B5">
        <w:rPr>
          <w:szCs w:val="24"/>
        </w:rPr>
        <w:t>a</w:t>
      </w:r>
      <w:r w:rsidR="006927CA" w:rsidRPr="003730B5">
        <w:rPr>
          <w:szCs w:val="24"/>
        </w:rPr>
        <w:t>“),</w:t>
      </w:r>
    </w:p>
    <w:p w14:paraId="12D1B56D" w14:textId="3339CEA7"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243/2000 Sb., </w:t>
      </w:r>
      <w:r w:rsidR="00552598" w:rsidRPr="003730B5">
        <w:rPr>
          <w:szCs w:val="24"/>
        </w:rPr>
        <w:t>o </w:t>
      </w:r>
      <w:r w:rsidRPr="003730B5">
        <w:rPr>
          <w:szCs w:val="24"/>
        </w:rPr>
        <w:t xml:space="preserve">rozpočtovém určení výnosů některých daní územním samosprávným celkům </w:t>
      </w:r>
      <w:r w:rsidR="00552598" w:rsidRPr="003730B5">
        <w:rPr>
          <w:szCs w:val="24"/>
        </w:rPr>
        <w:t>a </w:t>
      </w:r>
      <w:r w:rsidRPr="003730B5">
        <w:rPr>
          <w:szCs w:val="24"/>
        </w:rPr>
        <w:t xml:space="preserve">některým státním fondům (zákon </w:t>
      </w:r>
      <w:r w:rsidR="00552598" w:rsidRPr="003730B5">
        <w:rPr>
          <w:szCs w:val="24"/>
        </w:rPr>
        <w:t>o </w:t>
      </w:r>
      <w:r w:rsidRPr="003730B5">
        <w:rPr>
          <w:szCs w:val="24"/>
        </w:rPr>
        <w:t>rozpočtovém určení daní), ve znění pozdějších předpisů</w:t>
      </w:r>
      <w:r w:rsidR="006927CA" w:rsidRPr="003730B5">
        <w:rPr>
          <w:szCs w:val="24"/>
        </w:rPr>
        <w:t xml:space="preserve"> (dále též „zákon o rozpočtovém určení daní“),</w:t>
      </w:r>
    </w:p>
    <w:p w14:paraId="1229D88A" w14:textId="20FC45F4"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250/2000 Sb., </w:t>
      </w:r>
      <w:r w:rsidR="00552598" w:rsidRPr="003730B5">
        <w:rPr>
          <w:szCs w:val="24"/>
        </w:rPr>
        <w:t>o </w:t>
      </w:r>
      <w:r w:rsidRPr="003730B5">
        <w:rPr>
          <w:szCs w:val="24"/>
        </w:rPr>
        <w:t>rozpočtových pravidlech územních rozpočtů, ve znění pozdějších předpisů</w:t>
      </w:r>
      <w:r w:rsidR="006927CA" w:rsidRPr="003730B5">
        <w:rPr>
          <w:szCs w:val="24"/>
        </w:rPr>
        <w:t xml:space="preserve"> (dále též „rozpočtov</w:t>
      </w:r>
      <w:r w:rsidR="00B621CC" w:rsidRPr="003730B5">
        <w:rPr>
          <w:szCs w:val="24"/>
        </w:rPr>
        <w:t>á</w:t>
      </w:r>
      <w:r w:rsidR="006927CA" w:rsidRPr="003730B5">
        <w:rPr>
          <w:szCs w:val="24"/>
        </w:rPr>
        <w:t xml:space="preserve"> pravidl</w:t>
      </w:r>
      <w:r w:rsidR="00B621CC" w:rsidRPr="003730B5">
        <w:rPr>
          <w:szCs w:val="24"/>
        </w:rPr>
        <w:t>a</w:t>
      </w:r>
      <w:r w:rsidR="006927CA" w:rsidRPr="003730B5">
        <w:rPr>
          <w:szCs w:val="24"/>
        </w:rPr>
        <w:t xml:space="preserve"> územních rozpočtů“),</w:t>
      </w:r>
    </w:p>
    <w:p w14:paraId="6A64D39D" w14:textId="4B243184"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56/2001 Sb., </w:t>
      </w:r>
      <w:r w:rsidR="00552598" w:rsidRPr="003730B5">
        <w:rPr>
          <w:szCs w:val="24"/>
        </w:rPr>
        <w:t>o </w:t>
      </w:r>
      <w:r w:rsidRPr="003730B5">
        <w:rPr>
          <w:szCs w:val="24"/>
        </w:rPr>
        <w:t xml:space="preserve">podmínkách provozu vozidel na pozemních komunikacích </w:t>
      </w:r>
      <w:r w:rsidR="00552598" w:rsidRPr="003730B5">
        <w:rPr>
          <w:color w:val="000000" w:themeColor="text1"/>
          <w:szCs w:val="24"/>
        </w:rPr>
        <w:t>a o </w:t>
      </w:r>
      <w:r w:rsidRPr="003730B5">
        <w:rPr>
          <w:color w:val="000000" w:themeColor="text1"/>
          <w:szCs w:val="24"/>
        </w:rPr>
        <w:t xml:space="preserve">změně zákona </w:t>
      </w:r>
      <w:r w:rsidR="00552598" w:rsidRPr="003730B5">
        <w:rPr>
          <w:color w:val="000000" w:themeColor="text1"/>
          <w:szCs w:val="24"/>
        </w:rPr>
        <w:t>č. </w:t>
      </w:r>
      <w:r w:rsidRPr="003730B5">
        <w:rPr>
          <w:color w:val="000000" w:themeColor="text1"/>
          <w:szCs w:val="24"/>
        </w:rPr>
        <w:t xml:space="preserve">168/1999 Sb., </w:t>
      </w:r>
      <w:r w:rsidR="00552598" w:rsidRPr="003730B5">
        <w:rPr>
          <w:color w:val="000000" w:themeColor="text1"/>
          <w:szCs w:val="24"/>
        </w:rPr>
        <w:t>o </w:t>
      </w:r>
      <w:r w:rsidRPr="003730B5">
        <w:rPr>
          <w:color w:val="000000" w:themeColor="text1"/>
          <w:szCs w:val="24"/>
        </w:rPr>
        <w:t xml:space="preserve">pojištění odpovědnosti za škodu způsobenou provozem vozidla </w:t>
      </w:r>
      <w:r w:rsidR="00552598" w:rsidRPr="003730B5">
        <w:rPr>
          <w:color w:val="000000" w:themeColor="text1"/>
          <w:szCs w:val="24"/>
        </w:rPr>
        <w:t>a o </w:t>
      </w:r>
      <w:r w:rsidRPr="003730B5">
        <w:rPr>
          <w:color w:val="000000" w:themeColor="text1"/>
          <w:szCs w:val="24"/>
        </w:rPr>
        <w:t xml:space="preserve">změně některých souvisejících zákonů (zákon </w:t>
      </w:r>
      <w:r w:rsidR="00552598" w:rsidRPr="003730B5">
        <w:rPr>
          <w:color w:val="000000" w:themeColor="text1"/>
          <w:szCs w:val="24"/>
        </w:rPr>
        <w:t>o </w:t>
      </w:r>
      <w:r w:rsidRPr="003730B5">
        <w:rPr>
          <w:color w:val="000000" w:themeColor="text1"/>
          <w:szCs w:val="24"/>
        </w:rPr>
        <w:t xml:space="preserve">pojištění odpovědnosti </w:t>
      </w:r>
      <w:r w:rsidR="00552598" w:rsidRPr="003730B5">
        <w:rPr>
          <w:color w:val="000000" w:themeColor="text1"/>
          <w:szCs w:val="24"/>
        </w:rPr>
        <w:t>z </w:t>
      </w:r>
      <w:r w:rsidRPr="003730B5">
        <w:rPr>
          <w:color w:val="000000" w:themeColor="text1"/>
          <w:szCs w:val="24"/>
        </w:rPr>
        <w:t xml:space="preserve">provozu vozidla), </w:t>
      </w:r>
      <w:r w:rsidRPr="003730B5">
        <w:rPr>
          <w:szCs w:val="24"/>
        </w:rPr>
        <w:t>ve znění pozdějších předpisů</w:t>
      </w:r>
      <w:r w:rsidR="006927CA" w:rsidRPr="003730B5">
        <w:rPr>
          <w:szCs w:val="24"/>
        </w:rPr>
        <w:t xml:space="preserve"> (dále též „zákon o </w:t>
      </w:r>
      <w:r w:rsidR="00372590" w:rsidRPr="003730B5">
        <w:rPr>
          <w:szCs w:val="24"/>
        </w:rPr>
        <w:t>podmínkách provozu vozidel na pozemních komunikacích</w:t>
      </w:r>
      <w:r w:rsidR="006927CA" w:rsidRPr="003730B5">
        <w:rPr>
          <w:szCs w:val="24"/>
        </w:rPr>
        <w:t>“)</w:t>
      </w:r>
      <w:r w:rsidR="00372590" w:rsidRPr="003730B5">
        <w:rPr>
          <w:szCs w:val="24"/>
        </w:rPr>
        <w:t>,</w:t>
      </w:r>
    </w:p>
    <w:p w14:paraId="391711B1" w14:textId="597D0ABD"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120/2001 Sb., </w:t>
      </w:r>
      <w:r w:rsidR="00552598" w:rsidRPr="003730B5">
        <w:rPr>
          <w:szCs w:val="24"/>
        </w:rPr>
        <w:t>o </w:t>
      </w:r>
      <w:r w:rsidRPr="003730B5">
        <w:rPr>
          <w:szCs w:val="24"/>
        </w:rPr>
        <w:t xml:space="preserve">soudních exekutorech </w:t>
      </w:r>
      <w:r w:rsidR="00552598" w:rsidRPr="003730B5">
        <w:rPr>
          <w:szCs w:val="24"/>
        </w:rPr>
        <w:t>a </w:t>
      </w:r>
      <w:r w:rsidRPr="003730B5">
        <w:rPr>
          <w:szCs w:val="24"/>
        </w:rPr>
        <w:t xml:space="preserve">exekuční činnosti (exekuční řád) </w:t>
      </w:r>
      <w:r w:rsidR="00552598" w:rsidRPr="003730B5">
        <w:rPr>
          <w:szCs w:val="24"/>
        </w:rPr>
        <w:t>a o </w:t>
      </w:r>
      <w:r w:rsidRPr="003730B5">
        <w:rPr>
          <w:szCs w:val="24"/>
        </w:rPr>
        <w:t>změně dalších zákonů, ve znění pozdějších předpisů</w:t>
      </w:r>
      <w:r w:rsidR="00372590" w:rsidRPr="003730B5">
        <w:rPr>
          <w:szCs w:val="24"/>
        </w:rPr>
        <w:t xml:space="preserve"> (dále též „exekuční řád“),</w:t>
      </w:r>
    </w:p>
    <w:p w14:paraId="450E7D1B" w14:textId="0DFA1FEA" w:rsidR="00B86B7B" w:rsidRPr="003730B5" w:rsidRDefault="00B86B7B" w:rsidP="00B86B7B">
      <w:pPr>
        <w:pStyle w:val="Odstavecseseznamem"/>
        <w:numPr>
          <w:ilvl w:val="0"/>
          <w:numId w:val="29"/>
        </w:numPr>
        <w:spacing w:after="160" w:line="259" w:lineRule="auto"/>
        <w:rPr>
          <w:szCs w:val="24"/>
        </w:rPr>
      </w:pPr>
      <w:r w:rsidRPr="003730B5">
        <w:rPr>
          <w:szCs w:val="24"/>
        </w:rPr>
        <w:lastRenderedPageBreak/>
        <w:t xml:space="preserve">zákon </w:t>
      </w:r>
      <w:r w:rsidR="00552598" w:rsidRPr="003730B5">
        <w:rPr>
          <w:szCs w:val="24"/>
        </w:rPr>
        <w:t>č. </w:t>
      </w:r>
      <w:r w:rsidRPr="003730B5">
        <w:rPr>
          <w:szCs w:val="24"/>
        </w:rPr>
        <w:t xml:space="preserve">6/2002 Sb., </w:t>
      </w:r>
      <w:r w:rsidR="00552598" w:rsidRPr="003730B5">
        <w:rPr>
          <w:szCs w:val="24"/>
        </w:rPr>
        <w:t>o </w:t>
      </w:r>
      <w:r w:rsidRPr="003730B5">
        <w:rPr>
          <w:szCs w:val="24"/>
        </w:rPr>
        <w:t xml:space="preserve">soudech, soudcích, přísedících </w:t>
      </w:r>
      <w:r w:rsidR="00552598" w:rsidRPr="003730B5">
        <w:rPr>
          <w:szCs w:val="24"/>
        </w:rPr>
        <w:t>a </w:t>
      </w:r>
      <w:r w:rsidRPr="003730B5">
        <w:rPr>
          <w:szCs w:val="24"/>
        </w:rPr>
        <w:t xml:space="preserve">státní správě soudů </w:t>
      </w:r>
      <w:r w:rsidR="00552598" w:rsidRPr="003730B5">
        <w:rPr>
          <w:szCs w:val="24"/>
        </w:rPr>
        <w:t>a o </w:t>
      </w:r>
      <w:r w:rsidRPr="003730B5">
        <w:rPr>
          <w:szCs w:val="24"/>
        </w:rPr>
        <w:t xml:space="preserve">změně některých dalších zákonů (zákon </w:t>
      </w:r>
      <w:r w:rsidR="00552598" w:rsidRPr="003730B5">
        <w:rPr>
          <w:szCs w:val="24"/>
        </w:rPr>
        <w:t>o </w:t>
      </w:r>
      <w:r w:rsidRPr="003730B5">
        <w:rPr>
          <w:szCs w:val="24"/>
        </w:rPr>
        <w:t xml:space="preserve">soudech </w:t>
      </w:r>
      <w:r w:rsidR="00552598" w:rsidRPr="003730B5">
        <w:rPr>
          <w:szCs w:val="24"/>
        </w:rPr>
        <w:t>a </w:t>
      </w:r>
      <w:r w:rsidRPr="003730B5">
        <w:rPr>
          <w:szCs w:val="24"/>
        </w:rPr>
        <w:t>soudcích), ve znění pozdějších předpisů</w:t>
      </w:r>
      <w:r w:rsidR="00372590" w:rsidRPr="003730B5">
        <w:rPr>
          <w:szCs w:val="24"/>
        </w:rPr>
        <w:t xml:space="preserve"> (dále též „zákon o soudech </w:t>
      </w:r>
      <w:r w:rsidR="00534ED9" w:rsidRPr="003730B5">
        <w:rPr>
          <w:szCs w:val="24"/>
        </w:rPr>
        <w:t>a </w:t>
      </w:r>
      <w:r w:rsidR="00372590" w:rsidRPr="003730B5">
        <w:rPr>
          <w:szCs w:val="24"/>
        </w:rPr>
        <w:t>soudcích“),</w:t>
      </w:r>
    </w:p>
    <w:p w14:paraId="4FA71EB6" w14:textId="71991108" w:rsidR="002B2ABC" w:rsidRPr="003730B5" w:rsidRDefault="002B2ABC" w:rsidP="002B2ABC">
      <w:pPr>
        <w:pStyle w:val="Odstavecseseznamem"/>
        <w:numPr>
          <w:ilvl w:val="0"/>
          <w:numId w:val="29"/>
        </w:numPr>
        <w:spacing w:after="160" w:line="259" w:lineRule="auto"/>
        <w:rPr>
          <w:szCs w:val="24"/>
        </w:rPr>
      </w:pPr>
      <w:r w:rsidRPr="003730B5">
        <w:rPr>
          <w:szCs w:val="24"/>
        </w:rPr>
        <w:t xml:space="preserve">zákon </w:t>
      </w:r>
      <w:r w:rsidR="00811C11" w:rsidRPr="003730B5">
        <w:rPr>
          <w:szCs w:val="24"/>
        </w:rPr>
        <w:t>č. </w:t>
      </w:r>
      <w:r w:rsidRPr="003730B5">
        <w:rPr>
          <w:szCs w:val="24"/>
        </w:rPr>
        <w:t xml:space="preserve">77/2002 Sb., </w:t>
      </w:r>
      <w:r w:rsidR="00811C11" w:rsidRPr="003730B5">
        <w:rPr>
          <w:szCs w:val="24"/>
        </w:rPr>
        <w:t>o </w:t>
      </w:r>
      <w:r w:rsidRPr="003730B5">
        <w:rPr>
          <w:szCs w:val="24"/>
        </w:rPr>
        <w:t xml:space="preserve">akciové společnosti České dráhy, státní organizaci Správa železnic </w:t>
      </w:r>
      <w:r w:rsidR="00811C11" w:rsidRPr="003730B5">
        <w:rPr>
          <w:szCs w:val="24"/>
        </w:rPr>
        <w:t>a o </w:t>
      </w:r>
      <w:r w:rsidRPr="003730B5">
        <w:rPr>
          <w:szCs w:val="24"/>
        </w:rPr>
        <w:t xml:space="preserve">změně zákona </w:t>
      </w:r>
      <w:r w:rsidR="00811C11" w:rsidRPr="003730B5">
        <w:rPr>
          <w:szCs w:val="24"/>
        </w:rPr>
        <w:t>č. </w:t>
      </w:r>
      <w:r w:rsidRPr="003730B5">
        <w:rPr>
          <w:szCs w:val="24"/>
        </w:rPr>
        <w:t xml:space="preserve">266/1994 Sb., </w:t>
      </w:r>
      <w:r w:rsidR="00811C11" w:rsidRPr="003730B5">
        <w:rPr>
          <w:szCs w:val="24"/>
        </w:rPr>
        <w:t>o </w:t>
      </w:r>
      <w:r w:rsidRPr="003730B5">
        <w:rPr>
          <w:szCs w:val="24"/>
        </w:rPr>
        <w:t xml:space="preserve">dráhách, ve znění pozdějších předpisů, </w:t>
      </w:r>
      <w:r w:rsidR="00811C11" w:rsidRPr="003730B5">
        <w:rPr>
          <w:szCs w:val="24"/>
        </w:rPr>
        <w:t>a </w:t>
      </w:r>
      <w:r w:rsidRPr="003730B5">
        <w:rPr>
          <w:szCs w:val="24"/>
        </w:rPr>
        <w:t xml:space="preserve">zákona </w:t>
      </w:r>
      <w:r w:rsidR="00811C11" w:rsidRPr="003730B5">
        <w:rPr>
          <w:szCs w:val="24"/>
        </w:rPr>
        <w:t>č. </w:t>
      </w:r>
      <w:r w:rsidRPr="003730B5">
        <w:rPr>
          <w:szCs w:val="24"/>
        </w:rPr>
        <w:t xml:space="preserve">77/1997 Sb., </w:t>
      </w:r>
      <w:r w:rsidR="00811C11" w:rsidRPr="003730B5">
        <w:rPr>
          <w:szCs w:val="24"/>
        </w:rPr>
        <w:t>o </w:t>
      </w:r>
      <w:r w:rsidRPr="003730B5">
        <w:rPr>
          <w:szCs w:val="24"/>
        </w:rPr>
        <w:t>státním podniku, ve znění pozdějších předpisů, ve znění pozdějších předpisů,</w:t>
      </w:r>
    </w:p>
    <w:p w14:paraId="57E24B6D" w14:textId="0B4BA483"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bookmarkStart w:id="1" w:name="_Hlk129765746"/>
      <w:r w:rsidRPr="003730B5">
        <w:rPr>
          <w:szCs w:val="24"/>
        </w:rPr>
        <w:t xml:space="preserve">150/2002 </w:t>
      </w:r>
      <w:bookmarkEnd w:id="1"/>
      <w:r w:rsidRPr="003730B5">
        <w:rPr>
          <w:szCs w:val="24"/>
        </w:rPr>
        <w:t>Sb., soudní řád správní, ve znění pozdějších předpisů</w:t>
      </w:r>
      <w:r w:rsidR="00372590" w:rsidRPr="003730B5">
        <w:rPr>
          <w:szCs w:val="24"/>
        </w:rPr>
        <w:t xml:space="preserve"> (dále též „soudní řád správní“),</w:t>
      </w:r>
    </w:p>
    <w:p w14:paraId="1F746D8A" w14:textId="12AF8DC4"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229/2002 Sb., </w:t>
      </w:r>
      <w:r w:rsidR="00552598" w:rsidRPr="003730B5">
        <w:rPr>
          <w:szCs w:val="24"/>
        </w:rPr>
        <w:t>o </w:t>
      </w:r>
      <w:r w:rsidRPr="003730B5">
        <w:rPr>
          <w:szCs w:val="24"/>
        </w:rPr>
        <w:t>finančním arbitrovi, ve znění pozdějších předpisů</w:t>
      </w:r>
      <w:r w:rsidR="00372590" w:rsidRPr="003730B5">
        <w:rPr>
          <w:szCs w:val="24"/>
        </w:rPr>
        <w:t>,</w:t>
      </w:r>
    </w:p>
    <w:p w14:paraId="509B11E9" w14:textId="5335F76A"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353/2003 Sb., </w:t>
      </w:r>
      <w:r w:rsidR="00552598" w:rsidRPr="003730B5">
        <w:rPr>
          <w:szCs w:val="24"/>
        </w:rPr>
        <w:t>o </w:t>
      </w:r>
      <w:r w:rsidRPr="003730B5">
        <w:rPr>
          <w:szCs w:val="24"/>
        </w:rPr>
        <w:t>spotřebních daních, ve znění pozdějších předpisů</w:t>
      </w:r>
      <w:r w:rsidR="00372590" w:rsidRPr="003730B5">
        <w:rPr>
          <w:szCs w:val="24"/>
        </w:rPr>
        <w:t xml:space="preserve"> (dále též „zákon o spotřebních daních“),</w:t>
      </w:r>
    </w:p>
    <w:p w14:paraId="680AFC1F" w14:textId="08C445B2"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440/2003 Sb., </w:t>
      </w:r>
      <w:r w:rsidR="00552598" w:rsidRPr="003730B5">
        <w:rPr>
          <w:szCs w:val="24"/>
        </w:rPr>
        <w:t>o </w:t>
      </w:r>
      <w:r w:rsidRPr="003730B5">
        <w:rPr>
          <w:szCs w:val="24"/>
        </w:rPr>
        <w:t xml:space="preserve">nakládání se surovými diamanty, </w:t>
      </w:r>
      <w:r w:rsidR="00552598" w:rsidRPr="003730B5">
        <w:rPr>
          <w:szCs w:val="24"/>
        </w:rPr>
        <w:t>o </w:t>
      </w:r>
      <w:r w:rsidRPr="003730B5">
        <w:rPr>
          <w:szCs w:val="24"/>
        </w:rPr>
        <w:t xml:space="preserve">podmínkách jejich dovozu, vývozu </w:t>
      </w:r>
      <w:r w:rsidR="00552598" w:rsidRPr="003730B5">
        <w:rPr>
          <w:szCs w:val="24"/>
        </w:rPr>
        <w:t>a </w:t>
      </w:r>
      <w:r w:rsidRPr="003730B5">
        <w:rPr>
          <w:szCs w:val="24"/>
        </w:rPr>
        <w:t xml:space="preserve">tranzitu </w:t>
      </w:r>
      <w:r w:rsidR="00552598" w:rsidRPr="003730B5">
        <w:rPr>
          <w:szCs w:val="24"/>
        </w:rPr>
        <w:t>a o </w:t>
      </w:r>
      <w:r w:rsidRPr="003730B5">
        <w:rPr>
          <w:szCs w:val="24"/>
        </w:rPr>
        <w:t>změně některých zákonů, ve znění pozdějších předpisů</w:t>
      </w:r>
      <w:r w:rsidR="00372590" w:rsidRPr="003730B5">
        <w:rPr>
          <w:szCs w:val="24"/>
        </w:rPr>
        <w:t>,</w:t>
      </w:r>
    </w:p>
    <w:p w14:paraId="0877215C" w14:textId="04A9AAAB" w:rsidR="00B86B7B" w:rsidRPr="003730B5" w:rsidRDefault="00B86B7B" w:rsidP="00C83506">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48/2004 Sb., </w:t>
      </w:r>
      <w:r w:rsidR="00552598" w:rsidRPr="003730B5">
        <w:rPr>
          <w:szCs w:val="24"/>
        </w:rPr>
        <w:t>o </w:t>
      </w:r>
      <w:r w:rsidRPr="003730B5">
        <w:rPr>
          <w:szCs w:val="24"/>
        </w:rPr>
        <w:t>zabezpečení prezidenta republiky po skončení funkce, ve znění pozdějších předpisů</w:t>
      </w:r>
      <w:r w:rsidR="00C83506" w:rsidRPr="003730B5">
        <w:rPr>
          <w:szCs w:val="24"/>
        </w:rPr>
        <w:t xml:space="preserve"> (dále též „zákon </w:t>
      </w:r>
      <w:r w:rsidR="00D03256" w:rsidRPr="003730B5">
        <w:rPr>
          <w:szCs w:val="24"/>
        </w:rPr>
        <w:t>č. </w:t>
      </w:r>
      <w:r w:rsidR="00C83506" w:rsidRPr="003730B5">
        <w:rPr>
          <w:szCs w:val="24"/>
        </w:rPr>
        <w:t>48/2004 Sb.“),</w:t>
      </w:r>
    </w:p>
    <w:p w14:paraId="5D476FB5" w14:textId="5017913E" w:rsidR="00B86B7B" w:rsidRPr="003730B5" w:rsidRDefault="00B86B7B" w:rsidP="0083045A">
      <w:pPr>
        <w:pStyle w:val="Odstavecseseznamem"/>
        <w:numPr>
          <w:ilvl w:val="0"/>
          <w:numId w:val="29"/>
        </w:numPr>
        <w:spacing w:after="160" w:line="259" w:lineRule="auto"/>
        <w:rPr>
          <w:szCs w:val="24"/>
        </w:rPr>
      </w:pPr>
      <w:r w:rsidRPr="003730B5">
        <w:rPr>
          <w:szCs w:val="24"/>
        </w:rPr>
        <w:t>zákon č. 235/2004 Sb., o dani z přidané hodnoty, ve znění pozdějších předpisů</w:t>
      </w:r>
      <w:r w:rsidR="0083045A" w:rsidRPr="003730B5">
        <w:rPr>
          <w:szCs w:val="24"/>
        </w:rPr>
        <w:t xml:space="preserve"> (dále </w:t>
      </w:r>
      <w:r w:rsidR="00372590" w:rsidRPr="003730B5">
        <w:rPr>
          <w:szCs w:val="24"/>
        </w:rPr>
        <w:t>též</w:t>
      </w:r>
      <w:r w:rsidR="0083045A" w:rsidRPr="003730B5">
        <w:rPr>
          <w:szCs w:val="24"/>
        </w:rPr>
        <w:t xml:space="preserve"> „zákon </w:t>
      </w:r>
      <w:r w:rsidR="00552598" w:rsidRPr="003730B5">
        <w:rPr>
          <w:szCs w:val="24"/>
        </w:rPr>
        <w:t>o </w:t>
      </w:r>
      <w:r w:rsidR="0083045A" w:rsidRPr="003730B5">
        <w:rPr>
          <w:szCs w:val="24"/>
        </w:rPr>
        <w:t xml:space="preserve">dani </w:t>
      </w:r>
      <w:r w:rsidR="00552598" w:rsidRPr="003730B5">
        <w:rPr>
          <w:szCs w:val="24"/>
        </w:rPr>
        <w:t>z </w:t>
      </w:r>
      <w:r w:rsidR="0083045A" w:rsidRPr="003730B5">
        <w:rPr>
          <w:szCs w:val="24"/>
        </w:rPr>
        <w:t>přidané hodnoty“),</w:t>
      </w:r>
    </w:p>
    <w:p w14:paraId="18954FD1" w14:textId="46AD815D"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435/2004 Sb., </w:t>
      </w:r>
      <w:r w:rsidR="00552598" w:rsidRPr="003730B5">
        <w:rPr>
          <w:szCs w:val="24"/>
        </w:rPr>
        <w:t>o </w:t>
      </w:r>
      <w:r w:rsidRPr="003730B5">
        <w:rPr>
          <w:szCs w:val="24"/>
        </w:rPr>
        <w:t>zaměstnanosti, ve znění pozdějších předpisů</w:t>
      </w:r>
      <w:r w:rsidR="00372590" w:rsidRPr="003730B5">
        <w:rPr>
          <w:szCs w:val="24"/>
        </w:rPr>
        <w:t xml:space="preserve"> (dále též „zákon o zaměstnanosti“),</w:t>
      </w:r>
    </w:p>
    <w:p w14:paraId="3323CF55" w14:textId="15C441A3"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634/2004 Sb., </w:t>
      </w:r>
      <w:r w:rsidR="00552598" w:rsidRPr="003730B5">
        <w:rPr>
          <w:szCs w:val="24"/>
        </w:rPr>
        <w:t>o </w:t>
      </w:r>
      <w:r w:rsidRPr="003730B5">
        <w:rPr>
          <w:szCs w:val="24"/>
        </w:rPr>
        <w:t>správních poplatcích, ve znění pozdějších předpisů</w:t>
      </w:r>
      <w:r w:rsidR="00372590" w:rsidRPr="003730B5">
        <w:rPr>
          <w:szCs w:val="24"/>
        </w:rPr>
        <w:t xml:space="preserve"> (dále též „zákon o správních poplatcích“),</w:t>
      </w:r>
    </w:p>
    <w:p w14:paraId="2516D3B9" w14:textId="455B3064" w:rsidR="002B2ABC" w:rsidRPr="003730B5" w:rsidRDefault="002B2ABC" w:rsidP="002B2ABC">
      <w:pPr>
        <w:pStyle w:val="Odstavecseseznamem"/>
        <w:numPr>
          <w:ilvl w:val="0"/>
          <w:numId w:val="29"/>
        </w:numPr>
        <w:spacing w:after="160" w:line="259" w:lineRule="auto"/>
        <w:rPr>
          <w:szCs w:val="24"/>
        </w:rPr>
      </w:pPr>
      <w:r w:rsidRPr="003730B5">
        <w:rPr>
          <w:szCs w:val="24"/>
        </w:rPr>
        <w:t xml:space="preserve">zákon </w:t>
      </w:r>
      <w:r w:rsidR="00811C11" w:rsidRPr="003730B5">
        <w:rPr>
          <w:szCs w:val="24"/>
        </w:rPr>
        <w:t>č. </w:t>
      </w:r>
      <w:r w:rsidRPr="003730B5">
        <w:rPr>
          <w:szCs w:val="24"/>
        </w:rPr>
        <w:t xml:space="preserve">341/2005 Sb., </w:t>
      </w:r>
      <w:r w:rsidR="00811C11" w:rsidRPr="003730B5">
        <w:rPr>
          <w:szCs w:val="24"/>
        </w:rPr>
        <w:t>o </w:t>
      </w:r>
      <w:r w:rsidRPr="003730B5">
        <w:rPr>
          <w:szCs w:val="24"/>
        </w:rPr>
        <w:t>veřejných výzkumných institucích, ve znění pozdějších předpisů,</w:t>
      </w:r>
    </w:p>
    <w:p w14:paraId="7FD5B183" w14:textId="4339FE32" w:rsidR="00B86B7B" w:rsidRPr="003730B5" w:rsidRDefault="00B86B7B" w:rsidP="00B86B7B">
      <w:pPr>
        <w:pStyle w:val="Odstavecseseznamem"/>
        <w:numPr>
          <w:ilvl w:val="0"/>
          <w:numId w:val="29"/>
        </w:numPr>
        <w:spacing w:after="160" w:line="259" w:lineRule="auto"/>
        <w:rPr>
          <w:szCs w:val="24"/>
        </w:rPr>
      </w:pPr>
      <w:r w:rsidRPr="003730B5">
        <w:rPr>
          <w:szCs w:val="24"/>
        </w:rPr>
        <w:t>zákon č. 182/2006 Sb., o úpadku a způsobech jeho řešení (insolvenční zákon), ve znění pozdějších předpisů</w:t>
      </w:r>
      <w:r w:rsidR="00372590" w:rsidRPr="003730B5">
        <w:rPr>
          <w:szCs w:val="24"/>
        </w:rPr>
        <w:t xml:space="preserve"> (dále též „insolvenční zákon“),</w:t>
      </w:r>
    </w:p>
    <w:p w14:paraId="4407F34A" w14:textId="6B7F89BE"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187/2006 Sb., </w:t>
      </w:r>
      <w:r w:rsidR="00552598" w:rsidRPr="003730B5">
        <w:rPr>
          <w:szCs w:val="24"/>
        </w:rPr>
        <w:t>o </w:t>
      </w:r>
      <w:r w:rsidRPr="003730B5">
        <w:rPr>
          <w:szCs w:val="24"/>
        </w:rPr>
        <w:t>nemocenském pojištění, ve znění pozdějších předpisů</w:t>
      </w:r>
      <w:r w:rsidR="00372590" w:rsidRPr="003730B5">
        <w:rPr>
          <w:szCs w:val="24"/>
        </w:rPr>
        <w:t xml:space="preserve"> (dále též „zákon o nemocenském pojištění“),</w:t>
      </w:r>
    </w:p>
    <w:p w14:paraId="0E638356" w14:textId="4514165D" w:rsidR="0083045A" w:rsidRPr="003730B5" w:rsidRDefault="00B86B7B" w:rsidP="00B86B7B">
      <w:pPr>
        <w:pStyle w:val="Odstavecseseznamem"/>
        <w:numPr>
          <w:ilvl w:val="0"/>
          <w:numId w:val="29"/>
        </w:numPr>
        <w:spacing w:after="160" w:line="259" w:lineRule="auto"/>
        <w:rPr>
          <w:szCs w:val="24"/>
        </w:rPr>
      </w:pPr>
      <w:r w:rsidRPr="003730B5">
        <w:rPr>
          <w:szCs w:val="24"/>
        </w:rPr>
        <w:t>zákon č. </w:t>
      </w:r>
      <w:bookmarkStart w:id="2" w:name="_Hlk129766009"/>
      <w:r w:rsidRPr="003730B5">
        <w:rPr>
          <w:szCs w:val="24"/>
        </w:rPr>
        <w:t>312/2006 </w:t>
      </w:r>
      <w:bookmarkEnd w:id="2"/>
      <w:r w:rsidRPr="003730B5">
        <w:rPr>
          <w:szCs w:val="24"/>
        </w:rPr>
        <w:t xml:space="preserve">Sb., </w:t>
      </w:r>
      <w:r w:rsidR="00552598" w:rsidRPr="003730B5">
        <w:rPr>
          <w:szCs w:val="24"/>
        </w:rPr>
        <w:t>o </w:t>
      </w:r>
      <w:r w:rsidRPr="003730B5">
        <w:rPr>
          <w:szCs w:val="24"/>
        </w:rPr>
        <w:t xml:space="preserve">insolvenčních správcích, </w:t>
      </w:r>
      <w:r w:rsidR="0083045A" w:rsidRPr="003730B5">
        <w:rPr>
          <w:szCs w:val="24"/>
        </w:rPr>
        <w:t>ve znění pozdějších předpisů</w:t>
      </w:r>
      <w:r w:rsidR="000C744B" w:rsidRPr="003730B5">
        <w:rPr>
          <w:szCs w:val="24"/>
        </w:rPr>
        <w:t xml:space="preserve"> (dále též „zákon o insolvenčních správcích“)</w:t>
      </w:r>
      <w:r w:rsidR="00372590" w:rsidRPr="003730B5">
        <w:rPr>
          <w:szCs w:val="24"/>
        </w:rPr>
        <w:t>,</w:t>
      </w:r>
    </w:p>
    <w:p w14:paraId="14539A93" w14:textId="259750B5"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261/2007 Sb., </w:t>
      </w:r>
      <w:r w:rsidR="00552598" w:rsidRPr="003730B5">
        <w:rPr>
          <w:szCs w:val="24"/>
        </w:rPr>
        <w:t>o </w:t>
      </w:r>
      <w:r w:rsidRPr="003730B5">
        <w:rPr>
          <w:szCs w:val="24"/>
        </w:rPr>
        <w:t>stabilizaci veřejných rozpočtů (část čtyřicátá pátá až čtyřicátá sedmá)</w:t>
      </w:r>
      <w:r w:rsidR="000C1375" w:rsidRPr="003730B5">
        <w:rPr>
          <w:szCs w:val="24"/>
        </w:rPr>
        <w:t xml:space="preserve">, ve znění pozdějších předpisů </w:t>
      </w:r>
      <w:r w:rsidR="00B621CC" w:rsidRPr="003730B5">
        <w:rPr>
          <w:szCs w:val="24"/>
        </w:rPr>
        <w:t xml:space="preserve">(dále též „zákon </w:t>
      </w:r>
      <w:r w:rsidR="00534ED9" w:rsidRPr="003730B5">
        <w:rPr>
          <w:szCs w:val="24"/>
        </w:rPr>
        <w:t>č. </w:t>
      </w:r>
      <w:r w:rsidR="00B621CC" w:rsidRPr="003730B5">
        <w:rPr>
          <w:szCs w:val="24"/>
        </w:rPr>
        <w:t>261/2007 Sb.“),</w:t>
      </w:r>
    </w:p>
    <w:p w14:paraId="665DB39F" w14:textId="5762BC67"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129/2008 Sb., </w:t>
      </w:r>
      <w:r w:rsidR="00552598" w:rsidRPr="003730B5">
        <w:rPr>
          <w:szCs w:val="24"/>
        </w:rPr>
        <w:t>o </w:t>
      </w:r>
      <w:r w:rsidRPr="003730B5">
        <w:rPr>
          <w:szCs w:val="24"/>
        </w:rPr>
        <w:t xml:space="preserve">výkonu zabezpečovací detence </w:t>
      </w:r>
      <w:r w:rsidR="00552598" w:rsidRPr="003730B5">
        <w:rPr>
          <w:szCs w:val="24"/>
        </w:rPr>
        <w:t>a o </w:t>
      </w:r>
      <w:r w:rsidRPr="003730B5">
        <w:rPr>
          <w:szCs w:val="24"/>
        </w:rPr>
        <w:t>změně některých souvisejících zákonů, ve znění pozdějších předpisů</w:t>
      </w:r>
      <w:r w:rsidR="00372590" w:rsidRPr="003730B5">
        <w:rPr>
          <w:szCs w:val="24"/>
        </w:rPr>
        <w:t>,</w:t>
      </w:r>
    </w:p>
    <w:p w14:paraId="33D4549F" w14:textId="2A353BDA" w:rsidR="0083045A" w:rsidRPr="003730B5" w:rsidRDefault="00B86B7B" w:rsidP="0083045A">
      <w:pPr>
        <w:pStyle w:val="Odstavecseseznamem"/>
        <w:numPr>
          <w:ilvl w:val="0"/>
          <w:numId w:val="29"/>
        </w:numPr>
        <w:rPr>
          <w:szCs w:val="24"/>
        </w:rPr>
      </w:pPr>
      <w:r w:rsidRPr="003730B5">
        <w:rPr>
          <w:szCs w:val="24"/>
        </w:rPr>
        <w:t>zákon č. 280/2009 Sb., daňový řád, ve znění pozdějších předpisů</w:t>
      </w:r>
      <w:r w:rsidR="0083045A" w:rsidRPr="003730B5">
        <w:rPr>
          <w:szCs w:val="24"/>
        </w:rPr>
        <w:t xml:space="preserve"> (dále </w:t>
      </w:r>
      <w:r w:rsidR="00372590" w:rsidRPr="003730B5">
        <w:rPr>
          <w:szCs w:val="24"/>
        </w:rPr>
        <w:t>též</w:t>
      </w:r>
      <w:r w:rsidR="0083045A" w:rsidRPr="003730B5">
        <w:rPr>
          <w:szCs w:val="24"/>
        </w:rPr>
        <w:t xml:space="preserve"> „daňový řád“),</w:t>
      </w:r>
    </w:p>
    <w:p w14:paraId="443406B2" w14:textId="12E19314" w:rsidR="0083045A" w:rsidRPr="003730B5" w:rsidRDefault="00B86B7B" w:rsidP="00B86B7B">
      <w:pPr>
        <w:pStyle w:val="Odstavecseseznamem"/>
        <w:numPr>
          <w:ilvl w:val="0"/>
          <w:numId w:val="29"/>
        </w:numPr>
        <w:spacing w:after="160" w:line="259" w:lineRule="auto"/>
        <w:rPr>
          <w:szCs w:val="24"/>
        </w:rPr>
      </w:pPr>
      <w:r w:rsidRPr="003730B5">
        <w:rPr>
          <w:szCs w:val="24"/>
        </w:rPr>
        <w:t xml:space="preserve">zákon č. 17/2012 Sb., </w:t>
      </w:r>
      <w:r w:rsidR="00552598" w:rsidRPr="003730B5">
        <w:rPr>
          <w:szCs w:val="24"/>
        </w:rPr>
        <w:t>o </w:t>
      </w:r>
      <w:r w:rsidRPr="003730B5">
        <w:rPr>
          <w:szCs w:val="24"/>
        </w:rPr>
        <w:t>Celní správě České republiky, ve znění pozdějších</w:t>
      </w:r>
      <w:r w:rsidR="0083045A" w:rsidRPr="003730B5">
        <w:rPr>
          <w:szCs w:val="24"/>
        </w:rPr>
        <w:t xml:space="preserve"> předpisů</w:t>
      </w:r>
      <w:r w:rsidR="00372590" w:rsidRPr="003730B5">
        <w:rPr>
          <w:szCs w:val="24"/>
        </w:rPr>
        <w:t xml:space="preserve"> (dále též „zákon o Celní správě České republiky“),</w:t>
      </w:r>
    </w:p>
    <w:p w14:paraId="38F8C0DA" w14:textId="4894AC1C"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č. 496/2012 Sb., </w:t>
      </w:r>
      <w:r w:rsidR="00552598" w:rsidRPr="003730B5">
        <w:rPr>
          <w:szCs w:val="24"/>
        </w:rPr>
        <w:t>o </w:t>
      </w:r>
      <w:r w:rsidRPr="003730B5">
        <w:rPr>
          <w:szCs w:val="24"/>
        </w:rPr>
        <w:t xml:space="preserve">audiovizuálních dílech </w:t>
      </w:r>
      <w:r w:rsidR="00552598" w:rsidRPr="003730B5">
        <w:rPr>
          <w:szCs w:val="24"/>
        </w:rPr>
        <w:t>a </w:t>
      </w:r>
      <w:r w:rsidRPr="003730B5">
        <w:rPr>
          <w:szCs w:val="24"/>
        </w:rPr>
        <w:t xml:space="preserve">podpoře kinematografie a o změně některých zákonů (zákon </w:t>
      </w:r>
      <w:r w:rsidR="00552598" w:rsidRPr="003730B5">
        <w:rPr>
          <w:szCs w:val="24"/>
        </w:rPr>
        <w:t>o </w:t>
      </w:r>
      <w:r w:rsidRPr="003730B5">
        <w:rPr>
          <w:szCs w:val="24"/>
        </w:rPr>
        <w:t>audiovizi), ve znění pozdějších předpisů</w:t>
      </w:r>
      <w:r w:rsidR="00372590" w:rsidRPr="003730B5">
        <w:rPr>
          <w:szCs w:val="24"/>
        </w:rPr>
        <w:t xml:space="preserve"> (dále též „zákon o audiovizi“),</w:t>
      </w:r>
    </w:p>
    <w:p w14:paraId="3A0B2F15" w14:textId="22108A81"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bookmarkStart w:id="3" w:name="_Hlk129766096"/>
      <w:r w:rsidRPr="003730B5">
        <w:rPr>
          <w:szCs w:val="24"/>
        </w:rPr>
        <w:t xml:space="preserve">104/2013 </w:t>
      </w:r>
      <w:bookmarkEnd w:id="3"/>
      <w:r w:rsidRPr="003730B5">
        <w:rPr>
          <w:szCs w:val="24"/>
        </w:rPr>
        <w:t xml:space="preserve">Sb., </w:t>
      </w:r>
      <w:r w:rsidR="00552598" w:rsidRPr="003730B5">
        <w:rPr>
          <w:szCs w:val="24"/>
        </w:rPr>
        <w:t>o </w:t>
      </w:r>
      <w:r w:rsidRPr="003730B5">
        <w:rPr>
          <w:szCs w:val="24"/>
        </w:rPr>
        <w:t>mezinárodní justiční spolupráci ve věcech trestních, ve znění pozdějších předpisů</w:t>
      </w:r>
      <w:r w:rsidR="00C75037" w:rsidRPr="003730B5">
        <w:rPr>
          <w:szCs w:val="24"/>
        </w:rPr>
        <w:t xml:space="preserve"> (dále též „zákon </w:t>
      </w:r>
      <w:r w:rsidR="00A42930" w:rsidRPr="003730B5">
        <w:rPr>
          <w:szCs w:val="24"/>
        </w:rPr>
        <w:t>o </w:t>
      </w:r>
      <w:r w:rsidR="00C75037" w:rsidRPr="003730B5">
        <w:rPr>
          <w:szCs w:val="24"/>
        </w:rPr>
        <w:t>mezinárodní justiční spolupráci ve věcech trestních“)</w:t>
      </w:r>
      <w:r w:rsidR="00372590" w:rsidRPr="003730B5">
        <w:rPr>
          <w:szCs w:val="24"/>
        </w:rPr>
        <w:t>,</w:t>
      </w:r>
    </w:p>
    <w:p w14:paraId="5A1A01D5" w14:textId="25110F37"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292/2013 Sb., </w:t>
      </w:r>
      <w:r w:rsidR="00552598" w:rsidRPr="003730B5">
        <w:rPr>
          <w:szCs w:val="24"/>
        </w:rPr>
        <w:t>o </w:t>
      </w:r>
      <w:r w:rsidRPr="003730B5">
        <w:rPr>
          <w:szCs w:val="24"/>
        </w:rPr>
        <w:t>zvláštních řízeních soudních, ve znění pozdějších předpisů</w:t>
      </w:r>
      <w:r w:rsidR="00372590" w:rsidRPr="003730B5">
        <w:rPr>
          <w:szCs w:val="24"/>
        </w:rPr>
        <w:t xml:space="preserve"> (dále též „zákon o zvláštních řízeních soudních“),</w:t>
      </w:r>
    </w:p>
    <w:p w14:paraId="32C533FA" w14:textId="7907C606"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355/2014 Sb., </w:t>
      </w:r>
      <w:r w:rsidR="00552598" w:rsidRPr="003730B5">
        <w:rPr>
          <w:szCs w:val="24"/>
        </w:rPr>
        <w:t>o </w:t>
      </w:r>
      <w:r w:rsidRPr="003730B5">
        <w:rPr>
          <w:szCs w:val="24"/>
        </w:rPr>
        <w:t xml:space="preserve">působnosti orgánů Celní správy České republiky </w:t>
      </w:r>
      <w:r w:rsidR="00552598" w:rsidRPr="003730B5">
        <w:rPr>
          <w:szCs w:val="24"/>
        </w:rPr>
        <w:t>v </w:t>
      </w:r>
      <w:r w:rsidRPr="003730B5">
        <w:rPr>
          <w:szCs w:val="24"/>
        </w:rPr>
        <w:t xml:space="preserve">souvislosti </w:t>
      </w:r>
      <w:r w:rsidR="00552598" w:rsidRPr="003730B5">
        <w:rPr>
          <w:szCs w:val="24"/>
        </w:rPr>
        <w:t>s </w:t>
      </w:r>
      <w:r w:rsidRPr="003730B5">
        <w:rPr>
          <w:szCs w:val="24"/>
        </w:rPr>
        <w:t>vymáháním práv duševního vlastnictví, ve znění pozdějších předpisů</w:t>
      </w:r>
      <w:r w:rsidR="00372590" w:rsidRPr="003730B5">
        <w:rPr>
          <w:szCs w:val="24"/>
        </w:rPr>
        <w:t>,</w:t>
      </w:r>
    </w:p>
    <w:p w14:paraId="5267D15D" w14:textId="41853A1C" w:rsidR="00B86B7B" w:rsidRPr="003730B5" w:rsidRDefault="00B86B7B" w:rsidP="00B86B7B">
      <w:pPr>
        <w:pStyle w:val="Odstavecseseznamem"/>
        <w:numPr>
          <w:ilvl w:val="0"/>
          <w:numId w:val="29"/>
        </w:numPr>
        <w:spacing w:after="160" w:line="259" w:lineRule="auto"/>
        <w:rPr>
          <w:szCs w:val="24"/>
        </w:rPr>
      </w:pPr>
      <w:r w:rsidRPr="003730B5">
        <w:rPr>
          <w:szCs w:val="24"/>
        </w:rPr>
        <w:lastRenderedPageBreak/>
        <w:t xml:space="preserve">zákon </w:t>
      </w:r>
      <w:r w:rsidR="00552598" w:rsidRPr="003730B5">
        <w:rPr>
          <w:szCs w:val="24"/>
        </w:rPr>
        <w:t>č. </w:t>
      </w:r>
      <w:r w:rsidRPr="003730B5">
        <w:rPr>
          <w:szCs w:val="24"/>
        </w:rPr>
        <w:t xml:space="preserve">186/2016 Sb., </w:t>
      </w:r>
      <w:r w:rsidR="00552598" w:rsidRPr="003730B5">
        <w:rPr>
          <w:szCs w:val="24"/>
        </w:rPr>
        <w:t>o </w:t>
      </w:r>
      <w:r w:rsidRPr="003730B5">
        <w:rPr>
          <w:szCs w:val="24"/>
        </w:rPr>
        <w:t>hazardních hrách, ve znění pozdějších předpisů</w:t>
      </w:r>
      <w:r w:rsidR="00372590" w:rsidRPr="003730B5">
        <w:rPr>
          <w:szCs w:val="24"/>
        </w:rPr>
        <w:t xml:space="preserve"> (dále též „zákon o hazardních hrách“),</w:t>
      </w:r>
    </w:p>
    <w:p w14:paraId="2F132B6D" w14:textId="77543BE0" w:rsidR="00B73DEE" w:rsidRPr="003730B5" w:rsidRDefault="00B73DEE" w:rsidP="00B73DEE">
      <w:pPr>
        <w:pStyle w:val="Odstavecseseznamem"/>
        <w:numPr>
          <w:ilvl w:val="0"/>
          <w:numId w:val="29"/>
        </w:numPr>
        <w:spacing w:after="160" w:line="259" w:lineRule="auto"/>
        <w:rPr>
          <w:szCs w:val="24"/>
        </w:rPr>
      </w:pPr>
      <w:r w:rsidRPr="003730B5">
        <w:rPr>
          <w:szCs w:val="24"/>
        </w:rPr>
        <w:t xml:space="preserve">zákon </w:t>
      </w:r>
      <w:r w:rsidR="00521904" w:rsidRPr="003730B5">
        <w:rPr>
          <w:szCs w:val="24"/>
        </w:rPr>
        <w:t>č. </w:t>
      </w:r>
      <w:r w:rsidRPr="003730B5">
        <w:rPr>
          <w:szCs w:val="24"/>
        </w:rPr>
        <w:t xml:space="preserve">187/2016 Sb., </w:t>
      </w:r>
      <w:r w:rsidR="00521904" w:rsidRPr="003730B5">
        <w:rPr>
          <w:szCs w:val="24"/>
        </w:rPr>
        <w:t>o </w:t>
      </w:r>
      <w:r w:rsidRPr="003730B5">
        <w:rPr>
          <w:szCs w:val="24"/>
        </w:rPr>
        <w:t xml:space="preserve">dani </w:t>
      </w:r>
      <w:r w:rsidR="00521904" w:rsidRPr="003730B5">
        <w:rPr>
          <w:szCs w:val="24"/>
        </w:rPr>
        <w:t>z </w:t>
      </w:r>
      <w:r w:rsidRPr="003730B5">
        <w:rPr>
          <w:szCs w:val="24"/>
        </w:rPr>
        <w:t xml:space="preserve">hazardních her, ve znění pozdějších předpisů (dále též „zákon </w:t>
      </w:r>
      <w:r w:rsidR="00521904" w:rsidRPr="003730B5">
        <w:rPr>
          <w:szCs w:val="24"/>
        </w:rPr>
        <w:t>o </w:t>
      </w:r>
      <w:r w:rsidRPr="003730B5">
        <w:rPr>
          <w:szCs w:val="24"/>
        </w:rPr>
        <w:t xml:space="preserve">dani </w:t>
      </w:r>
      <w:r w:rsidR="00521904" w:rsidRPr="003730B5">
        <w:rPr>
          <w:szCs w:val="24"/>
        </w:rPr>
        <w:t>z </w:t>
      </w:r>
      <w:r w:rsidRPr="003730B5">
        <w:rPr>
          <w:szCs w:val="24"/>
        </w:rPr>
        <w:t>hazardních her“),</w:t>
      </w:r>
    </w:p>
    <w:p w14:paraId="73D7CAED" w14:textId="5ABB77EE"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250/2016 Sb., </w:t>
      </w:r>
      <w:r w:rsidR="00552598" w:rsidRPr="003730B5">
        <w:rPr>
          <w:szCs w:val="24"/>
        </w:rPr>
        <w:t>o </w:t>
      </w:r>
      <w:r w:rsidRPr="003730B5">
        <w:rPr>
          <w:szCs w:val="24"/>
        </w:rPr>
        <w:t xml:space="preserve">odpovědnosti za přestupky </w:t>
      </w:r>
      <w:r w:rsidR="00552598" w:rsidRPr="003730B5">
        <w:rPr>
          <w:szCs w:val="24"/>
        </w:rPr>
        <w:t>a </w:t>
      </w:r>
      <w:r w:rsidRPr="003730B5">
        <w:rPr>
          <w:szCs w:val="24"/>
        </w:rPr>
        <w:t xml:space="preserve">řízení </w:t>
      </w:r>
      <w:r w:rsidR="00552598" w:rsidRPr="003730B5">
        <w:rPr>
          <w:szCs w:val="24"/>
        </w:rPr>
        <w:t>o </w:t>
      </w:r>
      <w:r w:rsidRPr="003730B5">
        <w:rPr>
          <w:szCs w:val="24"/>
        </w:rPr>
        <w:t>nich, ve znění pozdějších předpisů</w:t>
      </w:r>
      <w:r w:rsidR="00372590" w:rsidRPr="003730B5">
        <w:rPr>
          <w:szCs w:val="24"/>
        </w:rPr>
        <w:t xml:space="preserve"> (dále též </w:t>
      </w:r>
      <w:r w:rsidR="00E769D6" w:rsidRPr="003730B5">
        <w:rPr>
          <w:szCs w:val="24"/>
        </w:rPr>
        <w:t xml:space="preserve">„zákon </w:t>
      </w:r>
      <w:r w:rsidR="00A42930" w:rsidRPr="003730B5">
        <w:rPr>
          <w:szCs w:val="24"/>
        </w:rPr>
        <w:t>o </w:t>
      </w:r>
      <w:r w:rsidR="00E769D6" w:rsidRPr="003730B5">
        <w:rPr>
          <w:szCs w:val="24"/>
        </w:rPr>
        <w:t xml:space="preserve">přestupcích“ nebo </w:t>
      </w:r>
      <w:r w:rsidR="0068551F" w:rsidRPr="003730B5">
        <w:rPr>
          <w:szCs w:val="24"/>
        </w:rPr>
        <w:t>„</w:t>
      </w:r>
      <w:r w:rsidR="0068551F" w:rsidRPr="003730B5">
        <w:t>zákon o odpovědnosti za přestupky a řízení o nich“</w:t>
      </w:r>
      <w:r w:rsidR="00372590" w:rsidRPr="003730B5">
        <w:rPr>
          <w:szCs w:val="24"/>
        </w:rPr>
        <w:t>),</w:t>
      </w:r>
    </w:p>
    <w:p w14:paraId="3890E6C0" w14:textId="56D3BA5A"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257/2016 Sb., </w:t>
      </w:r>
      <w:r w:rsidR="00552598" w:rsidRPr="003730B5">
        <w:rPr>
          <w:szCs w:val="24"/>
        </w:rPr>
        <w:t>o </w:t>
      </w:r>
      <w:r w:rsidRPr="003730B5">
        <w:rPr>
          <w:szCs w:val="24"/>
        </w:rPr>
        <w:t>spotřebitelském úvěru, ve znění pozdějších předpisů</w:t>
      </w:r>
      <w:r w:rsidR="00372590" w:rsidRPr="003730B5">
        <w:rPr>
          <w:szCs w:val="24"/>
        </w:rPr>
        <w:t xml:space="preserve"> (dále též „zákon o spotřebitelském úvěru“),</w:t>
      </w:r>
    </w:p>
    <w:p w14:paraId="29F128F2" w14:textId="7D56D93E"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23/2017 Sb., </w:t>
      </w:r>
      <w:r w:rsidR="00552598" w:rsidRPr="003730B5">
        <w:rPr>
          <w:szCs w:val="24"/>
        </w:rPr>
        <w:t>o </w:t>
      </w:r>
      <w:r w:rsidRPr="003730B5">
        <w:rPr>
          <w:szCs w:val="24"/>
        </w:rPr>
        <w:t>pravidlech rozpočtové odpovědnosti, ve znění pozdějších předpisů</w:t>
      </w:r>
      <w:r w:rsidR="00372590" w:rsidRPr="003730B5">
        <w:rPr>
          <w:szCs w:val="24"/>
        </w:rPr>
        <w:t xml:space="preserve"> (dále též „zákon o rozpočtové odpovědnosti“),</w:t>
      </w:r>
    </w:p>
    <w:p w14:paraId="23BC938C" w14:textId="02457B02"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59/2017 Sb., </w:t>
      </w:r>
      <w:r w:rsidR="00552598" w:rsidRPr="003730B5">
        <w:rPr>
          <w:szCs w:val="24"/>
        </w:rPr>
        <w:t>o </w:t>
      </w:r>
      <w:r w:rsidRPr="003730B5">
        <w:rPr>
          <w:szCs w:val="24"/>
        </w:rPr>
        <w:t xml:space="preserve">použití peněžních prostředků z majetkových trestních sankcí uložených v trestním řízení </w:t>
      </w:r>
      <w:r w:rsidR="00552598" w:rsidRPr="003730B5">
        <w:rPr>
          <w:szCs w:val="24"/>
        </w:rPr>
        <w:t>a o </w:t>
      </w:r>
      <w:r w:rsidRPr="003730B5">
        <w:rPr>
          <w:szCs w:val="24"/>
        </w:rPr>
        <w:t>změně některých zákonů, ve znění pozdějších předpisů</w:t>
      </w:r>
      <w:r w:rsidR="00372590" w:rsidRPr="003730B5">
        <w:rPr>
          <w:szCs w:val="24"/>
        </w:rPr>
        <w:t>,</w:t>
      </w:r>
    </w:p>
    <w:p w14:paraId="3E8CBFB0" w14:textId="53779EC4" w:rsidR="00977108" w:rsidRPr="003730B5" w:rsidRDefault="00977108" w:rsidP="00977108">
      <w:pPr>
        <w:pStyle w:val="Odstavecseseznamem"/>
        <w:numPr>
          <w:ilvl w:val="0"/>
          <w:numId w:val="29"/>
        </w:numPr>
        <w:spacing w:after="160" w:line="259" w:lineRule="auto"/>
        <w:rPr>
          <w:szCs w:val="24"/>
        </w:rPr>
      </w:pPr>
      <w:r w:rsidRPr="003730B5">
        <w:rPr>
          <w:szCs w:val="24"/>
        </w:rPr>
        <w:t xml:space="preserve">zákon </w:t>
      </w:r>
      <w:r w:rsidR="00811C11" w:rsidRPr="003730B5">
        <w:rPr>
          <w:szCs w:val="24"/>
        </w:rPr>
        <w:t>č. </w:t>
      </w:r>
      <w:r w:rsidRPr="003730B5">
        <w:rPr>
          <w:szCs w:val="24"/>
        </w:rPr>
        <w:t xml:space="preserve">370/2017 Sb., </w:t>
      </w:r>
      <w:r w:rsidR="00811C11" w:rsidRPr="003730B5">
        <w:rPr>
          <w:szCs w:val="24"/>
        </w:rPr>
        <w:t>o </w:t>
      </w:r>
      <w:r w:rsidRPr="003730B5">
        <w:rPr>
          <w:szCs w:val="24"/>
        </w:rPr>
        <w:t xml:space="preserve">platebním styku, ve znění pozdějších předpisů (dále též „zákon </w:t>
      </w:r>
      <w:r w:rsidR="00811C11" w:rsidRPr="003730B5">
        <w:rPr>
          <w:szCs w:val="24"/>
        </w:rPr>
        <w:t>o </w:t>
      </w:r>
      <w:r w:rsidRPr="003730B5">
        <w:rPr>
          <w:szCs w:val="24"/>
        </w:rPr>
        <w:t>platebním styku“),</w:t>
      </w:r>
    </w:p>
    <w:p w14:paraId="14752E37" w14:textId="115893C0"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128/2022 Sb., </w:t>
      </w:r>
      <w:r w:rsidR="00552598" w:rsidRPr="003730B5">
        <w:rPr>
          <w:szCs w:val="24"/>
        </w:rPr>
        <w:t>o </w:t>
      </w:r>
      <w:r w:rsidRPr="003730B5">
        <w:rPr>
          <w:szCs w:val="24"/>
        </w:rPr>
        <w:t xml:space="preserve">opatřeních </w:t>
      </w:r>
      <w:r w:rsidR="00552598" w:rsidRPr="003730B5">
        <w:rPr>
          <w:szCs w:val="24"/>
        </w:rPr>
        <w:t>v </w:t>
      </w:r>
      <w:r w:rsidRPr="003730B5">
        <w:rPr>
          <w:szCs w:val="24"/>
        </w:rPr>
        <w:t xml:space="preserve">oblasti daní </w:t>
      </w:r>
      <w:r w:rsidR="00552598" w:rsidRPr="003730B5">
        <w:rPr>
          <w:szCs w:val="24"/>
        </w:rPr>
        <w:t>v </w:t>
      </w:r>
      <w:r w:rsidRPr="003730B5">
        <w:rPr>
          <w:szCs w:val="24"/>
        </w:rPr>
        <w:t xml:space="preserve">souvislosti </w:t>
      </w:r>
      <w:r w:rsidR="00552598" w:rsidRPr="003730B5">
        <w:rPr>
          <w:szCs w:val="24"/>
        </w:rPr>
        <w:t>s </w:t>
      </w:r>
      <w:r w:rsidRPr="003730B5">
        <w:rPr>
          <w:szCs w:val="24"/>
        </w:rPr>
        <w:t xml:space="preserve">ozbrojeným konfliktem na území Ukrajiny vyvolaným invazí vojsk Ruské federace, </w:t>
      </w:r>
      <w:r w:rsidRPr="003730B5">
        <w:t xml:space="preserve">ve znění zákona </w:t>
      </w:r>
      <w:r w:rsidR="00552598" w:rsidRPr="003730B5">
        <w:t>č. </w:t>
      </w:r>
      <w:r w:rsidRPr="003730B5">
        <w:t>366/2022 Sb.</w:t>
      </w:r>
      <w:r w:rsidR="00834C03" w:rsidRPr="003730B5">
        <w:t xml:space="preserve"> </w:t>
      </w:r>
      <w:r w:rsidR="00834C03" w:rsidRPr="003730B5">
        <w:rPr>
          <w:szCs w:val="24"/>
        </w:rPr>
        <w:t xml:space="preserve">(dále též „zákon </w:t>
      </w:r>
      <w:r w:rsidR="00534ED9" w:rsidRPr="003730B5">
        <w:rPr>
          <w:szCs w:val="24"/>
        </w:rPr>
        <w:t>č. </w:t>
      </w:r>
      <w:r w:rsidR="00834C03" w:rsidRPr="003730B5">
        <w:rPr>
          <w:szCs w:val="24"/>
        </w:rPr>
        <w:t>128/2022 Sb.“)</w:t>
      </w:r>
      <w:r w:rsidR="00800776" w:rsidRPr="003730B5">
        <w:rPr>
          <w:szCs w:val="24"/>
        </w:rPr>
        <w:t>,</w:t>
      </w:r>
    </w:p>
    <w:p w14:paraId="345C5F0E" w14:textId="7C0509FB" w:rsidR="00606F3C" w:rsidRPr="003730B5" w:rsidRDefault="00606F3C" w:rsidP="00606F3C">
      <w:pPr>
        <w:pStyle w:val="Odstavecseseznamem"/>
        <w:numPr>
          <w:ilvl w:val="0"/>
          <w:numId w:val="29"/>
        </w:numPr>
        <w:rPr>
          <w:szCs w:val="24"/>
        </w:rPr>
      </w:pPr>
      <w:r w:rsidRPr="003730B5">
        <w:rPr>
          <w:szCs w:val="24"/>
        </w:rPr>
        <w:t xml:space="preserve">zákon </w:t>
      </w:r>
      <w:r w:rsidR="00521904" w:rsidRPr="003730B5">
        <w:rPr>
          <w:szCs w:val="24"/>
        </w:rPr>
        <w:t>č. </w:t>
      </w:r>
      <w:r w:rsidRPr="003730B5">
        <w:rPr>
          <w:szCs w:val="24"/>
        </w:rPr>
        <w:t xml:space="preserve">432/2022 Sb., kterým se mění zákon </w:t>
      </w:r>
      <w:r w:rsidR="00521904" w:rsidRPr="003730B5">
        <w:rPr>
          <w:szCs w:val="24"/>
        </w:rPr>
        <w:t>č. </w:t>
      </w:r>
      <w:r w:rsidRPr="003730B5">
        <w:rPr>
          <w:szCs w:val="24"/>
        </w:rPr>
        <w:t xml:space="preserve">56/2001 Sb., </w:t>
      </w:r>
      <w:r w:rsidR="00521904" w:rsidRPr="003730B5">
        <w:rPr>
          <w:szCs w:val="24"/>
        </w:rPr>
        <w:t>o </w:t>
      </w:r>
      <w:r w:rsidRPr="003730B5">
        <w:rPr>
          <w:szCs w:val="24"/>
        </w:rPr>
        <w:t xml:space="preserve">podmínkách provozu vozidel na pozemních komunikacích </w:t>
      </w:r>
      <w:r w:rsidR="00521904" w:rsidRPr="003730B5">
        <w:rPr>
          <w:szCs w:val="24"/>
        </w:rPr>
        <w:t>a o </w:t>
      </w:r>
      <w:r w:rsidRPr="003730B5">
        <w:rPr>
          <w:szCs w:val="24"/>
        </w:rPr>
        <w:t xml:space="preserve">změně zákona </w:t>
      </w:r>
      <w:r w:rsidR="00521904" w:rsidRPr="003730B5">
        <w:rPr>
          <w:szCs w:val="24"/>
        </w:rPr>
        <w:t>č. </w:t>
      </w:r>
      <w:r w:rsidRPr="003730B5">
        <w:rPr>
          <w:szCs w:val="24"/>
        </w:rPr>
        <w:t xml:space="preserve">168/1999 Sb., </w:t>
      </w:r>
      <w:r w:rsidR="00521904" w:rsidRPr="003730B5">
        <w:rPr>
          <w:szCs w:val="24"/>
        </w:rPr>
        <w:t>o </w:t>
      </w:r>
      <w:r w:rsidRPr="003730B5">
        <w:rPr>
          <w:szCs w:val="24"/>
        </w:rPr>
        <w:t xml:space="preserve">pojištění odpovědnosti za škodu způsobenou provozem vozidla </w:t>
      </w:r>
      <w:r w:rsidR="00521904" w:rsidRPr="003730B5">
        <w:rPr>
          <w:szCs w:val="24"/>
        </w:rPr>
        <w:t>a o </w:t>
      </w:r>
      <w:r w:rsidRPr="003730B5">
        <w:rPr>
          <w:szCs w:val="24"/>
        </w:rPr>
        <w:t xml:space="preserve">změně některých souvisejících zákonů (zákon </w:t>
      </w:r>
      <w:r w:rsidR="00521904" w:rsidRPr="003730B5">
        <w:rPr>
          <w:szCs w:val="24"/>
        </w:rPr>
        <w:t>o </w:t>
      </w:r>
      <w:r w:rsidRPr="003730B5">
        <w:rPr>
          <w:szCs w:val="24"/>
        </w:rPr>
        <w:t xml:space="preserve">pojištění odpovědnosti </w:t>
      </w:r>
      <w:r w:rsidR="00521904" w:rsidRPr="003730B5">
        <w:rPr>
          <w:szCs w:val="24"/>
        </w:rPr>
        <w:t>z </w:t>
      </w:r>
      <w:r w:rsidRPr="003730B5">
        <w:rPr>
          <w:szCs w:val="24"/>
        </w:rPr>
        <w:t xml:space="preserve">provozu vozidla), ve znění zákona </w:t>
      </w:r>
      <w:r w:rsidR="00521904" w:rsidRPr="003730B5">
        <w:rPr>
          <w:szCs w:val="24"/>
        </w:rPr>
        <w:t>č. </w:t>
      </w:r>
      <w:r w:rsidRPr="003730B5">
        <w:rPr>
          <w:szCs w:val="24"/>
        </w:rPr>
        <w:t xml:space="preserve">307/1999 Sb., ve znění pozdějších předpisů, </w:t>
      </w:r>
      <w:r w:rsidR="00521904" w:rsidRPr="003730B5">
        <w:rPr>
          <w:szCs w:val="24"/>
        </w:rPr>
        <w:t>a </w:t>
      </w:r>
      <w:r w:rsidRPr="003730B5">
        <w:rPr>
          <w:szCs w:val="24"/>
        </w:rPr>
        <w:t>další související zákony</w:t>
      </w:r>
      <w:r w:rsidR="000259CC" w:rsidRPr="003730B5">
        <w:rPr>
          <w:szCs w:val="24"/>
        </w:rPr>
        <w:t xml:space="preserve"> (dále též „zákon č. 432/2022 Sb.“),</w:t>
      </w:r>
    </w:p>
    <w:p w14:paraId="6E7AAAFA" w14:textId="3D398075" w:rsidR="00B86B7B" w:rsidRPr="003730B5" w:rsidRDefault="00B86B7B" w:rsidP="00B86B7B">
      <w:pPr>
        <w:pStyle w:val="Odstavecseseznamem"/>
        <w:numPr>
          <w:ilvl w:val="0"/>
          <w:numId w:val="29"/>
        </w:numPr>
        <w:spacing w:after="160" w:line="259" w:lineRule="auto"/>
        <w:rPr>
          <w:szCs w:val="24"/>
        </w:rPr>
      </w:pPr>
      <w:r w:rsidRPr="003730B5">
        <w:rPr>
          <w:szCs w:val="24"/>
        </w:rPr>
        <w:t xml:space="preserve">zákon </w:t>
      </w:r>
      <w:r w:rsidR="00552598" w:rsidRPr="003730B5">
        <w:rPr>
          <w:szCs w:val="24"/>
        </w:rPr>
        <w:t>č. </w:t>
      </w:r>
      <w:r w:rsidRPr="003730B5">
        <w:rPr>
          <w:szCs w:val="24"/>
        </w:rPr>
        <w:t xml:space="preserve">…/2023 Sb., </w:t>
      </w:r>
      <w:r w:rsidR="00552598" w:rsidRPr="003730B5">
        <w:rPr>
          <w:szCs w:val="24"/>
        </w:rPr>
        <w:t>o </w:t>
      </w:r>
      <w:r w:rsidRPr="003730B5">
        <w:rPr>
          <w:szCs w:val="24"/>
        </w:rPr>
        <w:t>preventivní restrukturalizaci (</w:t>
      </w:r>
      <w:r w:rsidR="00B73DEE" w:rsidRPr="003730B5">
        <w:rPr>
          <w:szCs w:val="24"/>
        </w:rPr>
        <w:t xml:space="preserve">sněmovní tisk </w:t>
      </w:r>
      <w:r w:rsidR="00521904" w:rsidRPr="003730B5">
        <w:rPr>
          <w:szCs w:val="24"/>
        </w:rPr>
        <w:t>č. </w:t>
      </w:r>
      <w:r w:rsidRPr="003730B5">
        <w:rPr>
          <w:szCs w:val="24"/>
        </w:rPr>
        <w:t>371)</w:t>
      </w:r>
      <w:r w:rsidR="00800776" w:rsidRPr="003730B5">
        <w:rPr>
          <w:szCs w:val="24"/>
        </w:rPr>
        <w:t xml:space="preserve"> </w:t>
      </w:r>
      <w:r w:rsidR="00834C03" w:rsidRPr="003730B5">
        <w:rPr>
          <w:szCs w:val="24"/>
        </w:rPr>
        <w:t>(dále též „zákon o preventivní restrukturalizaci“).</w:t>
      </w:r>
    </w:p>
    <w:p w14:paraId="1ECCE004" w14:textId="5AF62DC3" w:rsidR="009D7472" w:rsidRPr="003730B5" w:rsidRDefault="009D7472" w:rsidP="008F2906">
      <w:pPr>
        <w:widowControl w:val="0"/>
        <w:spacing w:after="120"/>
      </w:pPr>
      <w:r w:rsidRPr="003730B5">
        <w:t>Navrhované změny v jednotlivých předpisech jsou podrobněji popsány v následujících kapitolách</w:t>
      </w:r>
      <w:r w:rsidR="00FE3367" w:rsidRPr="003730B5">
        <w:t>,</w:t>
      </w:r>
      <w:r w:rsidRPr="003730B5">
        <w:t xml:space="preserve"> </w:t>
      </w:r>
      <w:r w:rsidR="00FE3367" w:rsidRPr="003730B5">
        <w:t>popřípadě jsou</w:t>
      </w:r>
      <w:r w:rsidRPr="003730B5">
        <w:t xml:space="preserve"> </w:t>
      </w:r>
      <w:r w:rsidR="00FE3367" w:rsidRPr="003730B5">
        <w:t>(</w:t>
      </w:r>
      <w:r w:rsidR="007C6C1D" w:rsidRPr="003730B5">
        <w:t>v </w:t>
      </w:r>
      <w:r w:rsidR="00FE3367" w:rsidRPr="003730B5">
        <w:t xml:space="preserve">případě méně rozsáhlých změn) </w:t>
      </w:r>
      <w:r w:rsidRPr="003730B5">
        <w:t>odůvodněn</w:t>
      </w:r>
      <w:r w:rsidR="00FE3367" w:rsidRPr="003730B5">
        <w:t>y</w:t>
      </w:r>
      <w:r w:rsidRPr="003730B5">
        <w:t xml:space="preserve"> ve zvláštní části této důvodové zprávy.</w:t>
      </w:r>
      <w:r w:rsidR="00D02A7D" w:rsidRPr="003730B5">
        <w:t xml:space="preserve"> V rámci obecné části důvodové zprávy je upřednostněn koncept, kdy o určitém tématu je pojednáno uceleným způsobem, čímž dochází v některých případech ke sloučení kapitol, které jsou při standardním zpracování obecné části důvodové zprávy řešeny v samostatných kapitolách.</w:t>
      </w:r>
    </w:p>
    <w:p w14:paraId="594639A0" w14:textId="7EB06366" w:rsidR="00D02A7D" w:rsidRPr="003730B5" w:rsidRDefault="0003045D" w:rsidP="009414EF">
      <w:pPr>
        <w:pStyle w:val="Nadpis2"/>
        <w:widowControl w:val="0"/>
        <w:numPr>
          <w:ilvl w:val="1"/>
          <w:numId w:val="28"/>
        </w:numPr>
        <w:shd w:val="clear" w:color="auto" w:fill="FFFFFF"/>
        <w:jc w:val="both"/>
        <w:rPr>
          <w:rFonts w:cs="Times New Roman"/>
        </w:rPr>
      </w:pPr>
      <w:r w:rsidRPr="003730B5">
        <w:rPr>
          <w:rFonts w:cs="Times New Roman"/>
        </w:rPr>
        <w:t>Zhodnocení platného právního stavu</w:t>
      </w:r>
      <w:r w:rsidR="00D02A7D" w:rsidRPr="003730B5">
        <w:rPr>
          <w:rFonts w:cs="Times New Roman"/>
        </w:rPr>
        <w:t xml:space="preserve">, vysvětlení nezbytnosti navrhované právní úpravy </w:t>
      </w:r>
      <w:r w:rsidR="007C6C1D" w:rsidRPr="003730B5">
        <w:rPr>
          <w:rFonts w:cs="Times New Roman"/>
        </w:rPr>
        <w:t>a </w:t>
      </w:r>
      <w:r w:rsidR="00D02A7D" w:rsidRPr="003730B5">
        <w:rPr>
          <w:rFonts w:cs="Times New Roman"/>
        </w:rPr>
        <w:t>odůvodnění jejích hlavních principů</w:t>
      </w:r>
    </w:p>
    <w:p w14:paraId="1B942FC9" w14:textId="155F87A8" w:rsidR="00FB658E" w:rsidRPr="003730B5" w:rsidRDefault="00AD2BB1" w:rsidP="00FB658E">
      <w:pPr>
        <w:widowControl w:val="0"/>
        <w:spacing w:after="120"/>
      </w:pPr>
      <w:r w:rsidRPr="003730B5">
        <w:t xml:space="preserve">Tato část je strukturována dle jednotlivých stěžejních témat. </w:t>
      </w:r>
      <w:r w:rsidR="00FB658E" w:rsidRPr="003730B5">
        <w:t xml:space="preserve">Kumulativně se věnuje jak stručnému popisu </w:t>
      </w:r>
      <w:r w:rsidR="007C6C1D" w:rsidRPr="003730B5">
        <w:t>a </w:t>
      </w:r>
      <w:r w:rsidR="00FB658E" w:rsidRPr="003730B5">
        <w:t xml:space="preserve">zhodnocení stávajícího právního stavu, tak otázce odůvodnění hlavních principů navrhované právní úpravy, jakož </w:t>
      </w:r>
      <w:r w:rsidR="007C6C1D" w:rsidRPr="003730B5">
        <w:t>i </w:t>
      </w:r>
      <w:r w:rsidR="00FB658E" w:rsidRPr="003730B5">
        <w:t xml:space="preserve">vysvětlení nezbytnosti navrhované právní úpravy. Výsledkem by mělo být ucelené obecné pojednání </w:t>
      </w:r>
      <w:r w:rsidR="007C6C1D" w:rsidRPr="003730B5">
        <w:t>o </w:t>
      </w:r>
      <w:r w:rsidR="00FB658E" w:rsidRPr="003730B5">
        <w:t>klíčových tématech navrhované právní úpravy.</w:t>
      </w:r>
    </w:p>
    <w:p w14:paraId="0CE3EDD5" w14:textId="40359617" w:rsidR="00173D20" w:rsidRPr="003730B5" w:rsidRDefault="00173D20" w:rsidP="00FB658E">
      <w:pPr>
        <w:widowControl w:val="0"/>
        <w:spacing w:after="120"/>
      </w:pPr>
      <w:r w:rsidRPr="003730B5">
        <w:t xml:space="preserve">Kapitola je zpracována tak, aby obsahovala stručný popis </w:t>
      </w:r>
      <w:r w:rsidR="007C1448" w:rsidRPr="003730B5">
        <w:t xml:space="preserve">jednotlivých konsolidačních opatření. Případná podrobnější obecná pojednání k vybraným tématům jsou pak součástí zvláštní části důvodové zprávy, kdy je tento obecný blok zařazen před odůvodnění jednotlivých novelizačních bodů. Obdobným způsobem je přistoupeno </w:t>
      </w:r>
      <w:r w:rsidR="00CA40A9" w:rsidRPr="003730B5">
        <w:t>i </w:t>
      </w:r>
      <w:r w:rsidR="007C1448" w:rsidRPr="003730B5">
        <w:t xml:space="preserve">ke zpracování obecného odůvodnění </w:t>
      </w:r>
      <w:r w:rsidRPr="003730B5">
        <w:t xml:space="preserve">změn, které </w:t>
      </w:r>
      <w:r w:rsidR="00CA40A9" w:rsidRPr="003730B5">
        <w:t>s </w:t>
      </w:r>
      <w:r w:rsidRPr="003730B5">
        <w:t xml:space="preserve">konsolidací veřejných financí souvisí pouze nepřímo, neboť se jedná </w:t>
      </w:r>
      <w:r w:rsidR="00CA40A9" w:rsidRPr="003730B5">
        <w:t>o </w:t>
      </w:r>
      <w:r w:rsidRPr="003730B5">
        <w:t xml:space="preserve">změny zákonů, které se </w:t>
      </w:r>
      <w:r w:rsidR="00CA40A9" w:rsidRPr="003730B5">
        <w:t>v </w:t>
      </w:r>
      <w:r w:rsidRPr="003730B5">
        <w:t xml:space="preserve">souvislosti </w:t>
      </w:r>
      <w:r w:rsidR="00CA40A9" w:rsidRPr="003730B5">
        <w:t>s </w:t>
      </w:r>
      <w:r w:rsidRPr="003730B5">
        <w:t xml:space="preserve">touto konsolidací navrhuje </w:t>
      </w:r>
      <w:r w:rsidR="007C1448" w:rsidRPr="003730B5">
        <w:t>novelizovat</w:t>
      </w:r>
      <w:r w:rsidRPr="003730B5">
        <w:t xml:space="preserve">. </w:t>
      </w:r>
      <w:r w:rsidR="00CA40A9" w:rsidRPr="003730B5">
        <w:t>S </w:t>
      </w:r>
      <w:r w:rsidR="00D03256" w:rsidRPr="003730B5">
        <w:t>ohledem na </w:t>
      </w:r>
      <w:r w:rsidRPr="003730B5">
        <w:t xml:space="preserve">procesní ekonomii, jakož </w:t>
      </w:r>
      <w:r w:rsidR="00CA40A9" w:rsidRPr="003730B5">
        <w:t>i s </w:t>
      </w:r>
      <w:r w:rsidRPr="003730B5">
        <w:t xml:space="preserve">ohledem na závazek vlády realizovat změny zákonů </w:t>
      </w:r>
      <w:r w:rsidRPr="003730B5">
        <w:lastRenderedPageBreak/>
        <w:t xml:space="preserve">prostřednictvím minimálního počtu novel </w:t>
      </w:r>
      <w:r w:rsidR="007C1448" w:rsidRPr="003730B5">
        <w:t>dochází ke spojení</w:t>
      </w:r>
      <w:r w:rsidRPr="003730B5">
        <w:t xml:space="preserve"> stávající</w:t>
      </w:r>
      <w:r w:rsidR="007C1448" w:rsidRPr="003730B5">
        <w:t>ch</w:t>
      </w:r>
      <w:r w:rsidRPr="003730B5">
        <w:t xml:space="preserve"> běžící</w:t>
      </w:r>
      <w:r w:rsidR="007C1448" w:rsidRPr="003730B5">
        <w:t>ch</w:t>
      </w:r>
      <w:r w:rsidRPr="003730B5">
        <w:t xml:space="preserve"> legislativní</w:t>
      </w:r>
      <w:r w:rsidR="007C1448" w:rsidRPr="003730B5">
        <w:t>ch</w:t>
      </w:r>
      <w:r w:rsidRPr="003730B5">
        <w:t xml:space="preserve"> projekt</w:t>
      </w:r>
      <w:r w:rsidR="007C1448" w:rsidRPr="003730B5">
        <w:t>ů</w:t>
      </w:r>
      <w:r w:rsidRPr="003730B5">
        <w:t xml:space="preserve">, které se nachází </w:t>
      </w:r>
      <w:r w:rsidR="00CA40A9" w:rsidRPr="003730B5">
        <w:t>v </w:t>
      </w:r>
      <w:r w:rsidRPr="003730B5">
        <w:t xml:space="preserve">podobné fázi legislativního procesu </w:t>
      </w:r>
      <w:r w:rsidR="00CA40A9" w:rsidRPr="003730B5">
        <w:t>a </w:t>
      </w:r>
      <w:r w:rsidRPr="003730B5">
        <w:t>které se týkají</w:t>
      </w:r>
      <w:r w:rsidR="007C1448" w:rsidRPr="003730B5">
        <w:t xml:space="preserve"> týchž zákonů.</w:t>
      </w:r>
    </w:p>
    <w:p w14:paraId="1CE63D53" w14:textId="7A43D486" w:rsidR="00FB658E" w:rsidRPr="003730B5" w:rsidRDefault="00FB658E" w:rsidP="00FB658E">
      <w:pPr>
        <w:widowControl w:val="0"/>
        <w:spacing w:after="120"/>
      </w:pPr>
      <w:r w:rsidRPr="003730B5">
        <w:t xml:space="preserve">Současná ani navrhovaná právní úprava nemá dopad ve vztahu </w:t>
      </w:r>
      <w:r w:rsidR="007C6C1D" w:rsidRPr="003730B5">
        <w:t>k </w:t>
      </w:r>
      <w:r w:rsidRPr="003730B5">
        <w:t>zákazu diskriminace ani ve</w:t>
      </w:r>
      <w:r w:rsidR="00811C11" w:rsidRPr="003730B5">
        <w:t> </w:t>
      </w:r>
      <w:r w:rsidRPr="003730B5">
        <w:t xml:space="preserve">vztahu </w:t>
      </w:r>
      <w:r w:rsidR="007C6C1D" w:rsidRPr="003730B5">
        <w:t>k </w:t>
      </w:r>
      <w:r w:rsidRPr="003730B5">
        <w:t xml:space="preserve">rovnosti mužů </w:t>
      </w:r>
      <w:r w:rsidR="007C6C1D" w:rsidRPr="003730B5">
        <w:t>a </w:t>
      </w:r>
      <w:r w:rsidRPr="003730B5">
        <w:t>žen.</w:t>
      </w:r>
    </w:p>
    <w:p w14:paraId="704F71A8" w14:textId="3EEC39F9" w:rsidR="00D76E2B" w:rsidRPr="003730B5" w:rsidRDefault="00760027" w:rsidP="006F504E">
      <w:pPr>
        <w:pStyle w:val="Nadpis2"/>
        <w:keepNext w:val="0"/>
        <w:widowControl w:val="0"/>
        <w:numPr>
          <w:ilvl w:val="2"/>
          <w:numId w:val="28"/>
        </w:numPr>
        <w:shd w:val="clear" w:color="auto" w:fill="FFFFFF"/>
        <w:tabs>
          <w:tab w:val="left" w:pos="567"/>
        </w:tabs>
        <w:jc w:val="both"/>
        <w:rPr>
          <w:sz w:val="28"/>
        </w:rPr>
      </w:pPr>
      <w:r w:rsidRPr="003730B5">
        <w:rPr>
          <w:sz w:val="28"/>
        </w:rPr>
        <w:t>Konsolidační opatření</w:t>
      </w:r>
      <w:r w:rsidR="00930589" w:rsidRPr="003730B5">
        <w:rPr>
          <w:sz w:val="28"/>
        </w:rPr>
        <w:t xml:space="preserve"> obsažená v návrhu zákona</w:t>
      </w:r>
    </w:p>
    <w:p w14:paraId="0778DFAD" w14:textId="69A99009" w:rsidR="00D7561F" w:rsidRPr="003730B5" w:rsidRDefault="00D7561F" w:rsidP="00D7561F">
      <w:r w:rsidRPr="003730B5">
        <w:t xml:space="preserve">Následuje výčet jednotlivých témat řazený podle gescí jednotlivých rezortů, přičemž úvodní blok tvoří témata v gesci Ministerstva financí začínající jednotlivými daněmi. </w:t>
      </w:r>
    </w:p>
    <w:p w14:paraId="29079791" w14:textId="63EBEAC1" w:rsidR="007C6C1D" w:rsidRPr="003730B5" w:rsidRDefault="007C6C1D" w:rsidP="007C6C1D">
      <w:pPr>
        <w:spacing w:before="240"/>
        <w:rPr>
          <w:b/>
          <w:i/>
          <w:u w:val="single"/>
        </w:rPr>
      </w:pPr>
      <w:r w:rsidRPr="003730B5">
        <w:rPr>
          <w:b/>
          <w:i/>
          <w:u w:val="single"/>
        </w:rPr>
        <w:t>Gesce Ministerstva financí:</w:t>
      </w:r>
    </w:p>
    <w:p w14:paraId="21C9BBDE" w14:textId="7B202E83" w:rsidR="008F7681" w:rsidRPr="003730B5" w:rsidRDefault="00C13373" w:rsidP="00805C42">
      <w:pPr>
        <w:pStyle w:val="Nadpis2"/>
        <w:widowControl w:val="0"/>
        <w:numPr>
          <w:ilvl w:val="3"/>
          <w:numId w:val="28"/>
        </w:numPr>
        <w:shd w:val="clear" w:color="auto" w:fill="FFFFFF"/>
        <w:tabs>
          <w:tab w:val="left" w:pos="567"/>
        </w:tabs>
        <w:jc w:val="both"/>
        <w:rPr>
          <w:i/>
          <w:sz w:val="24"/>
        </w:rPr>
      </w:pPr>
      <w:r w:rsidRPr="003730B5">
        <w:rPr>
          <w:i/>
          <w:sz w:val="24"/>
        </w:rPr>
        <w:t>Da</w:t>
      </w:r>
      <w:r w:rsidR="00AC226B" w:rsidRPr="003730B5">
        <w:rPr>
          <w:i/>
          <w:sz w:val="24"/>
        </w:rPr>
        <w:t>ň</w:t>
      </w:r>
      <w:r w:rsidRPr="003730B5">
        <w:rPr>
          <w:i/>
          <w:sz w:val="24"/>
        </w:rPr>
        <w:t xml:space="preserve"> z</w:t>
      </w:r>
      <w:r w:rsidR="00AC226B" w:rsidRPr="003730B5">
        <w:rPr>
          <w:i/>
          <w:sz w:val="24"/>
        </w:rPr>
        <w:t> </w:t>
      </w:r>
      <w:r w:rsidRPr="003730B5">
        <w:rPr>
          <w:i/>
          <w:sz w:val="24"/>
        </w:rPr>
        <w:t>příjmů</w:t>
      </w:r>
      <w:r w:rsidR="00AC226B" w:rsidRPr="003730B5">
        <w:rPr>
          <w:i/>
          <w:sz w:val="24"/>
        </w:rPr>
        <w:t xml:space="preserve"> fyzických osob</w:t>
      </w:r>
    </w:p>
    <w:p w14:paraId="53B01DB8" w14:textId="43FC7D69" w:rsidR="00C13AC2" w:rsidRPr="003730B5" w:rsidRDefault="00C13AC2" w:rsidP="00C13AC2">
      <w:r w:rsidRPr="003730B5">
        <w:t xml:space="preserve">Kvantitativně největší část změn v oblasti daně z příjmů fyzických osob se týká omezení či zrušení daňových výjimek. Cílem zde není pouze dosažení fiskálního efektu, ale především zjednodušení </w:t>
      </w:r>
      <w:r w:rsidR="00E712DE" w:rsidRPr="003730B5">
        <w:t>a </w:t>
      </w:r>
      <w:r w:rsidRPr="003730B5">
        <w:t xml:space="preserve">narovnání stávajícího stavu. Obecně platí, že tzv. daňové výjimky nemusí být vždy pouze nesystémovou výjimkou reflektující zvýšený zájem zákonodárce </w:t>
      </w:r>
      <w:r w:rsidR="00E712DE" w:rsidRPr="003730B5">
        <w:t>o </w:t>
      </w:r>
      <w:r w:rsidRPr="003730B5">
        <w:t>určitý segment či oblast ve snaze jej tímto způsobem podpořit (</w:t>
      </w:r>
      <w:r w:rsidR="00E712DE" w:rsidRPr="003730B5">
        <w:t>a </w:t>
      </w:r>
      <w:r w:rsidRPr="003730B5">
        <w:t xml:space="preserve">tím založit eventuální nerovnost či kolizi s principem </w:t>
      </w:r>
      <w:r w:rsidR="00834C03" w:rsidRPr="003730B5">
        <w:rPr>
          <w:i/>
        </w:rPr>
        <w:t xml:space="preserve">daňové </w:t>
      </w:r>
      <w:r w:rsidRPr="003730B5">
        <w:rPr>
          <w:i/>
        </w:rPr>
        <w:t>neutrality</w:t>
      </w:r>
      <w:r w:rsidRPr="003730B5">
        <w:t xml:space="preserve">). Část daňových výjimek je žádoucí z hlediska elementární spravovatelnosti dané daně. Jinými slovy, zájem společnosti na efektivní správě dané daně zde převáží nad zájmem absolutní rovnosti či jednoduchosti normativního textu. Oblast daní je oblastí, která se </w:t>
      </w:r>
      <w:r w:rsidR="002B1D12" w:rsidRPr="003730B5">
        <w:t>od</w:t>
      </w:r>
      <w:r w:rsidRPr="003730B5">
        <w:t xml:space="preserve"> řad</w:t>
      </w:r>
      <w:r w:rsidR="002B1D12" w:rsidRPr="003730B5">
        <w:t>y</w:t>
      </w:r>
      <w:r w:rsidRPr="003730B5">
        <w:t xml:space="preserve"> jiných oblastí regulovaných zákonem</w:t>
      </w:r>
      <w:r w:rsidR="00935A7B" w:rsidRPr="003730B5">
        <w:t xml:space="preserve"> liší</w:t>
      </w:r>
      <w:r w:rsidR="00D03256" w:rsidRPr="003730B5">
        <w:t xml:space="preserve"> tím, že je jedním ze </w:t>
      </w:r>
      <w:r w:rsidRPr="003730B5">
        <w:t xml:space="preserve">základních nástrojů politiky vlády, resp. parlamentní většiny. Logickým důsledkem toho je, že se politické preference politických stran </w:t>
      </w:r>
      <w:r w:rsidR="00E712DE" w:rsidRPr="003730B5">
        <w:t>a </w:t>
      </w:r>
      <w:r w:rsidRPr="003730B5">
        <w:t xml:space="preserve">hnutí, které v daném čase disponují dostatečnou politickou silou, odráží též v podobě daňových výjimek, které jsou z pohledu teorie nesystémové, </w:t>
      </w:r>
      <w:r w:rsidR="00E712DE" w:rsidRPr="003730B5">
        <w:t>a </w:t>
      </w:r>
      <w:r w:rsidRPr="003730B5">
        <w:t xml:space="preserve">to zejména s ohledem na narušení principů </w:t>
      </w:r>
      <w:r w:rsidRPr="003730B5">
        <w:rPr>
          <w:i/>
        </w:rPr>
        <w:t>rovnosti</w:t>
      </w:r>
      <w:r w:rsidRPr="003730B5">
        <w:t xml:space="preserve">, </w:t>
      </w:r>
      <w:r w:rsidRPr="003730B5">
        <w:rPr>
          <w:i/>
        </w:rPr>
        <w:t>solidarity</w:t>
      </w:r>
      <w:r w:rsidRPr="003730B5">
        <w:t xml:space="preserve"> </w:t>
      </w:r>
      <w:r w:rsidR="00E712DE" w:rsidRPr="003730B5">
        <w:t>a </w:t>
      </w:r>
      <w:r w:rsidRPr="003730B5">
        <w:rPr>
          <w:i/>
        </w:rPr>
        <w:t>daňové neutrality</w:t>
      </w:r>
      <w:r w:rsidRPr="003730B5">
        <w:t>, což je požadavek na to, aby daňová opatření nevedla ke změně běžného vzorce chování poplatníků s cílem optimalizovat svou daňovou zátěž. Platí, že eliminace výjimky, která již působí</w:t>
      </w:r>
      <w:r w:rsidR="00935A7B" w:rsidRPr="003730B5">
        <w:t>,</w:t>
      </w:r>
      <w:r w:rsidRPr="003730B5">
        <w:t xml:space="preserve"> je vždy těžší, neboť kromě nalezení politické shody na jejím odstranění je nutné čelit </w:t>
      </w:r>
      <w:r w:rsidR="00E712DE" w:rsidRPr="003730B5">
        <w:t>i </w:t>
      </w:r>
      <w:r w:rsidRPr="003730B5">
        <w:t xml:space="preserve">nespokojenosti těch, kteří vzorce svého chování dosavadnímu stavu přizpůsobili, popřípadě na něm vystavěli svůj </w:t>
      </w:r>
      <w:r w:rsidRPr="003730B5">
        <w:rPr>
          <w:i/>
        </w:rPr>
        <w:t>business model</w:t>
      </w:r>
      <w:r w:rsidRPr="003730B5">
        <w:t>.</w:t>
      </w:r>
    </w:p>
    <w:p w14:paraId="7B1BF922" w14:textId="07655223" w:rsidR="00AC226B" w:rsidRPr="003730B5" w:rsidRDefault="00FC42A6" w:rsidP="008F7681">
      <w:pPr>
        <w:pStyle w:val="Nadpis2"/>
        <w:widowControl w:val="0"/>
        <w:numPr>
          <w:ilvl w:val="4"/>
          <w:numId w:val="28"/>
        </w:numPr>
        <w:shd w:val="clear" w:color="auto" w:fill="FFFFFF"/>
        <w:tabs>
          <w:tab w:val="left" w:pos="567"/>
        </w:tabs>
        <w:jc w:val="both"/>
        <w:rPr>
          <w:i/>
          <w:sz w:val="24"/>
        </w:rPr>
      </w:pPr>
      <w:r w:rsidRPr="003730B5">
        <w:rPr>
          <w:i/>
          <w:sz w:val="24"/>
        </w:rPr>
        <w:t>O</w:t>
      </w:r>
      <w:r w:rsidR="00AC226B" w:rsidRPr="003730B5">
        <w:rPr>
          <w:i/>
          <w:sz w:val="24"/>
        </w:rPr>
        <w:t xml:space="preserve">mezení </w:t>
      </w:r>
      <w:r w:rsidR="00E712DE" w:rsidRPr="003730B5">
        <w:rPr>
          <w:i/>
          <w:sz w:val="24"/>
        </w:rPr>
        <w:t>a </w:t>
      </w:r>
      <w:r w:rsidR="00AC226B" w:rsidRPr="003730B5">
        <w:rPr>
          <w:i/>
          <w:sz w:val="24"/>
        </w:rPr>
        <w:t>rušení daňových výjimek</w:t>
      </w:r>
    </w:p>
    <w:p w14:paraId="0A2B2D45" w14:textId="69ABB16F" w:rsidR="00C13373" w:rsidRPr="003730B5" w:rsidRDefault="00C13373" w:rsidP="00C13373">
      <w:pPr>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r w:rsidR="001C1C2B" w:rsidRPr="003730B5">
        <w:rPr>
          <w:u w:val="single"/>
        </w:rPr>
        <w:t xml:space="preserve"> </w:t>
      </w:r>
      <w:r w:rsidR="00E712DE" w:rsidRPr="003730B5">
        <w:rPr>
          <w:u w:val="single"/>
        </w:rPr>
        <w:t>a </w:t>
      </w:r>
      <w:r w:rsidR="001C1C2B" w:rsidRPr="003730B5">
        <w:rPr>
          <w:u w:val="single"/>
        </w:rPr>
        <w:t>navržené řešení (členěno dle jednotlivých témat)</w:t>
      </w:r>
      <w:r w:rsidRPr="003730B5">
        <w:rPr>
          <w:u w:val="single"/>
        </w:rPr>
        <w:t>:</w:t>
      </w:r>
    </w:p>
    <w:p w14:paraId="771AC229" w14:textId="4D46886B" w:rsidR="008F7681" w:rsidRPr="003730B5" w:rsidRDefault="001C1C2B" w:rsidP="008F7681">
      <w:pPr>
        <w:widowControl w:val="0"/>
        <w:spacing w:after="120"/>
      </w:pPr>
      <w:r w:rsidRPr="003730B5">
        <w:rPr>
          <w:b/>
        </w:rPr>
        <w:t xml:space="preserve">Omezení slevy na dani </w:t>
      </w:r>
      <w:r w:rsidR="00FC42A6" w:rsidRPr="003730B5">
        <w:rPr>
          <w:b/>
        </w:rPr>
        <w:t xml:space="preserve">na </w:t>
      </w:r>
      <w:r w:rsidRPr="003730B5">
        <w:rPr>
          <w:b/>
        </w:rPr>
        <w:t>manželku/manžela</w:t>
      </w:r>
      <w:r w:rsidRPr="003730B5">
        <w:t xml:space="preserve"> - </w:t>
      </w:r>
      <w:r w:rsidR="00E712DE" w:rsidRPr="003730B5">
        <w:t>s </w:t>
      </w:r>
      <w:r w:rsidR="008F7681" w:rsidRPr="003730B5">
        <w:t xml:space="preserve">ohledem na negativní efekty daňové výjimky </w:t>
      </w:r>
      <w:r w:rsidRPr="003730B5">
        <w:t>se</w:t>
      </w:r>
      <w:r w:rsidR="008F7681" w:rsidRPr="003730B5">
        <w:t xml:space="preserve"> navrhuje parametrické snížení </w:t>
      </w:r>
      <w:r w:rsidRPr="003730B5">
        <w:t xml:space="preserve">této </w:t>
      </w:r>
      <w:r w:rsidR="008F7681" w:rsidRPr="003730B5">
        <w:t>slevy na dani, která se nově omezí výhradně na</w:t>
      </w:r>
      <w:r w:rsidR="001E3580" w:rsidRPr="003730B5">
        <w:t> </w:t>
      </w:r>
      <w:r w:rsidR="008F7681" w:rsidRPr="003730B5">
        <w:t xml:space="preserve">manžela/manželku pečující </w:t>
      </w:r>
      <w:r w:rsidR="00E712DE" w:rsidRPr="003730B5">
        <w:t>o </w:t>
      </w:r>
      <w:r w:rsidR="008F7681" w:rsidRPr="003730B5">
        <w:t xml:space="preserve">dítě pouze do </w:t>
      </w:r>
      <w:r w:rsidR="00E712DE" w:rsidRPr="003730B5">
        <w:t>3 </w:t>
      </w:r>
      <w:r w:rsidR="008F7681" w:rsidRPr="003730B5">
        <w:t xml:space="preserve">let věku. Hlavním důvodem omezení je, že stávající nastavení výjimky odrazuje poplatníky od vstupu na trh práce </w:t>
      </w:r>
      <w:r w:rsidR="00E712DE" w:rsidRPr="003730B5">
        <w:t>a </w:t>
      </w:r>
      <w:r w:rsidR="008F7681" w:rsidRPr="003730B5">
        <w:t>započetí významnější výdělečné činnosti, protože při překročení limitní hranice příjmů nárok na slevu zaniká.</w:t>
      </w:r>
    </w:p>
    <w:p w14:paraId="5897A77D" w14:textId="480B57A4" w:rsidR="008F7681" w:rsidRPr="003730B5" w:rsidRDefault="001C1C2B" w:rsidP="008F7681">
      <w:pPr>
        <w:widowControl w:val="0"/>
        <w:spacing w:after="120"/>
      </w:pPr>
      <w:r w:rsidRPr="003730B5">
        <w:rPr>
          <w:b/>
        </w:rPr>
        <w:t>Zrušení slevy na dani za umístění dítěte</w:t>
      </w:r>
      <w:r w:rsidRPr="003730B5">
        <w:t xml:space="preserve"> </w:t>
      </w:r>
      <w:r w:rsidR="008F7681" w:rsidRPr="003730B5">
        <w:t>-</w:t>
      </w:r>
      <w:r w:rsidRPr="003730B5">
        <w:t xml:space="preserve"> </w:t>
      </w:r>
      <w:r w:rsidR="00E712DE" w:rsidRPr="003730B5">
        <w:t>s </w:t>
      </w:r>
      <w:r w:rsidR="008F7681" w:rsidRPr="003730B5">
        <w:t xml:space="preserve">ohledem na neplnění účelu daňové výjimky </w:t>
      </w:r>
      <w:r w:rsidRPr="003730B5">
        <w:t xml:space="preserve">se </w:t>
      </w:r>
      <w:r w:rsidR="008F7681" w:rsidRPr="003730B5">
        <w:t xml:space="preserve">navrhuje zrušení tzv. </w:t>
      </w:r>
      <w:r w:rsidR="008F7681" w:rsidRPr="003730B5">
        <w:rPr>
          <w:i/>
        </w:rPr>
        <w:t>školkovného</w:t>
      </w:r>
      <w:r w:rsidR="008F7681" w:rsidRPr="003730B5">
        <w:t xml:space="preserve"> neboli slevy na dani za umístění dítěte do předškolního zařízení. Hlavním důvodem je, že benefit zpravidla uplatňují středně </w:t>
      </w:r>
      <w:r w:rsidR="00E712DE" w:rsidRPr="003730B5">
        <w:t>a </w:t>
      </w:r>
      <w:r w:rsidR="008F7681" w:rsidRPr="003730B5">
        <w:t xml:space="preserve">vysokopříjmové skupiny obyvatel </w:t>
      </w:r>
      <w:r w:rsidR="00E712DE" w:rsidRPr="003730B5">
        <w:t>s </w:t>
      </w:r>
      <w:r w:rsidR="008F7681" w:rsidRPr="003730B5">
        <w:t xml:space="preserve">dostatečně vysokým základem daně, zatímco ti nízkopříjmoví </w:t>
      </w:r>
      <w:r w:rsidR="006B5DDC" w:rsidRPr="003730B5">
        <w:t>(</w:t>
      </w:r>
      <w:r w:rsidR="008F7681" w:rsidRPr="003730B5">
        <w:t>např. samoživitelé pracující na částečné úvazky</w:t>
      </w:r>
      <w:r w:rsidR="006B5DDC" w:rsidRPr="003730B5">
        <w:t>)</w:t>
      </w:r>
      <w:r w:rsidR="008F7681" w:rsidRPr="003730B5">
        <w:t xml:space="preserve"> po uplatnění ostatních slev tuto podporu zpravidla pro nízký základ daně nevyužijí. Při sazbě </w:t>
      </w:r>
      <w:r w:rsidR="006B5DDC" w:rsidRPr="003730B5">
        <w:t>daně z příjmů fyzických osob</w:t>
      </w:r>
      <w:r w:rsidR="008F7681" w:rsidRPr="003730B5">
        <w:t xml:space="preserve"> 15 % odpovídá částka základní slevy na dani na poplatníka, tj. 30 840 Kč ročně, základu daně ve výši 205 600 Kč. Přepočtem na měsíc jde </w:t>
      </w:r>
      <w:r w:rsidR="00E712DE" w:rsidRPr="003730B5">
        <w:t>o </w:t>
      </w:r>
      <w:r w:rsidR="008F7681" w:rsidRPr="003730B5">
        <w:t xml:space="preserve">příjem na úrovni minimální mzdy. Pro tyto nízkopříjmové skupiny poplatníků tedy školkovné žádnou výhodou není, protože si ho vzhledem </w:t>
      </w:r>
      <w:r w:rsidR="00E712DE" w:rsidRPr="003730B5">
        <w:t>k </w:t>
      </w:r>
      <w:r w:rsidR="008F7681" w:rsidRPr="003730B5">
        <w:t xml:space="preserve">nízké dani nemohou uplatnit. Školkovné je proto dobrým příkladem toho, že daňové nástroje nejsou vždy nejvhodnějším </w:t>
      </w:r>
      <w:r w:rsidR="008F7681" w:rsidRPr="003730B5">
        <w:lastRenderedPageBreak/>
        <w:t xml:space="preserve">nástrojem realizace sociální politiky. </w:t>
      </w:r>
      <w:r w:rsidR="006B5DDC" w:rsidRPr="003730B5">
        <w:t>K revizi této výjimky bylo přistoupeno mj. s vědomím záměru vlády</w:t>
      </w:r>
      <w:r w:rsidR="008F7681" w:rsidRPr="003730B5">
        <w:t xml:space="preserve"> </w:t>
      </w:r>
      <w:r w:rsidR="006B5DDC" w:rsidRPr="003730B5">
        <w:t>navýšit</w:t>
      </w:r>
      <w:r w:rsidR="008F7681" w:rsidRPr="003730B5">
        <w:t xml:space="preserve"> kapacity předškolních zařízení.</w:t>
      </w:r>
    </w:p>
    <w:p w14:paraId="4D014558" w14:textId="76A0051F" w:rsidR="008F7681" w:rsidRPr="003730B5" w:rsidRDefault="00535ACE" w:rsidP="008F7681">
      <w:pPr>
        <w:widowControl w:val="0"/>
        <w:spacing w:after="120"/>
      </w:pPr>
      <w:r w:rsidRPr="003730B5">
        <w:rPr>
          <w:b/>
        </w:rPr>
        <w:t>Zrušení slevy na dani na studenta</w:t>
      </w:r>
      <w:r w:rsidRPr="003730B5">
        <w:t xml:space="preserve"> </w:t>
      </w:r>
      <w:r w:rsidR="008F7681" w:rsidRPr="003730B5">
        <w:t>-</w:t>
      </w:r>
      <w:r w:rsidRPr="003730B5">
        <w:t xml:space="preserve"> </w:t>
      </w:r>
      <w:r w:rsidR="00E712DE" w:rsidRPr="003730B5">
        <w:t>s </w:t>
      </w:r>
      <w:r w:rsidR="008F7681" w:rsidRPr="003730B5">
        <w:t xml:space="preserve">ohledem na negativní efekty daňové výjimky </w:t>
      </w:r>
      <w:r w:rsidRPr="003730B5">
        <w:t>se</w:t>
      </w:r>
      <w:r w:rsidR="008F7681" w:rsidRPr="003730B5">
        <w:t xml:space="preserve"> navrhuje zrušit slevu na dani na studenta. Hlavním důvodem je nízká efektivita vůči klasickým studentům, kterým by </w:t>
      </w:r>
      <w:r w:rsidR="00E712DE" w:rsidRPr="003730B5">
        <w:t>v </w:t>
      </w:r>
      <w:r w:rsidR="008F7681" w:rsidRPr="003730B5">
        <w:t xml:space="preserve">principu postačovala standardní sleva na poplatníka, která plně eliminuje zdanění </w:t>
      </w:r>
      <w:r w:rsidR="00E712DE" w:rsidRPr="003730B5">
        <w:t>u </w:t>
      </w:r>
      <w:r w:rsidR="008F7681" w:rsidRPr="003730B5">
        <w:t xml:space="preserve">výdělku 205 600 Kč ročně, což odpovídá průměrnému měsíčnímu přivýdělku ve výši cca 17 100 Kč. Tj. dodatečnou slevu na studenta využijí jen ti studenti, kteří vydělávají částky větší, naopak slabě finančně saturovaní studenti tuto slevu nevyužijí vůbec. </w:t>
      </w:r>
      <w:r w:rsidR="00C13AC2" w:rsidRPr="003730B5">
        <w:t xml:space="preserve">Současně dojde k snížení stimulu pro nežádoucí jev, kdy určité osoby mají status studenta jen formálně (tj. sice jsou ke studiu zapsaní, ale vzdělávací zařízení již nenavštěvují) </w:t>
      </w:r>
      <w:r w:rsidR="00E712DE" w:rsidRPr="003730B5">
        <w:t>a </w:t>
      </w:r>
      <w:r w:rsidR="00C13AC2" w:rsidRPr="003730B5">
        <w:t xml:space="preserve">mohou tak čerpat výhodu spojenou s touto slevou na dani. </w:t>
      </w:r>
    </w:p>
    <w:p w14:paraId="32B35FB1" w14:textId="4AEBB1EB" w:rsidR="008F7681" w:rsidRPr="003730B5" w:rsidRDefault="00F525C9" w:rsidP="008F7681">
      <w:pPr>
        <w:widowControl w:val="0"/>
        <w:spacing w:after="120"/>
      </w:pPr>
      <w:r w:rsidRPr="003730B5">
        <w:rPr>
          <w:b/>
        </w:rPr>
        <w:t>Zrušení osvobození nepeněžních benefitů zaměstnancům</w:t>
      </w:r>
      <w:r w:rsidRPr="003730B5">
        <w:t xml:space="preserve"> - </w:t>
      </w:r>
      <w:r w:rsidR="008F7681" w:rsidRPr="003730B5">
        <w:t>navrhuje</w:t>
      </w:r>
      <w:r w:rsidRPr="003730B5">
        <w:t xml:space="preserve"> se</w:t>
      </w:r>
      <w:r w:rsidR="008F7681" w:rsidRPr="003730B5">
        <w:t xml:space="preserve"> zrušení osvobození nepeněžních benefitů zaměstnancům, neboť jde </w:t>
      </w:r>
      <w:r w:rsidR="00E712DE" w:rsidRPr="003730B5">
        <w:t>o </w:t>
      </w:r>
      <w:r w:rsidR="008F7681" w:rsidRPr="003730B5">
        <w:t xml:space="preserve">selektivní daňovou výjimku, kterou efektivněji uplatňují </w:t>
      </w:r>
      <w:r w:rsidR="00C13AC2" w:rsidRPr="003730B5">
        <w:t xml:space="preserve">především </w:t>
      </w:r>
      <w:r w:rsidR="008F7681" w:rsidRPr="003730B5">
        <w:t xml:space="preserve">větší zaměstnavatelé. </w:t>
      </w:r>
      <w:r w:rsidR="00E712DE" w:rsidRPr="003730B5">
        <w:t>U </w:t>
      </w:r>
      <w:r w:rsidR="008F7681" w:rsidRPr="003730B5">
        <w:t xml:space="preserve">malých firem či živnostníků </w:t>
      </w:r>
      <w:r w:rsidR="00E712DE" w:rsidRPr="003730B5">
        <w:t>s </w:t>
      </w:r>
      <w:r w:rsidR="008F7681" w:rsidRPr="003730B5">
        <w:t xml:space="preserve">malým počtem zaměstnanců není totiž </w:t>
      </w:r>
      <w:r w:rsidR="00C13AC2" w:rsidRPr="003730B5">
        <w:t xml:space="preserve">vždy </w:t>
      </w:r>
      <w:r w:rsidR="008F7681" w:rsidRPr="003730B5">
        <w:t xml:space="preserve">efektivní administrovat tyto daňové benefity tak, aby byly využity naplno. </w:t>
      </w:r>
    </w:p>
    <w:p w14:paraId="266ACAA4" w14:textId="3F4BD10D" w:rsidR="008F7681" w:rsidRPr="003730B5" w:rsidRDefault="00F525C9" w:rsidP="008F7681">
      <w:pPr>
        <w:widowControl w:val="0"/>
        <w:spacing w:after="120"/>
      </w:pPr>
      <w:r w:rsidRPr="003730B5">
        <w:rPr>
          <w:b/>
        </w:rPr>
        <w:t xml:space="preserve">Zrušení osvobození nadlimitních stravenek </w:t>
      </w:r>
      <w:r w:rsidR="008F7681" w:rsidRPr="003730B5">
        <w:t>-</w:t>
      </w:r>
      <w:r w:rsidRPr="003730B5">
        <w:t xml:space="preserve"> </w:t>
      </w:r>
      <w:r w:rsidR="00E712DE" w:rsidRPr="003730B5">
        <w:t>s </w:t>
      </w:r>
      <w:r w:rsidR="008F7681" w:rsidRPr="003730B5">
        <w:t xml:space="preserve">ohledem na neplnění účelu daňové výjimky </w:t>
      </w:r>
      <w:r w:rsidRPr="003730B5">
        <w:t xml:space="preserve">se </w:t>
      </w:r>
      <w:r w:rsidR="008F7681" w:rsidRPr="003730B5">
        <w:t xml:space="preserve">navrhuje zrušení osvobození nadlimitních stravenek. Ty dnes na rozdíl od </w:t>
      </w:r>
      <w:r w:rsidR="00E960A8" w:rsidRPr="003730B5">
        <w:t xml:space="preserve">tzv. </w:t>
      </w:r>
      <w:r w:rsidR="008F7681" w:rsidRPr="003730B5">
        <w:rPr>
          <w:i/>
        </w:rPr>
        <w:t xml:space="preserve">stravenkového paušálu </w:t>
      </w:r>
      <w:r w:rsidR="008F7681" w:rsidRPr="003730B5">
        <w:t xml:space="preserve">mohou být poskytovány bez limitu, čímž mohou tyto stravovací benefity činit řádově </w:t>
      </w:r>
      <w:r w:rsidR="00E712DE" w:rsidRPr="003730B5">
        <w:t>i </w:t>
      </w:r>
      <w:r w:rsidR="00562F2D" w:rsidRPr="003730B5">
        <w:t>stovky</w:t>
      </w:r>
      <w:r w:rsidR="008F7681" w:rsidRPr="003730B5">
        <w:t xml:space="preserve"> korun denně (tzv. manažerské stravenky). </w:t>
      </w:r>
      <w:r w:rsidR="00E712DE" w:rsidRPr="003730B5">
        <w:t>V </w:t>
      </w:r>
      <w:r w:rsidR="008F7681" w:rsidRPr="003730B5">
        <w:t xml:space="preserve">souvislosti </w:t>
      </w:r>
      <w:r w:rsidR="00E712DE" w:rsidRPr="003730B5">
        <w:t>s </w:t>
      </w:r>
      <w:r w:rsidR="008F7681" w:rsidRPr="003730B5">
        <w:t xml:space="preserve">tím dojde </w:t>
      </w:r>
      <w:r w:rsidR="00E712DE" w:rsidRPr="003730B5">
        <w:t>i k </w:t>
      </w:r>
      <w:r w:rsidR="008F7681" w:rsidRPr="003730B5">
        <w:t xml:space="preserve">úpravě stravovacího paušálu tak, aby ho mohly adekvátně čerpat </w:t>
      </w:r>
      <w:r w:rsidR="00E712DE" w:rsidRPr="003730B5">
        <w:t>i </w:t>
      </w:r>
      <w:r w:rsidR="008F7681" w:rsidRPr="003730B5">
        <w:t xml:space="preserve">osoby na delších pracovních směnách. </w:t>
      </w:r>
    </w:p>
    <w:p w14:paraId="4B6DFBF3" w14:textId="64B148D2" w:rsidR="001E512F" w:rsidRPr="003730B5" w:rsidRDefault="001E512F" w:rsidP="001E512F">
      <w:pPr>
        <w:widowControl w:val="0"/>
        <w:spacing w:after="120"/>
      </w:pPr>
      <w:r w:rsidRPr="003730B5">
        <w:rPr>
          <w:b/>
        </w:rPr>
        <w:t>Omezení osvobození příjmů z tombol a hazardních her</w:t>
      </w:r>
      <w:r w:rsidRPr="003730B5">
        <w:t xml:space="preserve"> - v souladu s principy ochrany veřejného zdraví a bojem se závislostmi se navrhuje snížit limit pro osvobození příjmů z tombol a hazardních her, a to ze stávajícího 1 mil. Kč na 50 000 Kč. Úplné zrušení tohoto osvobození by již nebylo produktivní, neboť by znamenalo výraznou dodatečnou administrativní zátěž pro</w:t>
      </w:r>
      <w:r w:rsidR="00E828B3" w:rsidRPr="003730B5">
        <w:t> </w:t>
      </w:r>
      <w:r w:rsidRPr="003730B5">
        <w:t>stát, kdy by každý hráč musel podávat daňové přiznání a v něm dokládat nejen své příjmy, ale i výdaje (tj. každé „zatočení“ v automatu). Konstrukci stropu se navrhuje zachovat, tj.</w:t>
      </w:r>
      <w:r w:rsidR="00E828B3" w:rsidRPr="003730B5">
        <w:t> </w:t>
      </w:r>
      <w:r w:rsidRPr="003730B5">
        <w:t>pro</w:t>
      </w:r>
      <w:r w:rsidR="00E828B3" w:rsidRPr="003730B5">
        <w:t> </w:t>
      </w:r>
      <w:r w:rsidRPr="003730B5">
        <w:t>loterie a tomboly strop bude nadále aplikován z hrubé částky a způsobem zdanění bude nadále srážková daň. Pro ostatní hry bude tak jako dosud příjem osvobozen</w:t>
      </w:r>
      <w:r w:rsidR="00E828B3" w:rsidRPr="003730B5">
        <w:t>,</w:t>
      </w:r>
      <w:r w:rsidRPr="003730B5">
        <w:t xml:space="preserve"> nepřesáhne-li rozdíl mezi úhrnem výher </w:t>
      </w:r>
      <w:r w:rsidR="00CA40A9" w:rsidRPr="003730B5">
        <w:t>a </w:t>
      </w:r>
      <w:r w:rsidRPr="003730B5">
        <w:t>vkladů v rámci dané hazardní hry daný strop.</w:t>
      </w:r>
    </w:p>
    <w:p w14:paraId="55678507" w14:textId="5D06FB6B" w:rsidR="001E512F" w:rsidRPr="003730B5" w:rsidRDefault="001E512F" w:rsidP="001E512F">
      <w:pPr>
        <w:widowControl w:val="0"/>
        <w:spacing w:after="120"/>
      </w:pPr>
      <w:r w:rsidRPr="003730B5">
        <w:rPr>
          <w:b/>
        </w:rPr>
        <w:t xml:space="preserve">Zrušení odpočtu za členské příspěvky odborovým organizacím </w:t>
      </w:r>
      <w:r w:rsidRPr="003730B5">
        <w:t>– navrhuje se zrušení odpočtu od základu daně ve formě zaplacených členských příspěvků odborům, neboť jde o vysoce selektivní výjimku. Mnozí lidé jsou členy různých neziskových organizací - např.</w:t>
      </w:r>
      <w:r w:rsidR="00E828B3" w:rsidRPr="003730B5">
        <w:t> </w:t>
      </w:r>
      <w:r w:rsidRPr="003730B5">
        <w:t xml:space="preserve">výchova a vzdělávání mládeže, sport apod. a žádný odpočet od základu daně uplatnit nemohou. Z pohledu zásad rovnosti a spravedlnosti je obtížné zdůvodnit, proč právě jen tento jeden neziskový subjekt má právo na toto zvýhodnění. </w:t>
      </w:r>
    </w:p>
    <w:p w14:paraId="69FE343E" w14:textId="1C576370" w:rsidR="00F25A0C" w:rsidRPr="003730B5" w:rsidRDefault="00F25A0C" w:rsidP="00F25A0C">
      <w:pPr>
        <w:widowControl w:val="0"/>
        <w:spacing w:after="120"/>
      </w:pPr>
      <w:r w:rsidRPr="003730B5">
        <w:rPr>
          <w:b/>
        </w:rPr>
        <w:t xml:space="preserve">Omezení osvobození při prodeji cenných papírů </w:t>
      </w:r>
      <w:r w:rsidR="00E712DE" w:rsidRPr="003730B5">
        <w:rPr>
          <w:b/>
        </w:rPr>
        <w:t>a </w:t>
      </w:r>
      <w:r w:rsidRPr="003730B5">
        <w:rPr>
          <w:b/>
        </w:rPr>
        <w:t xml:space="preserve">podílů </w:t>
      </w:r>
      <w:r w:rsidR="00E712DE" w:rsidRPr="003730B5">
        <w:rPr>
          <w:b/>
        </w:rPr>
        <w:t>v </w:t>
      </w:r>
      <w:r w:rsidRPr="003730B5">
        <w:rPr>
          <w:b/>
        </w:rPr>
        <w:t>obchodních společnostech</w:t>
      </w:r>
      <w:r w:rsidR="00BB63B4" w:rsidRPr="003730B5">
        <w:t xml:space="preserve"> - </w:t>
      </w:r>
      <w:r w:rsidRPr="003730B5">
        <w:t xml:space="preserve"> </w:t>
      </w:r>
      <w:r w:rsidR="00BB63B4" w:rsidRPr="003730B5">
        <w:t>navrhuje se ponechat</w:t>
      </w:r>
      <w:r w:rsidRPr="003730B5">
        <w:t xml:space="preserve"> současné osvobození příjmů </w:t>
      </w:r>
      <w:r w:rsidR="00E712DE" w:rsidRPr="003730B5">
        <w:t>z </w:t>
      </w:r>
      <w:r w:rsidRPr="003730B5">
        <w:t xml:space="preserve">prodeje cenných papírů od zdanění </w:t>
      </w:r>
      <w:r w:rsidR="00E712DE" w:rsidRPr="003730B5">
        <w:t>z </w:t>
      </w:r>
      <w:r w:rsidRPr="003730B5">
        <w:t xml:space="preserve">příjmů fyzických osob do výše 100 000 Kč za zdaňovací období </w:t>
      </w:r>
      <w:r w:rsidR="00E712DE" w:rsidRPr="003730B5">
        <w:t>a </w:t>
      </w:r>
      <w:r w:rsidRPr="003730B5">
        <w:t xml:space="preserve">zároveň se nově ohraničuje osvobození příjmu </w:t>
      </w:r>
      <w:r w:rsidR="00E712DE" w:rsidRPr="003730B5">
        <w:t>z </w:t>
      </w:r>
      <w:r w:rsidRPr="003730B5">
        <w:t>prodeje cenného papíru</w:t>
      </w:r>
      <w:r w:rsidR="008218E8" w:rsidRPr="003730B5">
        <w:t xml:space="preserve"> </w:t>
      </w:r>
      <w:r w:rsidRPr="003730B5">
        <w:t>/</w:t>
      </w:r>
      <w:r w:rsidR="008218E8" w:rsidRPr="003730B5">
        <w:t xml:space="preserve"> </w:t>
      </w:r>
      <w:r w:rsidRPr="003730B5">
        <w:t>podílu ve společnosti při splnění časového testu 3</w:t>
      </w:r>
      <w:r w:rsidR="00BB63B4" w:rsidRPr="003730B5">
        <w:t> </w:t>
      </w:r>
      <w:r w:rsidRPr="003730B5">
        <w:t xml:space="preserve">roky, resp. </w:t>
      </w:r>
      <w:r w:rsidR="00E712DE" w:rsidRPr="003730B5">
        <w:t>5 </w:t>
      </w:r>
      <w:r w:rsidRPr="003730B5">
        <w:t xml:space="preserve">let mezi nabytím </w:t>
      </w:r>
      <w:r w:rsidR="00E712DE" w:rsidRPr="003730B5">
        <w:t>a </w:t>
      </w:r>
      <w:r w:rsidRPr="003730B5">
        <w:t>prodejem na 40 000 000 Kč na poplatníka.</w:t>
      </w:r>
    </w:p>
    <w:p w14:paraId="78F736EC" w14:textId="4B204004" w:rsidR="008F7681" w:rsidRPr="003730B5" w:rsidRDefault="008F7681" w:rsidP="008F7681">
      <w:pPr>
        <w:widowControl w:val="0"/>
        <w:spacing w:after="120"/>
      </w:pPr>
      <w:r w:rsidRPr="003730B5">
        <w:rPr>
          <w:b/>
        </w:rPr>
        <w:t>Zrušení osvobození náhrady za vyvlastnění</w:t>
      </w:r>
      <w:r w:rsidR="00443017" w:rsidRPr="003730B5">
        <w:t xml:space="preserve"> – navrhuje se narovnat stávající nerovnováhu oproti režimu odkoupení majetku, </w:t>
      </w:r>
      <w:r w:rsidR="00E712DE" w:rsidRPr="003730B5">
        <w:t>a </w:t>
      </w:r>
      <w:r w:rsidR="00443017" w:rsidRPr="003730B5">
        <w:t xml:space="preserve">to způsobem, který redukuje daňové výjimky. Takové řešení </w:t>
      </w:r>
      <w:r w:rsidR="0005195D" w:rsidRPr="003730B5">
        <w:t xml:space="preserve">lépe </w:t>
      </w:r>
      <w:r w:rsidR="00443017" w:rsidRPr="003730B5">
        <w:t xml:space="preserve">odpovídá zásadě daňové neutrality. </w:t>
      </w:r>
    </w:p>
    <w:p w14:paraId="3F030441" w14:textId="1451132D" w:rsidR="008F7681" w:rsidRPr="003730B5" w:rsidRDefault="008F7681" w:rsidP="008F7681">
      <w:pPr>
        <w:widowControl w:val="0"/>
        <w:spacing w:after="120"/>
      </w:pPr>
      <w:r w:rsidRPr="003730B5">
        <w:rPr>
          <w:b/>
        </w:rPr>
        <w:t>Zrušení zvláštního daňového režimu pro plat prezidenta republiky</w:t>
      </w:r>
      <w:r w:rsidR="00443017" w:rsidRPr="003730B5">
        <w:rPr>
          <w:b/>
        </w:rPr>
        <w:t xml:space="preserve"> </w:t>
      </w:r>
      <w:r w:rsidR="00443017" w:rsidRPr="003730B5">
        <w:t>– do budoucna by měl být tento příjem</w:t>
      </w:r>
      <w:r w:rsidRPr="003730B5">
        <w:t xml:space="preserve"> standardně daněn jako příjem zaměstnance</w:t>
      </w:r>
      <w:r w:rsidR="00443017" w:rsidRPr="003730B5">
        <w:t xml:space="preserve">, </w:t>
      </w:r>
      <w:r w:rsidR="00E712DE" w:rsidRPr="003730B5">
        <w:t>a </w:t>
      </w:r>
      <w:r w:rsidR="00443017" w:rsidRPr="003730B5">
        <w:t xml:space="preserve">nikoli tedy jako tzv. </w:t>
      </w:r>
      <w:r w:rsidR="00443017" w:rsidRPr="003730B5">
        <w:rPr>
          <w:i/>
        </w:rPr>
        <w:t xml:space="preserve">ostatní </w:t>
      </w:r>
      <w:r w:rsidR="00443017" w:rsidRPr="003730B5">
        <w:rPr>
          <w:i/>
        </w:rPr>
        <w:lastRenderedPageBreak/>
        <w:t>příjem</w:t>
      </w:r>
      <w:r w:rsidRPr="003730B5">
        <w:t xml:space="preserve">. </w:t>
      </w:r>
      <w:r w:rsidR="00571989" w:rsidRPr="003730B5">
        <w:t xml:space="preserve">Díky tomu se z tohoto příjmu bude platit pojistné na sociální </w:t>
      </w:r>
      <w:r w:rsidR="00E712DE" w:rsidRPr="003730B5">
        <w:t>a </w:t>
      </w:r>
      <w:r w:rsidR="00571989" w:rsidRPr="003730B5">
        <w:t xml:space="preserve">zdravotní pojištění. </w:t>
      </w:r>
      <w:r w:rsidR="00443017" w:rsidRPr="003730B5">
        <w:t>Obdobná situace bude platit pro renty pro bývalé prezidenty. Samotná výše renty</w:t>
      </w:r>
      <w:r w:rsidRPr="003730B5">
        <w:t xml:space="preserve"> </w:t>
      </w:r>
      <w:r w:rsidR="00C0200B" w:rsidRPr="003730B5">
        <w:t>bude</w:t>
      </w:r>
      <w:r w:rsidR="00443017" w:rsidRPr="003730B5">
        <w:t xml:space="preserve"> </w:t>
      </w:r>
      <w:r w:rsidRPr="003730B5">
        <w:t>navázána na vývoj platu ústavních činitelů</w:t>
      </w:r>
      <w:r w:rsidR="006852DE" w:rsidRPr="003730B5">
        <w:t>, kdy namísto fixní částky bude odvozena od základního platu poslance</w:t>
      </w:r>
      <w:r w:rsidRPr="003730B5">
        <w:t>.</w:t>
      </w:r>
    </w:p>
    <w:p w14:paraId="71C709A7" w14:textId="5546974C" w:rsidR="008F7681" w:rsidRPr="003730B5" w:rsidRDefault="008F7681" w:rsidP="002078EA">
      <w:pPr>
        <w:widowControl w:val="0"/>
        <w:spacing w:after="120"/>
      </w:pPr>
      <w:r w:rsidRPr="003730B5">
        <w:rPr>
          <w:b/>
        </w:rPr>
        <w:t>Zrušení daňové uznatelnosti tichého vína jako</w:t>
      </w:r>
      <w:r w:rsidR="002078EA" w:rsidRPr="003730B5">
        <w:rPr>
          <w:b/>
        </w:rPr>
        <w:t xml:space="preserve"> daru do 500 Kč na reprezentaci</w:t>
      </w:r>
      <w:r w:rsidR="002078EA" w:rsidRPr="003730B5">
        <w:t xml:space="preserve"> – v současné době je umožněna daňová uznatelnost tzv. </w:t>
      </w:r>
      <w:r w:rsidR="002078EA" w:rsidRPr="003730B5">
        <w:rPr>
          <w:i/>
        </w:rPr>
        <w:t>výdajů na reprezentaci</w:t>
      </w:r>
      <w:r w:rsidR="002078EA" w:rsidRPr="003730B5">
        <w:t xml:space="preserve">, </w:t>
      </w:r>
      <w:r w:rsidR="00E712DE" w:rsidRPr="003730B5">
        <w:t>a </w:t>
      </w:r>
      <w:r w:rsidR="002078EA" w:rsidRPr="003730B5">
        <w:t xml:space="preserve">to do výše 500 Kč při splnění dalších podmínek. Jednou </w:t>
      </w:r>
      <w:r w:rsidR="00E712DE" w:rsidRPr="003730B5">
        <w:t>z </w:t>
      </w:r>
      <w:r w:rsidR="002078EA" w:rsidRPr="003730B5">
        <w:t xml:space="preserve">těchto podmínek je, že daný předmět není předmětem spotřební daně </w:t>
      </w:r>
      <w:r w:rsidR="00E712DE" w:rsidRPr="003730B5">
        <w:t>s </w:t>
      </w:r>
      <w:r w:rsidR="002078EA" w:rsidRPr="003730B5">
        <w:t xml:space="preserve">tím, že daňově neuznatelný je dar zejména tabákových či alkoholických výrobků. Jedinou výjimkou je zde tiché víno, na které se toto omezení nevztahuje, což je nekoncepční </w:t>
      </w:r>
      <w:r w:rsidR="00E712DE" w:rsidRPr="003730B5">
        <w:t>a </w:t>
      </w:r>
      <w:r w:rsidR="002078EA" w:rsidRPr="003730B5">
        <w:t xml:space="preserve">selektivní zásah (nadto lze předpokládat, že ne všechno vykázané tiché víno uplatněné jako výdaj na reprezentaci je ve výsledku opravdu darováno). </w:t>
      </w:r>
    </w:p>
    <w:p w14:paraId="7BCA35EA" w14:textId="04E47C20" w:rsidR="008F7681" w:rsidRPr="003730B5" w:rsidRDefault="008F7681" w:rsidP="008F7681">
      <w:pPr>
        <w:widowControl w:val="0"/>
        <w:spacing w:after="120"/>
      </w:pPr>
      <w:r w:rsidRPr="003730B5">
        <w:rPr>
          <w:b/>
        </w:rPr>
        <w:t>Zrušení odpočtu úhrad za zkoušky ověřující výsledky dalšího vzdělávání</w:t>
      </w:r>
      <w:r w:rsidR="00286B5C" w:rsidRPr="003730B5">
        <w:t xml:space="preserve"> – návrhem se odstraní sporná oblast podpory formou daňové výjimky. Odpadne tak </w:t>
      </w:r>
      <w:r w:rsidR="0005195D" w:rsidRPr="003730B5">
        <w:t xml:space="preserve">mj. </w:t>
      </w:r>
      <w:r w:rsidR="00286B5C" w:rsidRPr="003730B5">
        <w:t xml:space="preserve">formalistické posuzování toho, co se </w:t>
      </w:r>
      <w:r w:rsidR="00A13A21" w:rsidRPr="003730B5">
        <w:t xml:space="preserve">podle zákona </w:t>
      </w:r>
      <w:r w:rsidR="00286B5C" w:rsidRPr="003730B5">
        <w:t>rozumí „dalším vzděláváním“.</w:t>
      </w:r>
    </w:p>
    <w:p w14:paraId="178341BB" w14:textId="5F8E8DC3" w:rsidR="008F7681" w:rsidRPr="003730B5" w:rsidRDefault="008F7681" w:rsidP="008F7681">
      <w:pPr>
        <w:widowControl w:val="0"/>
        <w:spacing w:after="120"/>
      </w:pPr>
      <w:r w:rsidRPr="003730B5">
        <w:rPr>
          <w:b/>
        </w:rPr>
        <w:t xml:space="preserve">Zrušení osvobození mzdového vyrovnání </w:t>
      </w:r>
      <w:r w:rsidR="00E712DE" w:rsidRPr="003730B5">
        <w:rPr>
          <w:b/>
        </w:rPr>
        <w:t>v </w:t>
      </w:r>
      <w:r w:rsidRPr="003730B5">
        <w:rPr>
          <w:b/>
        </w:rPr>
        <w:t xml:space="preserve">hornictví </w:t>
      </w:r>
      <w:r w:rsidR="00E712DE" w:rsidRPr="003730B5">
        <w:rPr>
          <w:b/>
        </w:rPr>
        <w:t>a </w:t>
      </w:r>
      <w:r w:rsidRPr="003730B5">
        <w:rPr>
          <w:b/>
        </w:rPr>
        <w:t>odstupného horníkům</w:t>
      </w:r>
      <w:r w:rsidR="00A13A21" w:rsidRPr="003730B5">
        <w:t xml:space="preserve"> - mzdové vyrovnání </w:t>
      </w:r>
      <w:r w:rsidR="00E712DE" w:rsidRPr="003730B5">
        <w:t>v </w:t>
      </w:r>
      <w:r w:rsidR="00A13A21" w:rsidRPr="003730B5">
        <w:t xml:space="preserve">hornictví </w:t>
      </w:r>
      <w:r w:rsidR="00E712DE" w:rsidRPr="003730B5">
        <w:t>a </w:t>
      </w:r>
      <w:r w:rsidR="00A13A21" w:rsidRPr="003730B5">
        <w:t xml:space="preserve">odstupné horníkům je plněním dle vyhlášky </w:t>
      </w:r>
      <w:r w:rsidR="00E712DE" w:rsidRPr="003730B5">
        <w:t>č. </w:t>
      </w:r>
      <w:r w:rsidR="00A13A21" w:rsidRPr="003730B5">
        <w:t xml:space="preserve">19/1991 Sb., </w:t>
      </w:r>
      <w:r w:rsidR="007A718A" w:rsidRPr="003730B5">
        <w:t xml:space="preserve">o pracovním uplatnění a hmotném zabezpečení pracovníků v hornictví dlouhodobě nezpůsobilých k dosavadní práci (dále též „vyhláška </w:t>
      </w:r>
      <w:r w:rsidR="00D03256" w:rsidRPr="003730B5">
        <w:t>č. </w:t>
      </w:r>
      <w:r w:rsidR="007A718A" w:rsidRPr="003730B5">
        <w:t xml:space="preserve">19/1991 Sb.“), </w:t>
      </w:r>
      <w:r w:rsidR="00A13A21" w:rsidRPr="003730B5">
        <w:t xml:space="preserve">která je již mnoho let zrušená (od 1. </w:t>
      </w:r>
      <w:r w:rsidR="00D6156C" w:rsidRPr="003730B5">
        <w:t xml:space="preserve">12. </w:t>
      </w:r>
      <w:r w:rsidR="00A13A21" w:rsidRPr="003730B5">
        <w:t xml:space="preserve">2003). Jde tedy </w:t>
      </w:r>
      <w:r w:rsidR="00E712DE" w:rsidRPr="003730B5">
        <w:t>o </w:t>
      </w:r>
      <w:r w:rsidR="00A13A21" w:rsidRPr="003730B5">
        <w:t xml:space="preserve">obsoletní výjimku, která je navíc </w:t>
      </w:r>
      <w:r w:rsidR="00E712DE" w:rsidRPr="003730B5">
        <w:t>i </w:t>
      </w:r>
      <w:r w:rsidR="00A13A21" w:rsidRPr="003730B5">
        <w:t xml:space="preserve">nesystémová, neboť odstupné či vyrovnání placené </w:t>
      </w:r>
      <w:r w:rsidR="00E712DE" w:rsidRPr="003730B5">
        <w:t>u </w:t>
      </w:r>
      <w:r w:rsidR="00A13A21" w:rsidRPr="003730B5">
        <w:t>jiných zaměstnavatelů je standardně zdaněno</w:t>
      </w:r>
      <w:r w:rsidRPr="003730B5">
        <w:t>.</w:t>
      </w:r>
    </w:p>
    <w:p w14:paraId="3149FDF5" w14:textId="77777777" w:rsidR="00146A6E" w:rsidRPr="003730B5" w:rsidRDefault="00146A6E" w:rsidP="00146A6E">
      <w:pPr>
        <w:pStyle w:val="Nadpis2"/>
        <w:widowControl w:val="0"/>
        <w:numPr>
          <w:ilvl w:val="4"/>
          <w:numId w:val="28"/>
        </w:numPr>
        <w:shd w:val="clear" w:color="auto" w:fill="FFFFFF"/>
        <w:tabs>
          <w:tab w:val="left" w:pos="567"/>
        </w:tabs>
        <w:jc w:val="both"/>
        <w:rPr>
          <w:i/>
          <w:sz w:val="24"/>
        </w:rPr>
      </w:pPr>
      <w:r w:rsidRPr="003730B5">
        <w:rPr>
          <w:i/>
          <w:sz w:val="24"/>
        </w:rPr>
        <w:t>Sjednocení selektivních výjimek do obecného neúčelového limitu</w:t>
      </w:r>
    </w:p>
    <w:p w14:paraId="7EA07425" w14:textId="77777777" w:rsidR="00146A6E" w:rsidRPr="003730B5" w:rsidRDefault="00146A6E" w:rsidP="00146A6E">
      <w:pPr>
        <w:widowControl w:val="0"/>
        <w:spacing w:after="120"/>
        <w:rPr>
          <w:u w:val="single"/>
        </w:rPr>
      </w:pPr>
      <w:r w:rsidRPr="003730B5">
        <w:rPr>
          <w:u w:val="single"/>
        </w:rPr>
        <w:t>Popis a zhodnocení současného stavu:</w:t>
      </w:r>
    </w:p>
    <w:p w14:paraId="6C94AEF8" w14:textId="77777777" w:rsidR="00146A6E" w:rsidRPr="003730B5" w:rsidRDefault="00146A6E" w:rsidP="00146A6E">
      <w:pPr>
        <w:widowControl w:val="0"/>
        <w:spacing w:after="120"/>
      </w:pPr>
      <w:r w:rsidRPr="003730B5">
        <w:t xml:space="preserve">Velká část výjimek se váže k tzv. </w:t>
      </w:r>
      <w:r w:rsidRPr="003730B5">
        <w:rPr>
          <w:i/>
        </w:rPr>
        <w:t>ostatním příjmům</w:t>
      </w:r>
      <w:r w:rsidRPr="003730B5">
        <w:t>, z nichž je inkaso daně z příjmů fyzických osob relativně malé. Množina zákonem explicitně normovaných výjimek by se měla omezit pouze na významné položky (velké jednorázové příjmy - např. prodej nemovitosti krátce po jejich nákupu apod.).</w:t>
      </w:r>
    </w:p>
    <w:p w14:paraId="1F093FEE" w14:textId="77777777" w:rsidR="00146A6E" w:rsidRPr="003730B5" w:rsidRDefault="00146A6E" w:rsidP="00146A6E">
      <w:pPr>
        <w:widowControl w:val="0"/>
        <w:spacing w:after="120"/>
        <w:rPr>
          <w:color w:val="FF0000"/>
          <w:u w:val="single"/>
        </w:rPr>
      </w:pPr>
      <w:r w:rsidRPr="003730B5">
        <w:rPr>
          <w:u w:val="single"/>
        </w:rPr>
        <w:t xml:space="preserve">Navržené řešení: </w:t>
      </w:r>
    </w:p>
    <w:p w14:paraId="40E64D3A" w14:textId="65CBC95D" w:rsidR="00146A6E" w:rsidRPr="003730B5" w:rsidRDefault="00146A6E" w:rsidP="00146A6E">
      <w:pPr>
        <w:widowControl w:val="0"/>
        <w:spacing w:after="120"/>
      </w:pPr>
      <w:r w:rsidRPr="003730B5">
        <w:t xml:space="preserve">Z důvodu zjednodušení právní úpravy daní z příjmů </w:t>
      </w:r>
      <w:r w:rsidR="00CA40A9" w:rsidRPr="003730B5">
        <w:t>a </w:t>
      </w:r>
      <w:r w:rsidRPr="003730B5">
        <w:t>snížení administrativní zátěže poplatníků se navrhuje zavést obecný limit pro osvobození ostatních příjmů (tj. příjmů jiných než ze zaměstnání a </w:t>
      </w:r>
      <w:r w:rsidR="00CA40A9" w:rsidRPr="003730B5">
        <w:t>z </w:t>
      </w:r>
      <w:r w:rsidRPr="003730B5">
        <w:t xml:space="preserve">podnikání) od daně z příjmů. Tento obecný limit se uplatní pouze pro ostatní příjmy, které nejsou osvobozeny na základě jiného ustanovení zákona </w:t>
      </w:r>
      <w:r w:rsidR="00CA40A9" w:rsidRPr="003730B5">
        <w:t>o </w:t>
      </w:r>
      <w:r w:rsidRPr="003730B5">
        <w:t>daních z příjmů. Limit bude fungovat na jednotlivé druhy příjm</w:t>
      </w:r>
      <w:r w:rsidR="00257EF4" w:rsidRPr="003730B5">
        <w:t>ů</w:t>
      </w:r>
      <w:r w:rsidRPr="003730B5">
        <w:t xml:space="preserve">, v rámci každého </w:t>
      </w:r>
      <w:r w:rsidR="00257EF4" w:rsidRPr="003730B5">
        <w:t xml:space="preserve">druhu </w:t>
      </w:r>
      <w:r w:rsidRPr="003730B5">
        <w:t xml:space="preserve">se uplatní osvobození tehdy, pokud úhrn příjmů tohoto druhu za kalendářní rok nepřesáhne 50 000 Kč. Jde-li </w:t>
      </w:r>
      <w:r w:rsidR="00CA40A9" w:rsidRPr="003730B5">
        <w:t>o </w:t>
      </w:r>
      <w:r w:rsidRPr="003730B5">
        <w:t>příjem podléhající srážkové dani, limit se bude aplikovat na každý jednotlivý příjem.</w:t>
      </w:r>
    </w:p>
    <w:p w14:paraId="5E2D73A6" w14:textId="77777777" w:rsidR="00146A6E" w:rsidRPr="003730B5" w:rsidRDefault="00146A6E" w:rsidP="00146A6E">
      <w:pPr>
        <w:widowControl w:val="0"/>
        <w:spacing w:after="120"/>
      </w:pPr>
      <w:r w:rsidRPr="003730B5">
        <w:t>Navržené řešení je z pohledu příjmů veřejných rozpočtů samo o sobě negativní, nicméně žádoucí z hlediska větší transparentnosti systému. Pokud budou zároveň zrušena níže uvedená osvobození, může být potenciálně i pozitivní dopad.</w:t>
      </w:r>
    </w:p>
    <w:p w14:paraId="10BA8F62" w14:textId="77777777" w:rsidR="00146A6E" w:rsidRPr="003730B5" w:rsidRDefault="00146A6E" w:rsidP="00146A6E">
      <w:pPr>
        <w:widowControl w:val="0"/>
        <w:spacing w:after="120"/>
      </w:pPr>
      <w:r w:rsidRPr="003730B5">
        <w:t>Na základě výše uvedeného není důvod zachovat následující osvobození:</w:t>
      </w:r>
    </w:p>
    <w:p w14:paraId="601B618A" w14:textId="1F7B8D33" w:rsidR="00146A6E" w:rsidRPr="003730B5" w:rsidRDefault="00146A6E" w:rsidP="00D16775">
      <w:pPr>
        <w:pStyle w:val="Odstavecseseznamem"/>
        <w:widowControl w:val="0"/>
        <w:numPr>
          <w:ilvl w:val="0"/>
          <w:numId w:val="32"/>
        </w:numPr>
        <w:spacing w:after="120"/>
      </w:pPr>
      <w:r w:rsidRPr="003730B5">
        <w:rPr>
          <w:b/>
        </w:rPr>
        <w:t xml:space="preserve">příjem v podobě ceny z veřejné soutěže </w:t>
      </w:r>
      <w:r w:rsidR="00CA40A9" w:rsidRPr="003730B5">
        <w:rPr>
          <w:b/>
        </w:rPr>
        <w:t>a </w:t>
      </w:r>
      <w:r w:rsidRPr="003730B5">
        <w:rPr>
          <w:b/>
        </w:rPr>
        <w:t>ocenění v oblasti kultury</w:t>
      </w:r>
      <w:r w:rsidRPr="003730B5">
        <w:t xml:space="preserve"> (</w:t>
      </w:r>
      <w:r w:rsidR="00CA40A9" w:rsidRPr="003730B5">
        <w:t>§ 4 </w:t>
      </w:r>
      <w:r w:rsidRPr="003730B5">
        <w:t xml:space="preserve">odst. </w:t>
      </w:r>
      <w:r w:rsidR="00CA40A9" w:rsidRPr="003730B5">
        <w:t>1 </w:t>
      </w:r>
      <w:r w:rsidRPr="003730B5">
        <w:t xml:space="preserve">písm. f) </w:t>
      </w:r>
      <w:r w:rsidR="00834C03" w:rsidRPr="003730B5">
        <w:t xml:space="preserve">zákona </w:t>
      </w:r>
      <w:r w:rsidR="00534ED9" w:rsidRPr="003730B5">
        <w:t>o </w:t>
      </w:r>
      <w:r w:rsidR="00834C03" w:rsidRPr="003730B5">
        <w:t xml:space="preserve">daních </w:t>
      </w:r>
      <w:r w:rsidR="00534ED9" w:rsidRPr="003730B5">
        <w:t>z </w:t>
      </w:r>
      <w:r w:rsidR="00834C03" w:rsidRPr="003730B5">
        <w:t>příjmů</w:t>
      </w:r>
      <w:r w:rsidRPr="003730B5">
        <w:t>),</w:t>
      </w:r>
    </w:p>
    <w:p w14:paraId="1579DB27" w14:textId="1BD1E6A9" w:rsidR="00146A6E" w:rsidRPr="003730B5" w:rsidRDefault="00146A6E" w:rsidP="00D16775">
      <w:pPr>
        <w:pStyle w:val="Odstavecseseznamem"/>
        <w:widowControl w:val="0"/>
        <w:numPr>
          <w:ilvl w:val="0"/>
          <w:numId w:val="32"/>
        </w:numPr>
        <w:spacing w:after="120"/>
      </w:pPr>
      <w:r w:rsidRPr="003730B5">
        <w:rPr>
          <w:b/>
        </w:rPr>
        <w:t>příjem ze státního příspěvku na stavební spoření</w:t>
      </w:r>
      <w:r w:rsidRPr="003730B5">
        <w:t xml:space="preserve"> (§ 4 odst. 1 písm. t) </w:t>
      </w:r>
      <w:r w:rsidR="00834C03" w:rsidRPr="003730B5">
        <w:t xml:space="preserve">zákona o daních </w:t>
      </w:r>
      <w:r w:rsidR="00534ED9" w:rsidRPr="003730B5">
        <w:t>z </w:t>
      </w:r>
      <w:r w:rsidR="00834C03" w:rsidRPr="003730B5">
        <w:t>příjmů</w:t>
      </w:r>
      <w:r w:rsidRPr="003730B5">
        <w:t xml:space="preserve">), </w:t>
      </w:r>
    </w:p>
    <w:p w14:paraId="7ED92FD8" w14:textId="49AFE28C" w:rsidR="00146A6E" w:rsidRPr="003730B5" w:rsidRDefault="00146A6E" w:rsidP="00D16775">
      <w:pPr>
        <w:pStyle w:val="Odstavecseseznamem"/>
        <w:widowControl w:val="0"/>
        <w:numPr>
          <w:ilvl w:val="0"/>
          <w:numId w:val="32"/>
        </w:numPr>
        <w:spacing w:after="120"/>
      </w:pPr>
      <w:r w:rsidRPr="003730B5">
        <w:rPr>
          <w:b/>
        </w:rPr>
        <w:t>kurzové zisky při směnách peněz</w:t>
      </w:r>
      <w:r w:rsidRPr="003730B5">
        <w:t xml:space="preserve"> (§ 4 odst. 1 písm. ze) </w:t>
      </w:r>
      <w:r w:rsidR="00834C03" w:rsidRPr="003730B5">
        <w:t xml:space="preserve">zákona </w:t>
      </w:r>
      <w:r w:rsidR="00534ED9" w:rsidRPr="003730B5">
        <w:t>o </w:t>
      </w:r>
      <w:r w:rsidR="00834C03" w:rsidRPr="003730B5">
        <w:t xml:space="preserve">daních </w:t>
      </w:r>
      <w:r w:rsidR="00534ED9" w:rsidRPr="003730B5">
        <w:t>z </w:t>
      </w:r>
      <w:r w:rsidR="00834C03" w:rsidRPr="003730B5">
        <w:t>příjmů</w:t>
      </w:r>
      <w:r w:rsidRPr="003730B5">
        <w:t>),</w:t>
      </w:r>
    </w:p>
    <w:p w14:paraId="6D0D7903" w14:textId="7C7E26EB" w:rsidR="00146A6E" w:rsidRPr="003730B5" w:rsidRDefault="00146A6E" w:rsidP="00D16775">
      <w:pPr>
        <w:pStyle w:val="Odstavecseseznamem"/>
        <w:widowControl w:val="0"/>
        <w:numPr>
          <w:ilvl w:val="0"/>
          <w:numId w:val="32"/>
        </w:numPr>
        <w:spacing w:after="120"/>
      </w:pPr>
      <w:r w:rsidRPr="003730B5">
        <w:rPr>
          <w:b/>
        </w:rPr>
        <w:t>plnění pro poskytování veřejných kulturních služeb</w:t>
      </w:r>
      <w:r w:rsidRPr="003730B5">
        <w:t xml:space="preserve"> (§ 4a písm. o) </w:t>
      </w:r>
      <w:r w:rsidR="00834C03" w:rsidRPr="003730B5">
        <w:t xml:space="preserve">zákona </w:t>
      </w:r>
      <w:r w:rsidR="00534ED9" w:rsidRPr="003730B5">
        <w:t>o </w:t>
      </w:r>
      <w:r w:rsidR="00834C03" w:rsidRPr="003730B5">
        <w:t xml:space="preserve">daních </w:t>
      </w:r>
      <w:r w:rsidR="00534ED9" w:rsidRPr="003730B5">
        <w:t>z </w:t>
      </w:r>
      <w:r w:rsidR="00834C03" w:rsidRPr="003730B5">
        <w:t>příjmů</w:t>
      </w:r>
      <w:r w:rsidRPr="003730B5">
        <w:t>),</w:t>
      </w:r>
    </w:p>
    <w:p w14:paraId="6A82D197" w14:textId="3DEF0A2B" w:rsidR="00146A6E" w:rsidRPr="003730B5" w:rsidRDefault="00146A6E" w:rsidP="00D16775">
      <w:pPr>
        <w:pStyle w:val="Odstavecseseznamem"/>
        <w:widowControl w:val="0"/>
        <w:numPr>
          <w:ilvl w:val="0"/>
          <w:numId w:val="32"/>
        </w:numPr>
        <w:spacing w:after="120"/>
      </w:pPr>
      <w:r w:rsidRPr="003730B5">
        <w:rPr>
          <w:b/>
        </w:rPr>
        <w:lastRenderedPageBreak/>
        <w:t>příjmy z chovu včel</w:t>
      </w:r>
      <w:r w:rsidRPr="003730B5">
        <w:t xml:space="preserve"> (§ 10, odst. 3 písm. a) </w:t>
      </w:r>
      <w:r w:rsidR="00834C03" w:rsidRPr="003730B5">
        <w:t xml:space="preserve">zákona </w:t>
      </w:r>
      <w:r w:rsidR="00534ED9" w:rsidRPr="003730B5">
        <w:t>o </w:t>
      </w:r>
      <w:r w:rsidR="00834C03" w:rsidRPr="003730B5">
        <w:t xml:space="preserve">daních </w:t>
      </w:r>
      <w:r w:rsidR="00534ED9" w:rsidRPr="003730B5">
        <w:t>z </w:t>
      </w:r>
      <w:r w:rsidR="00834C03" w:rsidRPr="003730B5">
        <w:t>příjmů</w:t>
      </w:r>
      <w:r w:rsidRPr="003730B5">
        <w:t>)</w:t>
      </w:r>
      <w:r w:rsidR="006852DE" w:rsidRPr="003730B5">
        <w:t xml:space="preserve">; </w:t>
      </w:r>
      <w:r w:rsidRPr="003730B5">
        <w:t xml:space="preserve">zde je možné uvažovat o pozitivním vlivu na veřejné rozpočty - někteří profesionální včelaři využívají výjimku, která stanovuje fiktivní výši příjmu z jednoho včelstva, aby se jednalo </w:t>
      </w:r>
      <w:r w:rsidR="00552598" w:rsidRPr="003730B5">
        <w:t>o </w:t>
      </w:r>
      <w:r w:rsidRPr="003730B5">
        <w:t>„příležitostnou činnost“ a v režimu osvobození obsluhují např. 200 včelstev (rozepsáno formálně na členy rodiny)</w:t>
      </w:r>
      <w:r w:rsidR="00B27F82" w:rsidRPr="003730B5">
        <w:t>,</w:t>
      </w:r>
      <w:r w:rsidRPr="003730B5">
        <w:t xml:space="preserve"> </w:t>
      </w:r>
      <w:r w:rsidR="00CA40A9" w:rsidRPr="003730B5">
        <w:t>a </w:t>
      </w:r>
      <w:r w:rsidRPr="003730B5">
        <w:t>tím nedaní příjmy z chovu včel</w:t>
      </w:r>
      <w:r w:rsidR="006852DE" w:rsidRPr="003730B5">
        <w:t xml:space="preserve">; </w:t>
      </w:r>
      <w:r w:rsidRPr="003730B5">
        <w:t>dané způsobuje distorzi zejm. ve vztahu ke standardně podnikajícím včelařům.</w:t>
      </w:r>
    </w:p>
    <w:p w14:paraId="37AF7C60" w14:textId="38515941" w:rsidR="00146A6E" w:rsidRPr="003730B5" w:rsidRDefault="00146A6E" w:rsidP="00146A6E">
      <w:pPr>
        <w:widowControl w:val="0"/>
        <w:spacing w:after="120"/>
      </w:pPr>
      <w:r w:rsidRPr="003730B5">
        <w:t xml:space="preserve">Současně dojde ke sjednocení limitu pro jiná osvobození ostatních příjmů </w:t>
      </w:r>
      <w:r w:rsidR="00CA40A9" w:rsidRPr="003730B5">
        <w:t>v § </w:t>
      </w:r>
      <w:r w:rsidRPr="003730B5">
        <w:t xml:space="preserve">10 </w:t>
      </w:r>
      <w:r w:rsidR="00834C03" w:rsidRPr="003730B5">
        <w:t xml:space="preserve">zákona o daních </w:t>
      </w:r>
      <w:r w:rsidR="00534ED9" w:rsidRPr="003730B5">
        <w:t>z </w:t>
      </w:r>
      <w:r w:rsidR="00834C03" w:rsidRPr="003730B5">
        <w:t>příjmů</w:t>
      </w:r>
      <w:r w:rsidRPr="003730B5">
        <w:t xml:space="preserve"> též na 50 000 Kč, </w:t>
      </w:r>
      <w:r w:rsidR="00CA40A9" w:rsidRPr="003730B5">
        <w:t>a </w:t>
      </w:r>
      <w:r w:rsidRPr="003730B5">
        <w:t>to pro:</w:t>
      </w:r>
    </w:p>
    <w:p w14:paraId="624345A4" w14:textId="1F7F1092" w:rsidR="00146A6E" w:rsidRPr="003730B5" w:rsidRDefault="00146A6E" w:rsidP="00D16775">
      <w:pPr>
        <w:pStyle w:val="Odstavecseseznamem"/>
        <w:widowControl w:val="0"/>
        <w:numPr>
          <w:ilvl w:val="0"/>
          <w:numId w:val="32"/>
        </w:numPr>
        <w:spacing w:after="120"/>
      </w:pPr>
      <w:r w:rsidRPr="003730B5">
        <w:rPr>
          <w:b/>
        </w:rPr>
        <w:t xml:space="preserve">příjmy z příležitostných činností </w:t>
      </w:r>
      <w:r w:rsidRPr="003730B5">
        <w:t xml:space="preserve">(§ 10 odst. 3 písm. a) </w:t>
      </w:r>
      <w:r w:rsidR="00834C03" w:rsidRPr="003730B5">
        <w:t xml:space="preserve">zákona </w:t>
      </w:r>
      <w:r w:rsidR="00534ED9" w:rsidRPr="003730B5">
        <w:t>o </w:t>
      </w:r>
      <w:r w:rsidR="00834C03" w:rsidRPr="003730B5">
        <w:t xml:space="preserve">daních </w:t>
      </w:r>
      <w:r w:rsidR="00534ED9" w:rsidRPr="003730B5">
        <w:t>z </w:t>
      </w:r>
      <w:r w:rsidR="00834C03" w:rsidRPr="003730B5">
        <w:t>příjmů</w:t>
      </w:r>
      <w:r w:rsidRPr="003730B5">
        <w:t xml:space="preserve">), </w:t>
      </w:r>
    </w:p>
    <w:p w14:paraId="49D38B74" w14:textId="7783799A" w:rsidR="00146A6E" w:rsidRPr="003730B5" w:rsidRDefault="00146A6E" w:rsidP="00D16775">
      <w:pPr>
        <w:pStyle w:val="Odstavecseseznamem"/>
        <w:widowControl w:val="0"/>
        <w:numPr>
          <w:ilvl w:val="0"/>
          <w:numId w:val="32"/>
        </w:numPr>
        <w:spacing w:after="120"/>
      </w:pPr>
      <w:r w:rsidRPr="003730B5">
        <w:rPr>
          <w:b/>
        </w:rPr>
        <w:t>dary</w:t>
      </w:r>
      <w:r w:rsidRPr="003730B5">
        <w:t xml:space="preserve"> </w:t>
      </w:r>
      <w:r w:rsidR="006852DE" w:rsidRPr="003730B5">
        <w:t>(</w:t>
      </w:r>
      <w:r w:rsidRPr="003730B5">
        <w:t>§ 10 odst. 3 písm. c) bod 5 </w:t>
      </w:r>
      <w:r w:rsidR="00834C03" w:rsidRPr="003730B5">
        <w:t xml:space="preserve">zákona </w:t>
      </w:r>
      <w:r w:rsidR="00534ED9" w:rsidRPr="003730B5">
        <w:t>o </w:t>
      </w:r>
      <w:r w:rsidR="00834C03" w:rsidRPr="003730B5">
        <w:t xml:space="preserve">daních </w:t>
      </w:r>
      <w:r w:rsidR="00534ED9" w:rsidRPr="003730B5">
        <w:t>z </w:t>
      </w:r>
      <w:r w:rsidR="00834C03" w:rsidRPr="003730B5">
        <w:t>příjmů</w:t>
      </w:r>
      <w:r w:rsidRPr="003730B5">
        <w:t xml:space="preserve">), </w:t>
      </w:r>
      <w:r w:rsidR="00CA40A9" w:rsidRPr="003730B5">
        <w:t>u </w:t>
      </w:r>
      <w:r w:rsidRPr="003730B5">
        <w:t xml:space="preserve">kterých se bude testovat úhrn darů od jednoho dárce za zdaňovací období. </w:t>
      </w:r>
    </w:p>
    <w:p w14:paraId="09D2D2F4" w14:textId="676824DB" w:rsidR="00B24CAD" w:rsidRPr="003730B5" w:rsidRDefault="00B24CAD" w:rsidP="00B24CAD">
      <w:pPr>
        <w:pStyle w:val="Nadpis2"/>
        <w:widowControl w:val="0"/>
        <w:numPr>
          <w:ilvl w:val="4"/>
          <w:numId w:val="28"/>
        </w:numPr>
        <w:shd w:val="clear" w:color="auto" w:fill="FFFFFF"/>
        <w:tabs>
          <w:tab w:val="left" w:pos="567"/>
        </w:tabs>
        <w:jc w:val="both"/>
        <w:rPr>
          <w:i/>
          <w:sz w:val="24"/>
        </w:rPr>
      </w:pPr>
      <w:r w:rsidRPr="003730B5">
        <w:rPr>
          <w:i/>
          <w:sz w:val="24"/>
        </w:rPr>
        <w:t>Posun prahu</w:t>
      </w:r>
      <w:r w:rsidR="00B16813" w:rsidRPr="003730B5">
        <w:rPr>
          <w:i/>
          <w:sz w:val="24"/>
        </w:rPr>
        <w:t xml:space="preserve"> pro další pásmo progrese</w:t>
      </w:r>
    </w:p>
    <w:p w14:paraId="7EC1F35D" w14:textId="77777777" w:rsidR="00AE7E17" w:rsidRPr="003730B5" w:rsidRDefault="00AE7E17" w:rsidP="00AE7E17">
      <w:pPr>
        <w:widowControl w:val="0"/>
        <w:spacing w:after="120"/>
        <w:rPr>
          <w:u w:val="single"/>
        </w:rPr>
      </w:pPr>
      <w:r w:rsidRPr="003730B5">
        <w:rPr>
          <w:u w:val="single"/>
        </w:rPr>
        <w:t>Popis a zhodnocení současného stavu:</w:t>
      </w:r>
    </w:p>
    <w:p w14:paraId="71A23171" w14:textId="4806041A" w:rsidR="00AE7E17" w:rsidRPr="003730B5" w:rsidRDefault="00AE7E17" w:rsidP="00AE7E17">
      <w:pPr>
        <w:widowControl w:val="0"/>
        <w:spacing w:after="120"/>
      </w:pPr>
      <w:r w:rsidRPr="003730B5">
        <w:t xml:space="preserve">Sazba daně z příjmů fyzických osob je v současné době ve výši 15 % a 23 % (tzv. </w:t>
      </w:r>
      <w:r w:rsidRPr="003730B5">
        <w:rPr>
          <w:i/>
        </w:rPr>
        <w:t xml:space="preserve">klouzavá progrese </w:t>
      </w:r>
      <w:r w:rsidRPr="003730B5">
        <w:t>od 48násobku průměrné mzdy). Progresivní sazb</w:t>
      </w:r>
      <w:r w:rsidR="00E75ADB" w:rsidRPr="003730B5">
        <w:t>a</w:t>
      </w:r>
      <w:r w:rsidRPr="003730B5">
        <w:t xml:space="preserve"> se vztahuje jak </w:t>
      </w:r>
      <w:r w:rsidR="00E75ADB" w:rsidRPr="003730B5">
        <w:t xml:space="preserve">na </w:t>
      </w:r>
      <w:r w:rsidRPr="003730B5">
        <w:t>příjm</w:t>
      </w:r>
      <w:r w:rsidR="00E75ADB" w:rsidRPr="003730B5">
        <w:t>y</w:t>
      </w:r>
      <w:r w:rsidRPr="003730B5">
        <w:t xml:space="preserve"> plynoucí ze zaměstnání, tak </w:t>
      </w:r>
      <w:r w:rsidR="00E75ADB" w:rsidRPr="003730B5">
        <w:t>na ty</w:t>
      </w:r>
      <w:r w:rsidRPr="003730B5">
        <w:t xml:space="preserve">, které </w:t>
      </w:r>
      <w:r w:rsidR="00E75ADB" w:rsidRPr="003730B5">
        <w:t>jsou získány</w:t>
      </w:r>
      <w:r w:rsidRPr="003730B5">
        <w:t xml:space="preserve"> z</w:t>
      </w:r>
      <w:r w:rsidR="00E75ADB" w:rsidRPr="003730B5">
        <w:t> </w:t>
      </w:r>
      <w:r w:rsidRPr="003730B5">
        <w:t>podnikání</w:t>
      </w:r>
      <w:r w:rsidR="00E75ADB" w:rsidRPr="003730B5">
        <w:t xml:space="preserve"> či </w:t>
      </w:r>
      <w:r w:rsidR="00CA40A9" w:rsidRPr="003730B5">
        <w:t>z </w:t>
      </w:r>
      <w:r w:rsidRPr="003730B5">
        <w:t xml:space="preserve">nájmu </w:t>
      </w:r>
      <w:r w:rsidR="00E75ADB" w:rsidRPr="003730B5">
        <w:t xml:space="preserve">nebo se jedná </w:t>
      </w:r>
      <w:r w:rsidR="00CA40A9" w:rsidRPr="003730B5">
        <w:t>o </w:t>
      </w:r>
      <w:r w:rsidRPr="003730B5">
        <w:t>jin</w:t>
      </w:r>
      <w:r w:rsidR="00E75ADB" w:rsidRPr="003730B5">
        <w:t>é</w:t>
      </w:r>
      <w:r w:rsidRPr="003730B5">
        <w:t xml:space="preserve"> příjm</w:t>
      </w:r>
      <w:r w:rsidR="00E75ADB" w:rsidRPr="003730B5">
        <w:t>y</w:t>
      </w:r>
      <w:r w:rsidRPr="003730B5">
        <w:t xml:space="preserve">. </w:t>
      </w:r>
    </w:p>
    <w:p w14:paraId="764FA339" w14:textId="77777777" w:rsidR="00AE7E17" w:rsidRPr="003730B5" w:rsidRDefault="00AE7E17" w:rsidP="00AE7E17">
      <w:pPr>
        <w:widowControl w:val="0"/>
        <w:spacing w:after="120"/>
        <w:rPr>
          <w:u w:val="single"/>
        </w:rPr>
      </w:pPr>
      <w:r w:rsidRPr="003730B5">
        <w:rPr>
          <w:u w:val="single"/>
        </w:rPr>
        <w:t>Navržené řešení:</w:t>
      </w:r>
    </w:p>
    <w:p w14:paraId="15EE95E3" w14:textId="339EEA81" w:rsidR="00AE7E17" w:rsidRPr="003730B5" w:rsidRDefault="00AE7E17" w:rsidP="00B24CAD">
      <w:pPr>
        <w:widowControl w:val="0"/>
        <w:spacing w:after="120"/>
      </w:pPr>
      <w:r w:rsidRPr="003730B5">
        <w:t>Pásmo příjmů, v rámci kterého se uplatní 23</w:t>
      </w:r>
      <w:r w:rsidR="00532881" w:rsidRPr="003730B5">
        <w:t xml:space="preserve"> </w:t>
      </w:r>
      <w:r w:rsidRPr="003730B5">
        <w:t xml:space="preserve">% sazba daně, bude namísto 48násobku průměrné mzdy začínat na 36násobku průměrné mzdy. Tím dojde k rozšíření množiny vysokopříjmových poplatníků, vůči nimž se uplatňuje zvýšená sazba daně. Jde o solidární krok, aby se i tito poplatníci více podíleli na konsolidaci veřejných financí. </w:t>
      </w:r>
    </w:p>
    <w:p w14:paraId="662FAB2F" w14:textId="77777777" w:rsidR="00FE7CAF" w:rsidRPr="003730B5" w:rsidRDefault="00AC226B" w:rsidP="00AC226B">
      <w:pPr>
        <w:pStyle w:val="Nadpis2"/>
        <w:widowControl w:val="0"/>
        <w:numPr>
          <w:ilvl w:val="3"/>
          <w:numId w:val="28"/>
        </w:numPr>
        <w:shd w:val="clear" w:color="auto" w:fill="FFFFFF"/>
        <w:tabs>
          <w:tab w:val="left" w:pos="567"/>
        </w:tabs>
        <w:jc w:val="both"/>
        <w:rPr>
          <w:i/>
          <w:sz w:val="24"/>
        </w:rPr>
      </w:pPr>
      <w:r w:rsidRPr="003730B5">
        <w:rPr>
          <w:i/>
          <w:sz w:val="24"/>
        </w:rPr>
        <w:t>Daň z příjmů právnických osob</w:t>
      </w:r>
    </w:p>
    <w:p w14:paraId="4633C55A" w14:textId="01217A1B" w:rsidR="00AC226B" w:rsidRPr="003730B5" w:rsidRDefault="00FE7CAF" w:rsidP="00FE7CAF">
      <w:pPr>
        <w:pStyle w:val="Nadpis2"/>
        <w:widowControl w:val="0"/>
        <w:numPr>
          <w:ilvl w:val="4"/>
          <w:numId w:val="28"/>
        </w:numPr>
        <w:shd w:val="clear" w:color="auto" w:fill="FFFFFF"/>
        <w:tabs>
          <w:tab w:val="left" w:pos="567"/>
        </w:tabs>
        <w:jc w:val="both"/>
        <w:rPr>
          <w:i/>
          <w:sz w:val="24"/>
        </w:rPr>
      </w:pPr>
      <w:r w:rsidRPr="003730B5">
        <w:rPr>
          <w:i/>
          <w:sz w:val="24"/>
        </w:rPr>
        <w:t>Z</w:t>
      </w:r>
      <w:r w:rsidR="00AC226B" w:rsidRPr="003730B5">
        <w:rPr>
          <w:i/>
          <w:sz w:val="24"/>
        </w:rPr>
        <w:t xml:space="preserve">měna sazeb </w:t>
      </w:r>
      <w:r w:rsidR="00E712DE" w:rsidRPr="003730B5">
        <w:rPr>
          <w:i/>
          <w:sz w:val="24"/>
        </w:rPr>
        <w:t>a </w:t>
      </w:r>
      <w:r w:rsidR="00AC226B" w:rsidRPr="003730B5">
        <w:rPr>
          <w:i/>
          <w:sz w:val="24"/>
        </w:rPr>
        <w:t>rozpočtového určení</w:t>
      </w:r>
    </w:p>
    <w:p w14:paraId="4B26EE94" w14:textId="696D1CB5" w:rsidR="00AC226B" w:rsidRPr="003730B5" w:rsidRDefault="00AC226B" w:rsidP="00AC226B">
      <w:pPr>
        <w:widowControl w:val="0"/>
        <w:spacing w:after="120"/>
        <w:rPr>
          <w:u w:val="single"/>
        </w:rPr>
      </w:pPr>
      <w:r w:rsidRPr="003730B5">
        <w:rPr>
          <w:u w:val="single"/>
        </w:rPr>
        <w:t>Popis a zhodnocení současného stavu:</w:t>
      </w:r>
    </w:p>
    <w:p w14:paraId="1E400DCE" w14:textId="31ADD209" w:rsidR="002279B6" w:rsidRPr="003730B5" w:rsidRDefault="002279B6" w:rsidP="00AC226B">
      <w:pPr>
        <w:widowControl w:val="0"/>
        <w:spacing w:after="120"/>
        <w:rPr>
          <w:szCs w:val="24"/>
        </w:rPr>
      </w:pPr>
      <w:r w:rsidRPr="003730B5">
        <w:rPr>
          <w:szCs w:val="24"/>
        </w:rPr>
        <w:t>Příjmy</w:t>
      </w:r>
      <w:r w:rsidR="008218E8" w:rsidRPr="003730B5">
        <w:rPr>
          <w:szCs w:val="24"/>
        </w:rPr>
        <w:t>, resp. zisky</w:t>
      </w:r>
      <w:r w:rsidRPr="003730B5">
        <w:rPr>
          <w:szCs w:val="24"/>
        </w:rPr>
        <w:t xml:space="preserve"> právnických osob jsou zdaňovány </w:t>
      </w:r>
      <w:r w:rsidR="008218E8" w:rsidRPr="003730B5">
        <w:rPr>
          <w:szCs w:val="24"/>
        </w:rPr>
        <w:t xml:space="preserve">lineární </w:t>
      </w:r>
      <w:r w:rsidRPr="003730B5">
        <w:rPr>
          <w:szCs w:val="24"/>
        </w:rPr>
        <w:t>sazbou ve výši 19 %. Dlouhodobě je stabilní a ve srovnání s</w:t>
      </w:r>
      <w:r w:rsidR="009655EE" w:rsidRPr="003730B5">
        <w:rPr>
          <w:szCs w:val="24"/>
        </w:rPr>
        <w:t> </w:t>
      </w:r>
      <w:r w:rsidRPr="003730B5">
        <w:rPr>
          <w:szCs w:val="24"/>
        </w:rPr>
        <w:t>E</w:t>
      </w:r>
      <w:r w:rsidR="009655EE" w:rsidRPr="003730B5">
        <w:rPr>
          <w:szCs w:val="24"/>
        </w:rPr>
        <w:t>vropskou unií</w:t>
      </w:r>
      <w:r w:rsidRPr="003730B5">
        <w:rPr>
          <w:szCs w:val="24"/>
        </w:rPr>
        <w:t xml:space="preserve"> patří k nižším sazbám. </w:t>
      </w:r>
    </w:p>
    <w:p w14:paraId="7A625E29" w14:textId="2B6008D8" w:rsidR="00AC226B" w:rsidRPr="003730B5" w:rsidRDefault="00AC226B" w:rsidP="00AC226B">
      <w:pPr>
        <w:widowControl w:val="0"/>
        <w:spacing w:after="120"/>
        <w:rPr>
          <w:u w:val="single"/>
        </w:rPr>
      </w:pPr>
      <w:r w:rsidRPr="003730B5">
        <w:rPr>
          <w:u w:val="single"/>
        </w:rPr>
        <w:t>Navržené řešení:</w:t>
      </w:r>
    </w:p>
    <w:p w14:paraId="2AC33C56" w14:textId="355E082F" w:rsidR="00AC226B" w:rsidRPr="003730B5" w:rsidRDefault="002279B6" w:rsidP="00AC226B">
      <w:pPr>
        <w:widowControl w:val="0"/>
        <w:spacing w:after="120"/>
      </w:pPr>
      <w:r w:rsidRPr="003730B5">
        <w:t>Z</w:t>
      </w:r>
      <w:r w:rsidR="00FE7CAF" w:rsidRPr="003730B5">
        <w:t xml:space="preserve">výšení </w:t>
      </w:r>
      <w:r w:rsidR="008218E8" w:rsidRPr="003730B5">
        <w:t xml:space="preserve">sazby </w:t>
      </w:r>
      <w:r w:rsidR="00FE7CAF" w:rsidRPr="003730B5">
        <w:t xml:space="preserve">daně </w:t>
      </w:r>
      <w:r w:rsidR="00E712DE" w:rsidRPr="003730B5">
        <w:t>z </w:t>
      </w:r>
      <w:r w:rsidR="00FE7CAF" w:rsidRPr="003730B5">
        <w:t xml:space="preserve">příjmů právnických osob </w:t>
      </w:r>
      <w:r w:rsidR="00E712DE" w:rsidRPr="003730B5">
        <w:t>z </w:t>
      </w:r>
      <w:r w:rsidR="00FE7CAF" w:rsidRPr="003730B5">
        <w:t xml:space="preserve">19 % na 21 %. </w:t>
      </w:r>
      <w:r w:rsidRPr="003730B5">
        <w:t>Tím se Česká republika</w:t>
      </w:r>
      <w:r w:rsidR="00FE7CAF" w:rsidRPr="003730B5">
        <w:t xml:space="preserve"> přiblíží k</w:t>
      </w:r>
      <w:r w:rsidRPr="003730B5">
        <w:t> </w:t>
      </w:r>
      <w:r w:rsidR="00562F2D" w:rsidRPr="003730B5">
        <w:t xml:space="preserve">evropskému průměru. Navýšení sazby daně </w:t>
      </w:r>
      <w:r w:rsidR="00521904" w:rsidRPr="003730B5">
        <w:t>o 2 </w:t>
      </w:r>
      <w:r w:rsidR="00562F2D" w:rsidRPr="003730B5">
        <w:t xml:space="preserve">procentní body bude doprovázeno úpravou rozpočtového určení daní </w:t>
      </w:r>
      <w:r w:rsidR="00521904" w:rsidRPr="003730B5">
        <w:t>u </w:t>
      </w:r>
      <w:r w:rsidR="00562F2D" w:rsidRPr="003730B5">
        <w:t xml:space="preserve">inkasa daní </w:t>
      </w:r>
      <w:r w:rsidR="00521904" w:rsidRPr="003730B5">
        <w:t>z </w:t>
      </w:r>
      <w:r w:rsidR="00562F2D" w:rsidRPr="003730B5">
        <w:t>příjmů, aby tento dodatečný dopad byl 100% příjmem státního rozpočtu.</w:t>
      </w:r>
    </w:p>
    <w:p w14:paraId="73892D8F" w14:textId="464ACAF7" w:rsidR="00FE7CAF" w:rsidRPr="003730B5" w:rsidRDefault="00FE7CAF" w:rsidP="00FE7CAF">
      <w:pPr>
        <w:pStyle w:val="Nadpis2"/>
        <w:widowControl w:val="0"/>
        <w:numPr>
          <w:ilvl w:val="4"/>
          <w:numId w:val="28"/>
        </w:numPr>
        <w:shd w:val="clear" w:color="auto" w:fill="FFFFFF"/>
        <w:tabs>
          <w:tab w:val="left" w:pos="567"/>
        </w:tabs>
        <w:jc w:val="both"/>
        <w:rPr>
          <w:i/>
          <w:sz w:val="24"/>
        </w:rPr>
      </w:pPr>
      <w:r w:rsidRPr="003730B5">
        <w:rPr>
          <w:i/>
          <w:sz w:val="24"/>
        </w:rPr>
        <w:t xml:space="preserve">Omezení </w:t>
      </w:r>
      <w:r w:rsidR="00562F2D" w:rsidRPr="003730B5">
        <w:rPr>
          <w:i/>
          <w:sz w:val="24"/>
        </w:rPr>
        <w:t xml:space="preserve">uznatelnosti daňových výdajů </w:t>
      </w:r>
      <w:r w:rsidR="00521904" w:rsidRPr="003730B5">
        <w:rPr>
          <w:i/>
          <w:sz w:val="24"/>
        </w:rPr>
        <w:t>u </w:t>
      </w:r>
      <w:r w:rsidR="00562F2D" w:rsidRPr="003730B5">
        <w:rPr>
          <w:i/>
          <w:sz w:val="24"/>
        </w:rPr>
        <w:t>hodnotnějších vozidel</w:t>
      </w:r>
    </w:p>
    <w:p w14:paraId="70A5CCD8" w14:textId="77777777" w:rsidR="00FE7CAF" w:rsidRPr="003730B5" w:rsidRDefault="00FE7CAF" w:rsidP="00FE7CAF">
      <w:pPr>
        <w:widowControl w:val="0"/>
        <w:spacing w:after="120"/>
        <w:rPr>
          <w:u w:val="single"/>
        </w:rPr>
      </w:pPr>
      <w:r w:rsidRPr="003730B5">
        <w:rPr>
          <w:u w:val="single"/>
        </w:rPr>
        <w:t>Popis a zhodnocení současného stavu:</w:t>
      </w:r>
    </w:p>
    <w:p w14:paraId="72B34FBE" w14:textId="745F8366" w:rsidR="002279B6" w:rsidRPr="003730B5" w:rsidRDefault="002279B6" w:rsidP="002279B6">
      <w:pPr>
        <w:widowControl w:val="0"/>
        <w:spacing w:after="120"/>
      </w:pPr>
      <w:r w:rsidRPr="003730B5">
        <w:t xml:space="preserve">Nákup osobních automobilů je </w:t>
      </w:r>
      <w:r w:rsidR="00E712DE" w:rsidRPr="003730B5">
        <w:t>v </w:t>
      </w:r>
      <w:r w:rsidRPr="003730B5">
        <w:t>současné zvýhodněn, pokud jsou auta nakupována tzv. „</w:t>
      </w:r>
      <w:r w:rsidR="00D03256" w:rsidRPr="003730B5">
        <w:rPr>
          <w:i/>
        </w:rPr>
        <w:t>na </w:t>
      </w:r>
      <w:r w:rsidRPr="003730B5">
        <w:rPr>
          <w:i/>
        </w:rPr>
        <w:t>firmy</w:t>
      </w:r>
      <w:r w:rsidRPr="003730B5">
        <w:t xml:space="preserve">“. Jedná se </w:t>
      </w:r>
      <w:r w:rsidR="00E712DE" w:rsidRPr="003730B5">
        <w:t>o </w:t>
      </w:r>
      <w:r w:rsidRPr="003730B5">
        <w:t xml:space="preserve">daňově uznatelný náklad </w:t>
      </w:r>
      <w:r w:rsidR="00E712DE" w:rsidRPr="003730B5">
        <w:t>a </w:t>
      </w:r>
      <w:r w:rsidRPr="003730B5">
        <w:t xml:space="preserve">osobní automobily je tak možné odepisovat jako náklad bez věcného omezení jejich účelnosti </w:t>
      </w:r>
      <w:r w:rsidR="00E712DE" w:rsidRPr="003730B5">
        <w:t>a </w:t>
      </w:r>
      <w:r w:rsidRPr="003730B5">
        <w:t xml:space="preserve">limitu pořizovací ceny. Například </w:t>
      </w:r>
      <w:r w:rsidR="00E712DE" w:rsidRPr="003730B5">
        <w:t>v </w:t>
      </w:r>
      <w:r w:rsidRPr="003730B5">
        <w:t xml:space="preserve">roce 2020 bylo ze 101 nově </w:t>
      </w:r>
      <w:r w:rsidR="00E712DE" w:rsidRPr="003730B5">
        <w:t>v </w:t>
      </w:r>
      <w:r w:rsidR="00A42930" w:rsidRPr="003730B5">
        <w:t>České republi</w:t>
      </w:r>
      <w:r w:rsidR="00870304" w:rsidRPr="003730B5">
        <w:t>ce</w:t>
      </w:r>
      <w:r w:rsidRPr="003730B5">
        <w:t xml:space="preserve"> registrovaných Ferrari 96 registrováno na firmu. </w:t>
      </w:r>
      <w:r w:rsidR="00D03256" w:rsidRPr="003730B5">
        <w:t>Do </w:t>
      </w:r>
      <w:r w:rsidR="006A2E5A" w:rsidRPr="003730B5">
        <w:t>roku 2007</w:t>
      </w:r>
      <w:r w:rsidRPr="003730B5">
        <w:t xml:space="preserve"> </w:t>
      </w:r>
      <w:r w:rsidR="006A2E5A" w:rsidRPr="003730B5">
        <w:t xml:space="preserve">platil </w:t>
      </w:r>
      <w:r w:rsidRPr="003730B5">
        <w:t>limit ve výši 1,</w:t>
      </w:r>
      <w:r w:rsidR="00E712DE" w:rsidRPr="003730B5">
        <w:t>5 </w:t>
      </w:r>
      <w:r w:rsidRPr="003730B5">
        <w:t>mil. Kč pro odepisování osobního automobilu ze základu daně.</w:t>
      </w:r>
    </w:p>
    <w:p w14:paraId="42090522" w14:textId="77777777" w:rsidR="00FE7CAF" w:rsidRPr="003730B5" w:rsidRDefault="00FE7CAF" w:rsidP="00FE7CAF">
      <w:pPr>
        <w:keepNext/>
        <w:widowControl w:val="0"/>
        <w:spacing w:after="120"/>
        <w:rPr>
          <w:u w:val="single"/>
        </w:rPr>
      </w:pPr>
      <w:r w:rsidRPr="003730B5">
        <w:rPr>
          <w:u w:val="single"/>
        </w:rPr>
        <w:lastRenderedPageBreak/>
        <w:t>Navržené řešení:</w:t>
      </w:r>
    </w:p>
    <w:p w14:paraId="12F1C517" w14:textId="5511E11C" w:rsidR="00FE7CAF" w:rsidRPr="003730B5" w:rsidRDefault="002279B6" w:rsidP="00AC226B">
      <w:pPr>
        <w:widowControl w:val="0"/>
        <w:spacing w:after="120"/>
      </w:pPr>
      <w:r w:rsidRPr="003730B5">
        <w:t>O</w:t>
      </w:r>
      <w:r w:rsidR="00FE7CAF" w:rsidRPr="003730B5">
        <w:t>mez</w:t>
      </w:r>
      <w:r w:rsidRPr="003730B5">
        <w:t>ení</w:t>
      </w:r>
      <w:r w:rsidR="00FE7CAF" w:rsidRPr="003730B5">
        <w:t xml:space="preserve"> daňov</w:t>
      </w:r>
      <w:r w:rsidRPr="003730B5">
        <w:t>é</w:t>
      </w:r>
      <w:r w:rsidR="00FE7CAF" w:rsidRPr="003730B5">
        <w:t xml:space="preserve"> uznatelnost</w:t>
      </w:r>
      <w:r w:rsidRPr="003730B5">
        <w:t>i</w:t>
      </w:r>
      <w:r w:rsidR="00FE7CAF" w:rsidRPr="003730B5">
        <w:t xml:space="preserve"> při nákupu </w:t>
      </w:r>
      <w:r w:rsidR="006A2E5A" w:rsidRPr="003730B5">
        <w:t xml:space="preserve">konvenčních </w:t>
      </w:r>
      <w:r w:rsidR="00FE7CAF" w:rsidRPr="003730B5">
        <w:t xml:space="preserve">osobních automobilů pro podnikatelské účely na první </w:t>
      </w:r>
      <w:r w:rsidR="00E712DE" w:rsidRPr="003730B5">
        <w:t>2 </w:t>
      </w:r>
      <w:r w:rsidR="00FE7CAF" w:rsidRPr="003730B5">
        <w:t xml:space="preserve">miliony Kč </w:t>
      </w:r>
      <w:r w:rsidR="00E712DE" w:rsidRPr="003730B5">
        <w:t>z </w:t>
      </w:r>
      <w:r w:rsidR="00FE7CAF" w:rsidRPr="003730B5">
        <w:t xml:space="preserve">ceny vozu. Hlavním důvodem </w:t>
      </w:r>
      <w:r w:rsidR="006A2E5A" w:rsidRPr="003730B5">
        <w:t>je zamezit situacím</w:t>
      </w:r>
      <w:r w:rsidR="00FE7CAF" w:rsidRPr="003730B5">
        <w:t xml:space="preserve">, kdy si podnikatelé pořizují luxusní vozy </w:t>
      </w:r>
      <w:r w:rsidR="00E712DE" w:rsidRPr="003730B5">
        <w:t>k </w:t>
      </w:r>
      <w:r w:rsidR="00FE7CAF" w:rsidRPr="003730B5">
        <w:t>soukromému užívání, čímž se vytrácí původní záměr daňového zvýhodnění nákupu automobilů</w:t>
      </w:r>
      <w:r w:rsidR="006A2E5A" w:rsidRPr="003730B5">
        <w:t xml:space="preserve"> </w:t>
      </w:r>
      <w:r w:rsidR="00E712DE" w:rsidRPr="003730B5">
        <w:t>a </w:t>
      </w:r>
      <w:r w:rsidR="006A2E5A" w:rsidRPr="003730B5">
        <w:t xml:space="preserve">dochází k narušení zásady </w:t>
      </w:r>
      <w:r w:rsidR="006A2E5A" w:rsidRPr="003730B5">
        <w:rPr>
          <w:i/>
        </w:rPr>
        <w:t>daňové neutrality</w:t>
      </w:r>
      <w:r w:rsidR="006A2E5A" w:rsidRPr="003730B5">
        <w:t>.</w:t>
      </w:r>
    </w:p>
    <w:p w14:paraId="1C0976BC" w14:textId="0DB8B1C9" w:rsidR="0070768D" w:rsidRPr="003730B5" w:rsidRDefault="0070768D" w:rsidP="0070768D">
      <w:pPr>
        <w:pStyle w:val="Nadpis2"/>
        <w:widowControl w:val="0"/>
        <w:numPr>
          <w:ilvl w:val="4"/>
          <w:numId w:val="28"/>
        </w:numPr>
        <w:shd w:val="clear" w:color="auto" w:fill="FFFFFF"/>
        <w:tabs>
          <w:tab w:val="left" w:pos="567"/>
        </w:tabs>
        <w:jc w:val="both"/>
        <w:rPr>
          <w:i/>
          <w:sz w:val="24"/>
        </w:rPr>
      </w:pPr>
      <w:r w:rsidRPr="003730B5">
        <w:rPr>
          <w:i/>
          <w:sz w:val="24"/>
        </w:rPr>
        <w:t>Podpora elektromobility</w:t>
      </w:r>
    </w:p>
    <w:p w14:paraId="321CDA06" w14:textId="77777777" w:rsidR="0070768D" w:rsidRPr="003730B5" w:rsidRDefault="0070768D" w:rsidP="0070768D">
      <w:pPr>
        <w:widowControl w:val="0"/>
        <w:spacing w:after="120"/>
        <w:rPr>
          <w:u w:val="single"/>
        </w:rPr>
      </w:pPr>
      <w:r w:rsidRPr="003730B5">
        <w:rPr>
          <w:u w:val="single"/>
        </w:rPr>
        <w:t>Popis a zhodnocení současného stavu:</w:t>
      </w:r>
    </w:p>
    <w:p w14:paraId="17E4D5D9" w14:textId="3F89D17E" w:rsidR="0070768D" w:rsidRPr="003730B5" w:rsidRDefault="0070768D" w:rsidP="0070768D">
      <w:pPr>
        <w:widowControl w:val="0"/>
        <w:spacing w:after="120"/>
      </w:pPr>
      <w:r w:rsidRPr="003730B5">
        <w:t xml:space="preserve">V současné době se tzv. mimořádné daňové odpisy uplatňují pro hmotný majetek zařazený v odpisové skupině </w:t>
      </w:r>
      <w:r w:rsidR="00CA40A9" w:rsidRPr="003730B5">
        <w:t>1 a 2 a </w:t>
      </w:r>
      <w:r w:rsidRPr="003730B5">
        <w:t xml:space="preserve">pořízený v letech 2020 až 2023. Automobily, které jsou zařazovány do 2. odpisové skupiny, lze oproti standardnímu režimu odepsat za 24 měsíců, </w:t>
      </w:r>
      <w:r w:rsidR="00CA40A9" w:rsidRPr="003730B5">
        <w:t>a </w:t>
      </w:r>
      <w:r w:rsidRPr="003730B5">
        <w:t xml:space="preserve">to rovnoměrně bez přerušení v prvních 12 měsících do 60 % vstupní ceny </w:t>
      </w:r>
      <w:r w:rsidR="00CA40A9" w:rsidRPr="003730B5">
        <w:t>a </w:t>
      </w:r>
      <w:r w:rsidRPr="003730B5">
        <w:t>následujících 12 měsíců do 40</w:t>
      </w:r>
      <w:r w:rsidR="00B27F82" w:rsidRPr="003730B5">
        <w:t xml:space="preserve"> </w:t>
      </w:r>
      <w:r w:rsidRPr="003730B5">
        <w:t xml:space="preserve">% vstupní ceny. </w:t>
      </w:r>
    </w:p>
    <w:p w14:paraId="40ECAC1D" w14:textId="77777777" w:rsidR="0070768D" w:rsidRPr="003730B5" w:rsidRDefault="0070768D" w:rsidP="0070768D">
      <w:pPr>
        <w:widowControl w:val="0"/>
        <w:spacing w:after="120"/>
        <w:rPr>
          <w:u w:val="single"/>
        </w:rPr>
      </w:pPr>
      <w:r w:rsidRPr="003730B5">
        <w:rPr>
          <w:u w:val="single"/>
        </w:rPr>
        <w:t>Navržené řešení:</w:t>
      </w:r>
    </w:p>
    <w:p w14:paraId="5293BCE9" w14:textId="38616CE5" w:rsidR="0070768D" w:rsidRPr="003730B5" w:rsidRDefault="0070768D" w:rsidP="0070768D">
      <w:pPr>
        <w:widowControl w:val="0"/>
        <w:spacing w:after="120"/>
      </w:pPr>
      <w:r w:rsidRPr="003730B5">
        <w:t xml:space="preserve">V rámci podpory elektromobility </w:t>
      </w:r>
      <w:r w:rsidR="00CA40A9" w:rsidRPr="003730B5">
        <w:t>a </w:t>
      </w:r>
      <w:r w:rsidRPr="003730B5">
        <w:t xml:space="preserve">podpoření zájmu poplatníků se navrhuje prodloužení </w:t>
      </w:r>
      <w:r w:rsidR="00CA40A9" w:rsidRPr="003730B5">
        <w:t>i </w:t>
      </w:r>
      <w:r w:rsidRPr="003730B5">
        <w:t xml:space="preserve">možnosti uplatňovat mimořádné daňové odpisy, </w:t>
      </w:r>
      <w:r w:rsidR="00CA40A9" w:rsidRPr="003730B5">
        <w:t>a </w:t>
      </w:r>
      <w:r w:rsidRPr="003730B5">
        <w:t xml:space="preserve">to pouze pro elektrická vozidla, </w:t>
      </w:r>
      <w:r w:rsidR="00CA40A9" w:rsidRPr="003730B5">
        <w:t>a </w:t>
      </w:r>
      <w:r w:rsidRPr="003730B5">
        <w:t xml:space="preserve">to na dobu </w:t>
      </w:r>
      <w:r w:rsidR="00CA40A9" w:rsidRPr="003730B5">
        <w:t>5 </w:t>
      </w:r>
      <w:r w:rsidRPr="003730B5">
        <w:t>let (tj. pořízených v letech 2024 až 2028).</w:t>
      </w:r>
    </w:p>
    <w:p w14:paraId="29F5E1E4" w14:textId="25C894E3" w:rsidR="0070768D" w:rsidRPr="003730B5" w:rsidRDefault="0070768D" w:rsidP="00AC226B">
      <w:pPr>
        <w:widowControl w:val="0"/>
        <w:spacing w:after="120"/>
      </w:pPr>
      <w:r w:rsidRPr="003730B5">
        <w:t xml:space="preserve">Záměrem je v současné ekonomicky obtížné době dočasně podpořit zájem poplatníků </w:t>
      </w:r>
      <w:r w:rsidR="00CA40A9" w:rsidRPr="003730B5">
        <w:t>o </w:t>
      </w:r>
      <w:r w:rsidRPr="003730B5">
        <w:t xml:space="preserve">pořízení ekologicky vhodnějšího vozidla, </w:t>
      </w:r>
      <w:r w:rsidR="00CA40A9" w:rsidRPr="003730B5">
        <w:t>a </w:t>
      </w:r>
      <w:r w:rsidRPr="003730B5">
        <w:t xml:space="preserve">to tím, že bude umožněno rychlejší uplatnění jeho pořizovací ceny v daňově uznatelných nákladech </w:t>
      </w:r>
      <w:r w:rsidR="00CA40A9" w:rsidRPr="003730B5">
        <w:t>a v </w:t>
      </w:r>
      <w:r w:rsidRPr="003730B5">
        <w:t xml:space="preserve">důsledku toho </w:t>
      </w:r>
      <w:r w:rsidR="00CA40A9" w:rsidRPr="003730B5">
        <w:t>i </w:t>
      </w:r>
      <w:r w:rsidRPr="003730B5">
        <w:t>dočasné snížení základu daně.</w:t>
      </w:r>
    </w:p>
    <w:p w14:paraId="57BE4E09" w14:textId="36E9E647" w:rsidR="00C13373" w:rsidRPr="003730B5" w:rsidRDefault="00930589" w:rsidP="00805C42">
      <w:pPr>
        <w:pStyle w:val="Nadpis2"/>
        <w:widowControl w:val="0"/>
        <w:numPr>
          <w:ilvl w:val="3"/>
          <w:numId w:val="28"/>
        </w:numPr>
        <w:shd w:val="clear" w:color="auto" w:fill="FFFFFF"/>
        <w:tabs>
          <w:tab w:val="left" w:pos="567"/>
        </w:tabs>
        <w:jc w:val="both"/>
        <w:rPr>
          <w:i/>
          <w:sz w:val="24"/>
        </w:rPr>
      </w:pPr>
      <w:r w:rsidRPr="003730B5">
        <w:rPr>
          <w:i/>
          <w:sz w:val="24"/>
        </w:rPr>
        <w:t>Daň z přidané hodnoty</w:t>
      </w:r>
      <w:r w:rsidR="00C13373" w:rsidRPr="003730B5">
        <w:rPr>
          <w:i/>
          <w:sz w:val="24"/>
        </w:rPr>
        <w:t xml:space="preserve"> </w:t>
      </w:r>
      <w:r w:rsidR="00AC226B" w:rsidRPr="003730B5">
        <w:rPr>
          <w:i/>
          <w:sz w:val="24"/>
        </w:rPr>
        <w:t>–</w:t>
      </w:r>
      <w:r w:rsidR="00F25A0C" w:rsidRPr="003730B5">
        <w:rPr>
          <w:i/>
          <w:sz w:val="24"/>
        </w:rPr>
        <w:t xml:space="preserve"> </w:t>
      </w:r>
      <w:r w:rsidR="00AC226B" w:rsidRPr="003730B5">
        <w:rPr>
          <w:i/>
          <w:sz w:val="24"/>
        </w:rPr>
        <w:t>změna sazeb</w:t>
      </w:r>
      <w:r w:rsidR="00F25A0C" w:rsidRPr="003730B5">
        <w:rPr>
          <w:i/>
          <w:sz w:val="24"/>
        </w:rPr>
        <w:t xml:space="preserve"> </w:t>
      </w:r>
      <w:r w:rsidR="00E712DE" w:rsidRPr="003730B5">
        <w:rPr>
          <w:i/>
          <w:sz w:val="24"/>
        </w:rPr>
        <w:t>a </w:t>
      </w:r>
      <w:r w:rsidR="00F25A0C" w:rsidRPr="003730B5">
        <w:rPr>
          <w:i/>
          <w:sz w:val="24"/>
        </w:rPr>
        <w:t>redukce jejich počtu</w:t>
      </w:r>
    </w:p>
    <w:p w14:paraId="3AC49EEA" w14:textId="37F349E3" w:rsidR="00C13373" w:rsidRPr="003730B5" w:rsidRDefault="00C13373" w:rsidP="00C13373">
      <w:pPr>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p w14:paraId="1A4BDA3A" w14:textId="35D68710" w:rsidR="006A2E5A" w:rsidRPr="003730B5" w:rsidRDefault="006A2E5A" w:rsidP="006A2E5A">
      <w:pPr>
        <w:widowControl w:val="0"/>
        <w:spacing w:after="120"/>
      </w:pPr>
      <w:r w:rsidRPr="003730B5">
        <w:t xml:space="preserve">Zákon </w:t>
      </w:r>
      <w:r w:rsidR="00E712DE" w:rsidRPr="003730B5">
        <w:t>o </w:t>
      </w:r>
      <w:r w:rsidRPr="003730B5">
        <w:t xml:space="preserve">dani z přidané hodnoty obsahuje celkem </w:t>
      </w:r>
      <w:r w:rsidR="00E712DE" w:rsidRPr="003730B5">
        <w:t>3 </w:t>
      </w:r>
      <w:r w:rsidRPr="003730B5">
        <w:t>sazby daně: základní 21 %, první snížen</w:t>
      </w:r>
      <w:r w:rsidR="00646109" w:rsidRPr="003730B5">
        <w:t>ou</w:t>
      </w:r>
      <w:r w:rsidRPr="003730B5">
        <w:t xml:space="preserve"> 15 % </w:t>
      </w:r>
      <w:r w:rsidR="00E712DE" w:rsidRPr="003730B5">
        <w:t>a </w:t>
      </w:r>
      <w:r w:rsidRPr="003730B5">
        <w:t>druh</w:t>
      </w:r>
      <w:r w:rsidR="00646109" w:rsidRPr="003730B5">
        <w:t>ou</w:t>
      </w:r>
      <w:r w:rsidRPr="003730B5">
        <w:t xml:space="preserve"> snížen</w:t>
      </w:r>
      <w:r w:rsidR="00646109" w:rsidRPr="003730B5">
        <w:t>ou</w:t>
      </w:r>
      <w:r w:rsidRPr="003730B5">
        <w:t xml:space="preserve"> 10 %. </w:t>
      </w:r>
    </w:p>
    <w:p w14:paraId="454C3E0B" w14:textId="77777777" w:rsidR="00C13373" w:rsidRPr="003730B5" w:rsidRDefault="00C13373" w:rsidP="00C13373">
      <w:pPr>
        <w:widowControl w:val="0"/>
        <w:spacing w:after="120"/>
        <w:rPr>
          <w:u w:val="single"/>
        </w:rPr>
      </w:pPr>
      <w:r w:rsidRPr="003730B5">
        <w:rPr>
          <w:u w:val="single"/>
        </w:rPr>
        <w:t>Navržené řešení:</w:t>
      </w:r>
    </w:p>
    <w:p w14:paraId="06B10217" w14:textId="7348E6C6" w:rsidR="00800776" w:rsidRPr="003730B5" w:rsidRDefault="00800776" w:rsidP="00800776">
      <w:pPr>
        <w:widowControl w:val="0"/>
        <w:spacing w:after="120"/>
      </w:pPr>
      <w:r w:rsidRPr="003730B5">
        <w:t xml:space="preserve">Redukce počtu sazeb daně </w:t>
      </w:r>
      <w:r w:rsidR="00534ED9" w:rsidRPr="003730B5">
        <w:t>z </w:t>
      </w:r>
      <w:r w:rsidRPr="003730B5">
        <w:t xml:space="preserve">přidané hodnoty (dále též „DPH“) na základní 21 % </w:t>
      </w:r>
      <w:r w:rsidR="00534ED9" w:rsidRPr="003730B5">
        <w:t>a </w:t>
      </w:r>
      <w:r w:rsidRPr="003730B5">
        <w:t xml:space="preserve">sníženou 12 %. Přesunutí vybraného zboží </w:t>
      </w:r>
      <w:r w:rsidR="00534ED9" w:rsidRPr="003730B5">
        <w:t>a </w:t>
      </w:r>
      <w:r w:rsidRPr="003730B5">
        <w:t xml:space="preserve">služeb ze snížené do základní sazby daně </w:t>
      </w:r>
      <w:r w:rsidR="00534ED9" w:rsidRPr="003730B5">
        <w:t>z </w:t>
      </w:r>
      <w:r w:rsidRPr="003730B5">
        <w:t xml:space="preserve">přidané hodnoty. Knihy budou nově osvobozeny od daně. </w:t>
      </w:r>
    </w:p>
    <w:p w14:paraId="4FA9EC1E" w14:textId="2157B70B" w:rsidR="00800776" w:rsidRPr="003730B5" w:rsidRDefault="00800776" w:rsidP="00800776">
      <w:pPr>
        <w:widowControl w:val="0"/>
        <w:spacing w:after="120"/>
      </w:pPr>
      <w:r w:rsidRPr="003730B5">
        <w:t xml:space="preserve">Hlavním cílem tohoto opatření je zjednodušení systému DPH sjednocením dvou snížených sazeb (15 % </w:t>
      </w:r>
      <w:r w:rsidR="00534ED9" w:rsidRPr="003730B5">
        <w:t>a </w:t>
      </w:r>
      <w:r w:rsidRPr="003730B5">
        <w:t xml:space="preserve">10 %) do jedné společné ve výši 12 %. Opatření povede </w:t>
      </w:r>
      <w:r w:rsidR="00534ED9" w:rsidRPr="003730B5">
        <w:t>k </w:t>
      </w:r>
      <w:r w:rsidRPr="003730B5">
        <w:t xml:space="preserve">vyšší efektivnosti a transparentnosti systému DPH, omezení příležitostí </w:t>
      </w:r>
      <w:r w:rsidR="00534ED9" w:rsidRPr="003730B5">
        <w:t>k </w:t>
      </w:r>
      <w:r w:rsidRPr="003730B5">
        <w:t xml:space="preserve">daňové optimalizaci </w:t>
      </w:r>
      <w:r w:rsidR="00534ED9" w:rsidRPr="003730B5">
        <w:t>a v </w:t>
      </w:r>
      <w:r w:rsidRPr="003730B5">
        <w:t xml:space="preserve">neposlední řadě </w:t>
      </w:r>
      <w:r w:rsidR="00534ED9" w:rsidRPr="003730B5">
        <w:t>k </w:t>
      </w:r>
      <w:r w:rsidRPr="003730B5">
        <w:t xml:space="preserve">odstranění absurdit jako </w:t>
      </w:r>
      <w:r w:rsidR="00534ED9" w:rsidRPr="003730B5">
        <w:t>v </w:t>
      </w:r>
      <w:r w:rsidRPr="003730B5">
        <w:t xml:space="preserve">případě aplikace tří různých sazeb DPH </w:t>
      </w:r>
      <w:r w:rsidR="00534ED9" w:rsidRPr="003730B5">
        <w:t>u </w:t>
      </w:r>
      <w:r w:rsidRPr="003730B5">
        <w:t xml:space="preserve">točeného piva. </w:t>
      </w:r>
    </w:p>
    <w:p w14:paraId="44D42AD7" w14:textId="46022335" w:rsidR="00800776" w:rsidRPr="003730B5" w:rsidRDefault="00800776" w:rsidP="00800776">
      <w:pPr>
        <w:widowControl w:val="0"/>
        <w:spacing w:after="120"/>
      </w:pPr>
      <w:r w:rsidRPr="003730B5">
        <w:t>Sjednocením snížených sazeb DPH ve výši 12 % se současně snižuje DPH (</w:t>
      </w:r>
      <w:r w:rsidR="00534ED9" w:rsidRPr="003730B5">
        <w:t>a </w:t>
      </w:r>
      <w:r w:rsidRPr="003730B5">
        <w:t xml:space="preserve">tím </w:t>
      </w:r>
      <w:r w:rsidR="00534ED9" w:rsidRPr="003730B5">
        <w:t>i </w:t>
      </w:r>
      <w:r w:rsidRPr="003730B5">
        <w:t xml:space="preserve">inkaso veřejných rozpočtů) </w:t>
      </w:r>
      <w:r w:rsidR="00534ED9" w:rsidRPr="003730B5">
        <w:t>u </w:t>
      </w:r>
      <w:r w:rsidRPr="003730B5">
        <w:t xml:space="preserve">řady aktuálně citlivého zboží </w:t>
      </w:r>
      <w:r w:rsidR="00534ED9" w:rsidRPr="003730B5">
        <w:t>a </w:t>
      </w:r>
      <w:r w:rsidRPr="003730B5">
        <w:t xml:space="preserve">služeb jako např. </w:t>
      </w:r>
      <w:r w:rsidR="00534ED9" w:rsidRPr="003730B5">
        <w:t>u </w:t>
      </w:r>
      <w:r w:rsidRPr="003730B5">
        <w:t xml:space="preserve">potravin </w:t>
      </w:r>
      <w:r w:rsidR="00534ED9" w:rsidRPr="003730B5">
        <w:t>s </w:t>
      </w:r>
      <w:r w:rsidRPr="003730B5">
        <w:t xml:space="preserve">výjimkou většiny nápojů, léků či stavebních prací, dětských autosedaček nebo pohřebních služeb. Speciální položkou jsou knihy, které se navrhuje daní </w:t>
      </w:r>
      <w:r w:rsidR="00534ED9" w:rsidRPr="003730B5">
        <w:t>z </w:t>
      </w:r>
      <w:r w:rsidRPr="003730B5">
        <w:t xml:space="preserve">přidané hodnoty vůbec nezatěžovat. Naopak položky bez prokazatelného sociálního či zdravotního významu, které byly </w:t>
      </w:r>
      <w:r w:rsidR="00534ED9" w:rsidRPr="003730B5">
        <w:t>v </w:t>
      </w:r>
      <w:r w:rsidRPr="003730B5">
        <w:t xml:space="preserve">minulosti zařazeny do snížené sazby </w:t>
      </w:r>
      <w:r w:rsidR="00534ED9" w:rsidRPr="003730B5">
        <w:t>v </w:t>
      </w:r>
      <w:r w:rsidRPr="003730B5">
        <w:t xml:space="preserve">reakci na skutečnosti, které již pominuly (covidová krize, zákonem stanovená povinnost evidence tržeb), se navrhuje přesunout do základní sazby DPH. Konkrétně se jedná </w:t>
      </w:r>
      <w:r w:rsidR="00534ED9" w:rsidRPr="003730B5">
        <w:t>o </w:t>
      </w:r>
      <w:r w:rsidRPr="003730B5">
        <w:t xml:space="preserve">kadeřnické </w:t>
      </w:r>
      <w:r w:rsidR="00534ED9" w:rsidRPr="003730B5">
        <w:t>a </w:t>
      </w:r>
      <w:r w:rsidRPr="003730B5">
        <w:t xml:space="preserve">holičské služby, točené pivo, služby autorů </w:t>
      </w:r>
      <w:r w:rsidR="00534ED9" w:rsidRPr="003730B5">
        <w:t>a </w:t>
      </w:r>
      <w:r w:rsidRPr="003730B5">
        <w:t xml:space="preserve">umělců, sběr, přeprava a skládkování komunálního odpadu, opravy obuvi, kožených výrobků </w:t>
      </w:r>
      <w:r w:rsidR="00534ED9" w:rsidRPr="003730B5">
        <w:t>a </w:t>
      </w:r>
      <w:r w:rsidRPr="003730B5">
        <w:t xml:space="preserve">kol, úklidové práce, palivové dřevo, některá periodika. Ostatní položky </w:t>
      </w:r>
      <w:r w:rsidR="00534ED9" w:rsidRPr="003730B5">
        <w:t>z </w:t>
      </w:r>
      <w:r w:rsidRPr="003730B5">
        <w:t xml:space="preserve">některé ze dvou snížených sazeb zůstávají ve sjednocené snížené sazbě 12 %, výjimku tvoří pouze </w:t>
      </w:r>
      <w:r w:rsidR="00BF6D00" w:rsidRPr="003730B5">
        <w:t xml:space="preserve">řezané květiny </w:t>
      </w:r>
      <w:r w:rsidR="00811C11" w:rsidRPr="003730B5">
        <w:t>a </w:t>
      </w:r>
      <w:r w:rsidR="00BF6D00" w:rsidRPr="003730B5">
        <w:t xml:space="preserve">dekorativní listoví </w:t>
      </w:r>
      <w:r w:rsidR="00534ED9" w:rsidRPr="003730B5">
        <w:lastRenderedPageBreak/>
        <w:t>a </w:t>
      </w:r>
      <w:r w:rsidRPr="003730B5">
        <w:t xml:space="preserve">dovoz uměleckých děl, sběratelských předmětů </w:t>
      </w:r>
      <w:r w:rsidR="00534ED9" w:rsidRPr="003730B5">
        <w:t>a </w:t>
      </w:r>
      <w:r w:rsidRPr="003730B5">
        <w:t>starožitností. Ze základní do snížené sazby DPH se přesouvá pouze příležitostná hromadná autobusová doprava osob.</w:t>
      </w:r>
    </w:p>
    <w:p w14:paraId="34016FF7" w14:textId="77777777" w:rsidR="00800776" w:rsidRPr="003730B5" w:rsidRDefault="00800776" w:rsidP="00800776">
      <w:pPr>
        <w:widowControl w:val="0"/>
        <w:spacing w:after="120"/>
      </w:pPr>
      <w:r w:rsidRPr="003730B5">
        <w:t>Rozpočtově negativní souhrnný dopad všech navržených úprav systému DPH vytváří současně protiinflační stimul.</w:t>
      </w:r>
    </w:p>
    <w:p w14:paraId="22D5B21E" w14:textId="77777777" w:rsidR="008F7681" w:rsidRPr="003730B5" w:rsidRDefault="00930589" w:rsidP="00805C42">
      <w:pPr>
        <w:pStyle w:val="Nadpis2"/>
        <w:widowControl w:val="0"/>
        <w:numPr>
          <w:ilvl w:val="3"/>
          <w:numId w:val="28"/>
        </w:numPr>
        <w:shd w:val="clear" w:color="auto" w:fill="FFFFFF"/>
        <w:tabs>
          <w:tab w:val="left" w:pos="567"/>
        </w:tabs>
        <w:jc w:val="both"/>
        <w:rPr>
          <w:i/>
          <w:sz w:val="24"/>
        </w:rPr>
      </w:pPr>
      <w:r w:rsidRPr="003730B5">
        <w:rPr>
          <w:i/>
          <w:sz w:val="24"/>
        </w:rPr>
        <w:t>Spotřební daně</w:t>
      </w:r>
      <w:r w:rsidR="00C13373" w:rsidRPr="003730B5">
        <w:rPr>
          <w:i/>
          <w:sz w:val="24"/>
        </w:rPr>
        <w:t xml:space="preserve"> </w:t>
      </w:r>
    </w:p>
    <w:p w14:paraId="1581CFAF" w14:textId="50C323F6" w:rsidR="00C13373" w:rsidRPr="003730B5" w:rsidRDefault="008F7681" w:rsidP="008F7681">
      <w:pPr>
        <w:pStyle w:val="Nadpis2"/>
        <w:widowControl w:val="0"/>
        <w:numPr>
          <w:ilvl w:val="4"/>
          <w:numId w:val="28"/>
        </w:numPr>
        <w:shd w:val="clear" w:color="auto" w:fill="FFFFFF"/>
        <w:tabs>
          <w:tab w:val="left" w:pos="567"/>
        </w:tabs>
        <w:jc w:val="both"/>
        <w:rPr>
          <w:i/>
          <w:sz w:val="24"/>
        </w:rPr>
      </w:pPr>
      <w:r w:rsidRPr="003730B5">
        <w:rPr>
          <w:i/>
          <w:sz w:val="24"/>
        </w:rPr>
        <w:t xml:space="preserve">Zrušení či snížení výjimek </w:t>
      </w:r>
      <w:r w:rsidR="00E712DE" w:rsidRPr="003730B5">
        <w:rPr>
          <w:i/>
          <w:sz w:val="24"/>
        </w:rPr>
        <w:t>u </w:t>
      </w:r>
      <w:r w:rsidRPr="003730B5">
        <w:rPr>
          <w:i/>
          <w:sz w:val="24"/>
        </w:rPr>
        <w:t xml:space="preserve">spotřebních daní </w:t>
      </w:r>
      <w:r w:rsidR="00E712DE" w:rsidRPr="003730B5">
        <w:rPr>
          <w:i/>
          <w:sz w:val="24"/>
        </w:rPr>
        <w:t>z </w:t>
      </w:r>
      <w:r w:rsidRPr="003730B5">
        <w:rPr>
          <w:i/>
          <w:sz w:val="24"/>
        </w:rPr>
        <w:t>minerálních olejů</w:t>
      </w:r>
    </w:p>
    <w:p w14:paraId="300925F8" w14:textId="31F1B5EE" w:rsidR="00C13373" w:rsidRPr="003730B5" w:rsidRDefault="00C13373" w:rsidP="00447D7F">
      <w:pPr>
        <w:keepNext/>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814"/>
      </w:tblGrid>
      <w:tr w:rsidR="00187C38" w:rsidRPr="003730B5" w14:paraId="7FDACC4D" w14:textId="77777777" w:rsidTr="00447D7F">
        <w:trPr>
          <w:trHeight w:hRule="exact" w:val="284"/>
          <w:jc w:val="center"/>
        </w:trPr>
        <w:tc>
          <w:tcPr>
            <w:tcW w:w="4248" w:type="dxa"/>
            <w:shd w:val="clear" w:color="auto" w:fill="DBE5F1" w:themeFill="accent1" w:themeFillTint="33"/>
            <w:vAlign w:val="center"/>
          </w:tcPr>
          <w:p w14:paraId="3235680A" w14:textId="77777777" w:rsidR="00187C38" w:rsidRPr="003730B5" w:rsidRDefault="00187C38" w:rsidP="00817366">
            <w:pPr>
              <w:rPr>
                <w:b/>
                <w:sz w:val="20"/>
              </w:rPr>
            </w:pPr>
            <w:r w:rsidRPr="003730B5">
              <w:rPr>
                <w:sz w:val="20"/>
              </w:rPr>
              <w:t xml:space="preserve">Bezolovnatý benzín </w:t>
            </w:r>
          </w:p>
        </w:tc>
        <w:tc>
          <w:tcPr>
            <w:tcW w:w="4814" w:type="dxa"/>
            <w:vAlign w:val="center"/>
          </w:tcPr>
          <w:p w14:paraId="45E51170" w14:textId="7588EB5A" w:rsidR="00187C38" w:rsidRPr="003730B5" w:rsidRDefault="00187C38" w:rsidP="008218E8">
            <w:pPr>
              <w:rPr>
                <w:sz w:val="20"/>
              </w:rPr>
            </w:pPr>
            <w:r w:rsidRPr="003730B5">
              <w:rPr>
                <w:sz w:val="20"/>
              </w:rPr>
              <w:t>12 840 Kč/</w:t>
            </w:r>
            <w:r w:rsidR="00CA40A9" w:rsidRPr="003730B5">
              <w:rPr>
                <w:sz w:val="20"/>
              </w:rPr>
              <w:t>1 </w:t>
            </w:r>
            <w:r w:rsidRPr="003730B5">
              <w:rPr>
                <w:sz w:val="20"/>
              </w:rPr>
              <w:t>000 l</w:t>
            </w:r>
          </w:p>
        </w:tc>
      </w:tr>
      <w:tr w:rsidR="00187C38" w:rsidRPr="003730B5" w14:paraId="1A0B2864" w14:textId="77777777" w:rsidTr="00447D7F">
        <w:trPr>
          <w:trHeight w:hRule="exact" w:val="284"/>
          <w:jc w:val="center"/>
        </w:trPr>
        <w:tc>
          <w:tcPr>
            <w:tcW w:w="4248" w:type="dxa"/>
            <w:shd w:val="clear" w:color="auto" w:fill="DBE5F1" w:themeFill="accent1" w:themeFillTint="33"/>
            <w:vAlign w:val="center"/>
          </w:tcPr>
          <w:p w14:paraId="07DCA548" w14:textId="77777777" w:rsidR="00187C38" w:rsidRPr="003730B5" w:rsidRDefault="00187C38" w:rsidP="00817366">
            <w:pPr>
              <w:rPr>
                <w:sz w:val="20"/>
              </w:rPr>
            </w:pPr>
            <w:r w:rsidRPr="003730B5">
              <w:rPr>
                <w:sz w:val="20"/>
              </w:rPr>
              <w:t xml:space="preserve">Letecké pohonné hmoty benzínového typu </w:t>
            </w:r>
            <w:r w:rsidRPr="003730B5">
              <w:rPr>
                <w:sz w:val="20"/>
              </w:rPr>
              <w:br/>
              <w:t>(např. AVGAS 100 LL)</w:t>
            </w:r>
          </w:p>
        </w:tc>
        <w:tc>
          <w:tcPr>
            <w:tcW w:w="4814" w:type="dxa"/>
            <w:vAlign w:val="center"/>
          </w:tcPr>
          <w:p w14:paraId="36BD5FA6" w14:textId="3E56595D" w:rsidR="00187C38" w:rsidRPr="003730B5" w:rsidRDefault="00187C38" w:rsidP="00817366">
            <w:pPr>
              <w:rPr>
                <w:sz w:val="20"/>
              </w:rPr>
            </w:pPr>
            <w:r w:rsidRPr="003730B5">
              <w:rPr>
                <w:sz w:val="20"/>
              </w:rPr>
              <w:t>12 840 Kč/</w:t>
            </w:r>
            <w:r w:rsidR="00CA40A9" w:rsidRPr="003730B5">
              <w:rPr>
                <w:sz w:val="20"/>
              </w:rPr>
              <w:t>1 </w:t>
            </w:r>
            <w:r w:rsidRPr="003730B5">
              <w:rPr>
                <w:sz w:val="20"/>
              </w:rPr>
              <w:t>000 l</w:t>
            </w:r>
          </w:p>
        </w:tc>
      </w:tr>
      <w:tr w:rsidR="00187C38" w:rsidRPr="003730B5" w14:paraId="30168D28" w14:textId="77777777" w:rsidTr="00447D7F">
        <w:trPr>
          <w:trHeight w:hRule="exact" w:val="284"/>
          <w:jc w:val="center"/>
        </w:trPr>
        <w:tc>
          <w:tcPr>
            <w:tcW w:w="4248" w:type="dxa"/>
            <w:shd w:val="clear" w:color="auto" w:fill="DBE5F1" w:themeFill="accent1" w:themeFillTint="33"/>
            <w:vAlign w:val="center"/>
          </w:tcPr>
          <w:p w14:paraId="391949F0" w14:textId="77777777" w:rsidR="00187C38" w:rsidRPr="003730B5" w:rsidRDefault="00187C38" w:rsidP="00817366">
            <w:pPr>
              <w:rPr>
                <w:sz w:val="20"/>
              </w:rPr>
            </w:pPr>
            <w:r w:rsidRPr="003730B5">
              <w:rPr>
                <w:sz w:val="20"/>
              </w:rPr>
              <w:t>Motorová nafta</w:t>
            </w:r>
          </w:p>
        </w:tc>
        <w:tc>
          <w:tcPr>
            <w:tcW w:w="4814" w:type="dxa"/>
            <w:vAlign w:val="center"/>
          </w:tcPr>
          <w:p w14:paraId="1A364C37" w14:textId="024A6E84" w:rsidR="00187C38" w:rsidRPr="003730B5" w:rsidRDefault="00E712DE" w:rsidP="008218E8">
            <w:pPr>
              <w:rPr>
                <w:sz w:val="20"/>
              </w:rPr>
            </w:pPr>
            <w:r w:rsidRPr="003730B5">
              <w:rPr>
                <w:sz w:val="20"/>
              </w:rPr>
              <w:t>8 </w:t>
            </w:r>
            <w:r w:rsidR="00187C38" w:rsidRPr="003730B5">
              <w:rPr>
                <w:sz w:val="20"/>
              </w:rPr>
              <w:t>450 Kč/</w:t>
            </w:r>
            <w:r w:rsidR="00CA40A9" w:rsidRPr="003730B5">
              <w:rPr>
                <w:sz w:val="20"/>
              </w:rPr>
              <w:t>1 </w:t>
            </w:r>
            <w:r w:rsidR="00187C38" w:rsidRPr="003730B5">
              <w:rPr>
                <w:sz w:val="20"/>
              </w:rPr>
              <w:t>000 l</w:t>
            </w:r>
            <w:r w:rsidR="00187C38" w:rsidRPr="003730B5">
              <w:rPr>
                <w:rStyle w:val="Znakapoznpodarou"/>
                <w:sz w:val="20"/>
              </w:rPr>
              <w:footnoteReference w:id="1"/>
            </w:r>
          </w:p>
        </w:tc>
      </w:tr>
      <w:tr w:rsidR="00187C38" w:rsidRPr="003730B5" w14:paraId="6B5F2626" w14:textId="77777777" w:rsidTr="00447D7F">
        <w:trPr>
          <w:trHeight w:hRule="exact" w:val="284"/>
          <w:jc w:val="center"/>
        </w:trPr>
        <w:tc>
          <w:tcPr>
            <w:tcW w:w="4248" w:type="dxa"/>
            <w:shd w:val="clear" w:color="auto" w:fill="DBE5F1" w:themeFill="accent1" w:themeFillTint="33"/>
            <w:vAlign w:val="center"/>
          </w:tcPr>
          <w:p w14:paraId="6C3213B1" w14:textId="77777777" w:rsidR="00187C38" w:rsidRPr="003730B5" w:rsidRDefault="00187C38" w:rsidP="00817366">
            <w:pPr>
              <w:rPr>
                <w:sz w:val="20"/>
              </w:rPr>
            </w:pPr>
            <w:r w:rsidRPr="003730B5">
              <w:rPr>
                <w:sz w:val="20"/>
              </w:rPr>
              <w:t>Letecký petrolej (kerosen)</w:t>
            </w:r>
          </w:p>
        </w:tc>
        <w:tc>
          <w:tcPr>
            <w:tcW w:w="4814" w:type="dxa"/>
            <w:vAlign w:val="center"/>
          </w:tcPr>
          <w:p w14:paraId="582A572C" w14:textId="365EF2EE" w:rsidR="00187C38" w:rsidRPr="003730B5" w:rsidRDefault="00E712DE" w:rsidP="008218E8">
            <w:pPr>
              <w:rPr>
                <w:sz w:val="20"/>
              </w:rPr>
            </w:pPr>
            <w:r w:rsidRPr="003730B5">
              <w:rPr>
                <w:sz w:val="20"/>
              </w:rPr>
              <w:t>8 </w:t>
            </w:r>
            <w:r w:rsidR="00187C38" w:rsidRPr="003730B5">
              <w:rPr>
                <w:sz w:val="20"/>
              </w:rPr>
              <w:t>450 Kč/</w:t>
            </w:r>
            <w:r w:rsidR="00CA40A9" w:rsidRPr="003730B5">
              <w:rPr>
                <w:sz w:val="20"/>
              </w:rPr>
              <w:t>1 </w:t>
            </w:r>
            <w:r w:rsidR="00187C38" w:rsidRPr="003730B5">
              <w:rPr>
                <w:sz w:val="20"/>
              </w:rPr>
              <w:t>000 l</w:t>
            </w:r>
            <w:r w:rsidR="00187C38" w:rsidRPr="003730B5">
              <w:rPr>
                <w:sz w:val="20"/>
                <w:vertAlign w:val="superscript"/>
              </w:rPr>
              <w:t>1</w:t>
            </w:r>
          </w:p>
        </w:tc>
      </w:tr>
      <w:tr w:rsidR="00187C38" w:rsidRPr="003730B5" w14:paraId="01B83843" w14:textId="77777777" w:rsidTr="00447D7F">
        <w:trPr>
          <w:trHeight w:hRule="exact" w:val="284"/>
          <w:jc w:val="center"/>
        </w:trPr>
        <w:tc>
          <w:tcPr>
            <w:tcW w:w="4248" w:type="dxa"/>
            <w:shd w:val="clear" w:color="auto" w:fill="DBE5F1" w:themeFill="accent1" w:themeFillTint="33"/>
            <w:vAlign w:val="center"/>
          </w:tcPr>
          <w:p w14:paraId="3C47609D" w14:textId="77777777" w:rsidR="00187C38" w:rsidRPr="003730B5" w:rsidRDefault="00187C38" w:rsidP="00817366">
            <w:pPr>
              <w:rPr>
                <w:sz w:val="20"/>
              </w:rPr>
            </w:pPr>
            <w:r w:rsidRPr="003730B5">
              <w:rPr>
                <w:sz w:val="20"/>
              </w:rPr>
              <w:t>Těžké topné oleje</w:t>
            </w:r>
          </w:p>
        </w:tc>
        <w:tc>
          <w:tcPr>
            <w:tcW w:w="4814" w:type="dxa"/>
            <w:vAlign w:val="center"/>
          </w:tcPr>
          <w:p w14:paraId="19523497" w14:textId="77777777" w:rsidR="00187C38" w:rsidRPr="003730B5" w:rsidRDefault="00187C38" w:rsidP="00817366">
            <w:pPr>
              <w:rPr>
                <w:sz w:val="20"/>
              </w:rPr>
            </w:pPr>
            <w:r w:rsidRPr="003730B5">
              <w:rPr>
                <w:sz w:val="20"/>
              </w:rPr>
              <w:t>472 Kč/t</w:t>
            </w:r>
          </w:p>
        </w:tc>
      </w:tr>
      <w:tr w:rsidR="00187C38" w:rsidRPr="003730B5" w14:paraId="318B8410" w14:textId="77777777" w:rsidTr="00447D7F">
        <w:trPr>
          <w:trHeight w:hRule="exact" w:val="284"/>
          <w:jc w:val="center"/>
        </w:trPr>
        <w:tc>
          <w:tcPr>
            <w:tcW w:w="4248" w:type="dxa"/>
            <w:shd w:val="clear" w:color="auto" w:fill="DBE5F1" w:themeFill="accent1" w:themeFillTint="33"/>
            <w:vAlign w:val="center"/>
          </w:tcPr>
          <w:p w14:paraId="135306AF" w14:textId="77777777" w:rsidR="00187C38" w:rsidRPr="003730B5" w:rsidRDefault="00187C38" w:rsidP="00817366">
            <w:pPr>
              <w:rPr>
                <w:sz w:val="20"/>
              </w:rPr>
            </w:pPr>
            <w:r w:rsidRPr="003730B5">
              <w:rPr>
                <w:sz w:val="20"/>
              </w:rPr>
              <w:t>Lehké topné oleje</w:t>
            </w:r>
          </w:p>
        </w:tc>
        <w:tc>
          <w:tcPr>
            <w:tcW w:w="4814" w:type="dxa"/>
            <w:vAlign w:val="center"/>
          </w:tcPr>
          <w:p w14:paraId="73341EB9" w14:textId="279493B1" w:rsidR="00187C38" w:rsidRPr="003730B5" w:rsidRDefault="00187C38" w:rsidP="00817366">
            <w:pPr>
              <w:rPr>
                <w:sz w:val="20"/>
              </w:rPr>
            </w:pPr>
            <w:r w:rsidRPr="003730B5">
              <w:rPr>
                <w:sz w:val="20"/>
              </w:rPr>
              <w:t>660 Kč/</w:t>
            </w:r>
            <w:r w:rsidR="00CA40A9" w:rsidRPr="003730B5">
              <w:rPr>
                <w:sz w:val="20"/>
              </w:rPr>
              <w:t>1 </w:t>
            </w:r>
            <w:r w:rsidRPr="003730B5">
              <w:rPr>
                <w:sz w:val="20"/>
              </w:rPr>
              <w:t>000 l</w:t>
            </w:r>
          </w:p>
        </w:tc>
      </w:tr>
      <w:tr w:rsidR="00187C38" w:rsidRPr="003730B5" w14:paraId="5ABADA6C" w14:textId="77777777" w:rsidTr="00447D7F">
        <w:trPr>
          <w:trHeight w:hRule="exact" w:val="284"/>
          <w:jc w:val="center"/>
        </w:trPr>
        <w:tc>
          <w:tcPr>
            <w:tcW w:w="4248" w:type="dxa"/>
            <w:shd w:val="clear" w:color="auto" w:fill="DBE5F1" w:themeFill="accent1" w:themeFillTint="33"/>
            <w:vAlign w:val="center"/>
          </w:tcPr>
          <w:p w14:paraId="5056202B" w14:textId="77777777" w:rsidR="00187C38" w:rsidRPr="003730B5" w:rsidRDefault="00187C38" w:rsidP="00817366">
            <w:pPr>
              <w:rPr>
                <w:sz w:val="20"/>
              </w:rPr>
            </w:pPr>
            <w:r w:rsidRPr="003730B5">
              <w:rPr>
                <w:sz w:val="20"/>
              </w:rPr>
              <w:t>Zkapalněné ropné plyny (LPG) pro pohon motorů</w:t>
            </w:r>
          </w:p>
        </w:tc>
        <w:tc>
          <w:tcPr>
            <w:tcW w:w="4814" w:type="dxa"/>
            <w:vAlign w:val="center"/>
          </w:tcPr>
          <w:p w14:paraId="131D00F8" w14:textId="77777777" w:rsidR="00187C38" w:rsidRPr="003730B5" w:rsidRDefault="00187C38" w:rsidP="00817366">
            <w:pPr>
              <w:rPr>
                <w:sz w:val="20"/>
              </w:rPr>
            </w:pPr>
            <w:r w:rsidRPr="003730B5">
              <w:rPr>
                <w:sz w:val="20"/>
              </w:rPr>
              <w:t>3 933 Kč/t</w:t>
            </w:r>
          </w:p>
        </w:tc>
      </w:tr>
      <w:tr w:rsidR="00187C38" w:rsidRPr="003730B5" w14:paraId="05BE76F0" w14:textId="77777777" w:rsidTr="00447D7F">
        <w:trPr>
          <w:trHeight w:hRule="exact" w:val="284"/>
          <w:jc w:val="center"/>
        </w:trPr>
        <w:tc>
          <w:tcPr>
            <w:tcW w:w="4248" w:type="dxa"/>
            <w:shd w:val="clear" w:color="auto" w:fill="DBE5F1" w:themeFill="accent1" w:themeFillTint="33"/>
            <w:vAlign w:val="center"/>
          </w:tcPr>
          <w:p w14:paraId="4D5A4124" w14:textId="77777777" w:rsidR="00187C38" w:rsidRPr="003730B5" w:rsidRDefault="00187C38" w:rsidP="00817366">
            <w:pPr>
              <w:rPr>
                <w:sz w:val="20"/>
              </w:rPr>
            </w:pPr>
            <w:r w:rsidRPr="003730B5">
              <w:rPr>
                <w:sz w:val="20"/>
              </w:rPr>
              <w:t>Zkapalněné ropné plyny (LPG) pro výrobu tepla</w:t>
            </w:r>
          </w:p>
        </w:tc>
        <w:tc>
          <w:tcPr>
            <w:tcW w:w="4814" w:type="dxa"/>
            <w:vAlign w:val="center"/>
          </w:tcPr>
          <w:p w14:paraId="1A81EF1A" w14:textId="7EF80262" w:rsidR="00187C38" w:rsidRPr="003730B5" w:rsidRDefault="00E712DE" w:rsidP="008218E8">
            <w:pPr>
              <w:rPr>
                <w:sz w:val="20"/>
              </w:rPr>
            </w:pPr>
            <w:r w:rsidRPr="003730B5">
              <w:rPr>
                <w:sz w:val="20"/>
              </w:rPr>
              <w:t>0 </w:t>
            </w:r>
            <w:r w:rsidR="00187C38" w:rsidRPr="003730B5">
              <w:rPr>
                <w:sz w:val="20"/>
              </w:rPr>
              <w:t>Kč</w:t>
            </w:r>
          </w:p>
        </w:tc>
      </w:tr>
      <w:tr w:rsidR="00187C38" w:rsidRPr="003730B5" w14:paraId="1F8BC505" w14:textId="77777777" w:rsidTr="00447D7F">
        <w:trPr>
          <w:trHeight w:hRule="exact" w:val="284"/>
          <w:jc w:val="center"/>
        </w:trPr>
        <w:tc>
          <w:tcPr>
            <w:tcW w:w="4248" w:type="dxa"/>
            <w:shd w:val="clear" w:color="auto" w:fill="DBE5F1" w:themeFill="accent1" w:themeFillTint="33"/>
            <w:vAlign w:val="center"/>
          </w:tcPr>
          <w:p w14:paraId="76E59B64" w14:textId="77777777" w:rsidR="00187C38" w:rsidRPr="003730B5" w:rsidRDefault="00187C38" w:rsidP="00817366">
            <w:pPr>
              <w:rPr>
                <w:sz w:val="20"/>
              </w:rPr>
            </w:pPr>
            <w:r w:rsidRPr="003730B5">
              <w:rPr>
                <w:sz w:val="20"/>
              </w:rPr>
              <w:t>Biopaliva</w:t>
            </w:r>
          </w:p>
        </w:tc>
        <w:tc>
          <w:tcPr>
            <w:tcW w:w="4814" w:type="dxa"/>
            <w:vAlign w:val="center"/>
          </w:tcPr>
          <w:p w14:paraId="61875319" w14:textId="77777777" w:rsidR="00187C38" w:rsidRPr="003730B5" w:rsidRDefault="00187C38" w:rsidP="00817366">
            <w:pPr>
              <w:rPr>
                <w:sz w:val="20"/>
              </w:rPr>
            </w:pPr>
            <w:r w:rsidRPr="003730B5">
              <w:rPr>
                <w:sz w:val="20"/>
              </w:rPr>
              <w:t>stejná sazba jako pohonná hmota, do které se přimíchávají</w:t>
            </w:r>
          </w:p>
        </w:tc>
      </w:tr>
    </w:tbl>
    <w:p w14:paraId="5012099D" w14:textId="77777777" w:rsidR="00187C38" w:rsidRPr="003730B5" w:rsidRDefault="00187C38" w:rsidP="00187C38">
      <w:pPr>
        <w:spacing w:before="120"/>
      </w:pPr>
      <w:r w:rsidRPr="003730B5">
        <w:t>Příklad daně v praxi:</w:t>
      </w:r>
    </w:p>
    <w:p w14:paraId="5F0799BC" w14:textId="77777777" w:rsidR="00187C38" w:rsidRPr="003730B5" w:rsidRDefault="00187C38" w:rsidP="00D16775">
      <w:pPr>
        <w:pStyle w:val="Odstavecseseznamem"/>
        <w:numPr>
          <w:ilvl w:val="0"/>
          <w:numId w:val="33"/>
        </w:numPr>
        <w:spacing w:after="120" w:line="264" w:lineRule="auto"/>
      </w:pPr>
      <w:r w:rsidRPr="003730B5">
        <w:t>Bezolovnatý benzín - daň 12,84 Kč/l.</w:t>
      </w:r>
    </w:p>
    <w:p w14:paraId="41A1A8FF" w14:textId="77777777" w:rsidR="00187C38" w:rsidRPr="003730B5" w:rsidRDefault="00187C38" w:rsidP="00D16775">
      <w:pPr>
        <w:pStyle w:val="Odstavecseseznamem"/>
        <w:numPr>
          <w:ilvl w:val="0"/>
          <w:numId w:val="33"/>
        </w:numPr>
        <w:spacing w:after="120" w:line="264" w:lineRule="auto"/>
      </w:pPr>
      <w:r w:rsidRPr="003730B5">
        <w:t>Motorová nafta - daň 8,45 Kč/l.</w:t>
      </w:r>
      <w:r w:rsidRPr="003730B5">
        <w:rPr>
          <w:rStyle w:val="Znakapoznpodarou"/>
        </w:rPr>
        <w:footnoteReference w:id="2"/>
      </w:r>
    </w:p>
    <w:p w14:paraId="71DD2775" w14:textId="27784C07" w:rsidR="00187C38" w:rsidRPr="003730B5" w:rsidRDefault="00187C38" w:rsidP="00995ECD">
      <w:pPr>
        <w:widowControl w:val="0"/>
        <w:spacing w:after="120"/>
      </w:pPr>
      <w:r w:rsidRPr="003730B5">
        <w:t xml:space="preserve">Motorová nafta </w:t>
      </w:r>
      <w:r w:rsidR="00E712DE" w:rsidRPr="003730B5">
        <w:t>a </w:t>
      </w:r>
      <w:r w:rsidRPr="003730B5">
        <w:t xml:space="preserve">její substituty mají dočasně sníženou sazbu spotřební daně </w:t>
      </w:r>
      <w:r w:rsidR="00E712DE" w:rsidRPr="003730B5">
        <w:t>o </w:t>
      </w:r>
      <w:r w:rsidRPr="003730B5">
        <w:t>1,50 Kč/</w:t>
      </w:r>
      <w:r w:rsidR="00E712DE" w:rsidRPr="003730B5">
        <w:t>l v </w:t>
      </w:r>
      <w:r w:rsidRPr="003730B5">
        <w:t xml:space="preserve">reakci na vysoké ceny pohonných hmot </w:t>
      </w:r>
      <w:r w:rsidR="00E712DE" w:rsidRPr="003730B5">
        <w:t>a </w:t>
      </w:r>
      <w:r w:rsidRPr="003730B5">
        <w:t xml:space="preserve">jako podpora </w:t>
      </w:r>
      <w:r w:rsidR="00E712DE" w:rsidRPr="003730B5">
        <w:t>u </w:t>
      </w:r>
      <w:r w:rsidRPr="003730B5">
        <w:t>dopravního sektoru. Stávající sazba daně z motorové nafty je téměř na minimální sazbě, kterou stanovuje směrnice E</w:t>
      </w:r>
      <w:r w:rsidR="009655EE" w:rsidRPr="003730B5">
        <w:t>vropské unie</w:t>
      </w:r>
      <w:r w:rsidRPr="003730B5">
        <w:t xml:space="preserve"> </w:t>
      </w:r>
      <w:r w:rsidR="00E712DE" w:rsidRPr="003730B5">
        <w:t>o </w:t>
      </w:r>
      <w:r w:rsidRPr="003730B5">
        <w:t>energetickém zdanění (330 €/1000 litrů, oficiálním přepočítacím kurzem tj. 8 094 Kč/1000 l</w:t>
      </w:r>
      <w:r w:rsidR="00F667C9" w:rsidRPr="003730B5">
        <w:t>itrů</w:t>
      </w:r>
      <w:r w:rsidRPr="003730B5">
        <w:t>).</w:t>
      </w:r>
    </w:p>
    <w:p w14:paraId="06BA7140" w14:textId="7D1BA677" w:rsidR="00187C38" w:rsidRPr="003730B5" w:rsidRDefault="00E712DE" w:rsidP="00187C38">
      <w:pPr>
        <w:widowControl w:val="0"/>
        <w:spacing w:after="120"/>
      </w:pPr>
      <w:r w:rsidRPr="003730B5">
        <w:t>S </w:t>
      </w:r>
      <w:r w:rsidR="00187C38" w:rsidRPr="003730B5">
        <w:t xml:space="preserve">ohledem na snížení cen nafty pro řidiče schválila vláda rychlejší návrat spotřební daně </w:t>
      </w:r>
      <w:r w:rsidRPr="003730B5">
        <w:t>z </w:t>
      </w:r>
      <w:r w:rsidR="00187C38" w:rsidRPr="003730B5">
        <w:t xml:space="preserve">motorové nafty zpět na původní úroveň před invazí Ruska na Ukrajinu dříve než </w:t>
      </w:r>
      <w:r w:rsidRPr="003730B5">
        <w:t>k </w:t>
      </w:r>
      <w:r w:rsidR="00187C38" w:rsidRPr="003730B5">
        <w:t xml:space="preserve">1. </w:t>
      </w:r>
      <w:r w:rsidR="00BF7A36" w:rsidRPr="003730B5">
        <w:t xml:space="preserve">1. </w:t>
      </w:r>
      <w:r w:rsidR="00187C38" w:rsidRPr="003730B5">
        <w:t xml:space="preserve">2024, </w:t>
      </w:r>
      <w:r w:rsidRPr="003730B5">
        <w:t>a </w:t>
      </w:r>
      <w:r w:rsidR="00187C38" w:rsidRPr="003730B5">
        <w:t xml:space="preserve">to konkrétně od prvního dne měsíce po účinnosti novely. Snížení daně </w:t>
      </w:r>
      <w:r w:rsidRPr="003730B5">
        <w:t>o </w:t>
      </w:r>
      <w:r w:rsidR="00187C38" w:rsidRPr="003730B5">
        <w:t>1,50 Kč/</w:t>
      </w:r>
      <w:r w:rsidRPr="003730B5">
        <w:t>l </w:t>
      </w:r>
      <w:r w:rsidR="00187C38" w:rsidRPr="003730B5">
        <w:t xml:space="preserve">na minimum dané evropskou směrnicí bylo </w:t>
      </w:r>
      <w:r w:rsidRPr="003730B5">
        <w:t>v </w:t>
      </w:r>
      <w:r w:rsidR="00187C38" w:rsidRPr="003730B5">
        <w:t xml:space="preserve">minulém roce dočasně přijato </w:t>
      </w:r>
      <w:r w:rsidRPr="003730B5">
        <w:t>s </w:t>
      </w:r>
      <w:r w:rsidR="00187C38" w:rsidRPr="003730B5">
        <w:t xml:space="preserve">cílem zmírnit dopady vysokých cen pohonných hmot </w:t>
      </w:r>
      <w:r w:rsidRPr="003730B5">
        <w:t>a </w:t>
      </w:r>
      <w:r w:rsidR="00187C38" w:rsidRPr="003730B5">
        <w:t xml:space="preserve">přispět </w:t>
      </w:r>
      <w:r w:rsidRPr="003730B5">
        <w:t>k </w:t>
      </w:r>
      <w:r w:rsidR="00187C38" w:rsidRPr="003730B5">
        <w:t xml:space="preserve">zajištění konkurenceschopnosti českých autodopravců. </w:t>
      </w:r>
    </w:p>
    <w:p w14:paraId="7C15FD71" w14:textId="77777777" w:rsidR="00C13373" w:rsidRPr="003730B5" w:rsidRDefault="00C13373" w:rsidP="00C13373">
      <w:pPr>
        <w:widowControl w:val="0"/>
        <w:spacing w:after="120"/>
        <w:rPr>
          <w:u w:val="single"/>
        </w:rPr>
      </w:pPr>
      <w:r w:rsidRPr="003730B5">
        <w:rPr>
          <w:u w:val="single"/>
        </w:rPr>
        <w:t>Navržené řešení:</w:t>
      </w:r>
    </w:p>
    <w:p w14:paraId="64F19624" w14:textId="75909F80" w:rsidR="00995ECD" w:rsidRPr="003730B5" w:rsidRDefault="00995ECD" w:rsidP="008F7681">
      <w:pPr>
        <w:widowControl w:val="0"/>
        <w:spacing w:after="120"/>
      </w:pPr>
      <w:r w:rsidRPr="003730B5">
        <w:t xml:space="preserve">Zrušení či omezení následujících výjimek </w:t>
      </w:r>
      <w:r w:rsidR="00E712DE" w:rsidRPr="003730B5">
        <w:t>u </w:t>
      </w:r>
      <w:r w:rsidRPr="003730B5">
        <w:t xml:space="preserve">spotřebních daní </w:t>
      </w:r>
      <w:r w:rsidR="00E712DE" w:rsidRPr="003730B5">
        <w:t>z </w:t>
      </w:r>
      <w:r w:rsidRPr="003730B5">
        <w:t>minerálních olejů:</w:t>
      </w:r>
    </w:p>
    <w:p w14:paraId="66410E76" w14:textId="5FF71155" w:rsidR="008F7681" w:rsidRPr="003730B5" w:rsidRDefault="00995ECD" w:rsidP="00D16775">
      <w:pPr>
        <w:pStyle w:val="Odstavecseseznamem"/>
        <w:widowControl w:val="0"/>
        <w:numPr>
          <w:ilvl w:val="0"/>
          <w:numId w:val="34"/>
        </w:numPr>
        <w:spacing w:after="120"/>
      </w:pPr>
      <w:r w:rsidRPr="003730B5">
        <w:rPr>
          <w:b/>
        </w:rPr>
        <w:t>Z</w:t>
      </w:r>
      <w:r w:rsidR="008F7681" w:rsidRPr="003730B5">
        <w:rPr>
          <w:b/>
        </w:rPr>
        <w:t>ruš</w:t>
      </w:r>
      <w:r w:rsidRPr="003730B5">
        <w:rPr>
          <w:b/>
        </w:rPr>
        <w:t xml:space="preserve">ení </w:t>
      </w:r>
      <w:r w:rsidR="008F7681" w:rsidRPr="003730B5">
        <w:rPr>
          <w:b/>
        </w:rPr>
        <w:t>osvobození leteckých pohonných hmot</w:t>
      </w:r>
      <w:r w:rsidR="008F7681" w:rsidRPr="003730B5">
        <w:t xml:space="preserve"> (letecký benzín, kerosen) od</w:t>
      </w:r>
      <w:r w:rsidR="00D7518A" w:rsidRPr="003730B5">
        <w:t> s</w:t>
      </w:r>
      <w:r w:rsidR="008F7681" w:rsidRPr="003730B5">
        <w:t xml:space="preserve">potřební daně </w:t>
      </w:r>
      <w:r w:rsidR="00E712DE" w:rsidRPr="003730B5">
        <w:t>u </w:t>
      </w:r>
      <w:r w:rsidR="008F7681" w:rsidRPr="003730B5">
        <w:t>vnitrostátních letů. Stávající směrnice E</w:t>
      </w:r>
      <w:r w:rsidR="009655EE" w:rsidRPr="003730B5">
        <w:t>vropské unie</w:t>
      </w:r>
      <w:r w:rsidR="008F7681" w:rsidRPr="003730B5">
        <w:t xml:space="preserve"> obsahuje povinné osvobození tryskového paliva </w:t>
      </w:r>
      <w:r w:rsidR="00E712DE" w:rsidRPr="003730B5">
        <w:t>v </w:t>
      </w:r>
      <w:r w:rsidR="008F7681" w:rsidRPr="003730B5">
        <w:t xml:space="preserve">rámci mezinárodní přepravy </w:t>
      </w:r>
      <w:r w:rsidR="00E712DE" w:rsidRPr="003730B5">
        <w:t>a </w:t>
      </w:r>
      <w:r w:rsidR="008F7681" w:rsidRPr="003730B5">
        <w:t>přepravy uvnitř E</w:t>
      </w:r>
      <w:r w:rsidR="009655EE" w:rsidRPr="003730B5">
        <w:t>vropské unie</w:t>
      </w:r>
      <w:r w:rsidR="008F7681" w:rsidRPr="003730B5">
        <w:t>. Aktuálně probíhá revize této směrnice na úrovni E</w:t>
      </w:r>
      <w:r w:rsidR="009655EE" w:rsidRPr="003730B5">
        <w:t>vropské unie</w:t>
      </w:r>
      <w:r w:rsidR="008F7681" w:rsidRPr="003730B5">
        <w:t xml:space="preserve">.  </w:t>
      </w:r>
    </w:p>
    <w:p w14:paraId="68D4A23A" w14:textId="460836E1" w:rsidR="008F7681" w:rsidRPr="003730B5" w:rsidRDefault="00995ECD" w:rsidP="00D16775">
      <w:pPr>
        <w:pStyle w:val="Odstavecseseznamem"/>
        <w:widowControl w:val="0"/>
        <w:numPr>
          <w:ilvl w:val="0"/>
          <w:numId w:val="34"/>
        </w:numPr>
        <w:spacing w:after="120"/>
      </w:pPr>
      <w:r w:rsidRPr="003730B5">
        <w:rPr>
          <w:b/>
        </w:rPr>
        <w:t>S</w:t>
      </w:r>
      <w:r w:rsidR="008F7681" w:rsidRPr="003730B5">
        <w:rPr>
          <w:b/>
        </w:rPr>
        <w:t xml:space="preserve">tanovit vratky za tzv. </w:t>
      </w:r>
      <w:r w:rsidR="008F7681" w:rsidRPr="003730B5">
        <w:rPr>
          <w:b/>
          <w:i/>
        </w:rPr>
        <w:t>zelenou naftu</w:t>
      </w:r>
      <w:r w:rsidR="008F7681" w:rsidRPr="003730B5">
        <w:rPr>
          <w:b/>
        </w:rPr>
        <w:t xml:space="preserve"> </w:t>
      </w:r>
      <w:r w:rsidR="00800776" w:rsidRPr="003730B5">
        <w:rPr>
          <w:b/>
        </w:rPr>
        <w:t xml:space="preserve">pouze </w:t>
      </w:r>
      <w:r w:rsidR="008F7681" w:rsidRPr="003730B5">
        <w:rPr>
          <w:b/>
        </w:rPr>
        <w:t>podle normativů</w:t>
      </w:r>
      <w:r w:rsidR="008F7681" w:rsidRPr="003730B5">
        <w:t xml:space="preserve">, čímž odpadne podnikatelům povinnost vést evidence skutečné spotřeby minerálních olejů </w:t>
      </w:r>
      <w:r w:rsidR="00E712DE" w:rsidRPr="003730B5">
        <w:t>a </w:t>
      </w:r>
      <w:r w:rsidR="008F7681" w:rsidRPr="003730B5">
        <w:t xml:space="preserve">dojde tak </w:t>
      </w:r>
      <w:r w:rsidR="00E712DE" w:rsidRPr="003730B5">
        <w:t>k </w:t>
      </w:r>
      <w:r w:rsidR="008F7681" w:rsidRPr="003730B5">
        <w:t xml:space="preserve">výraznému snížení administrativy na straně podnikatelů </w:t>
      </w:r>
      <w:r w:rsidR="00E712DE" w:rsidRPr="003730B5">
        <w:t>i </w:t>
      </w:r>
      <w:r w:rsidR="008F7681" w:rsidRPr="003730B5">
        <w:t xml:space="preserve">státu. Zelenou naftou se zde rozumí nárok zemědělců na vrácení části spotřební daně </w:t>
      </w:r>
      <w:r w:rsidR="00E712DE" w:rsidRPr="003730B5">
        <w:t>z </w:t>
      </w:r>
      <w:r w:rsidR="008F7681" w:rsidRPr="003730B5">
        <w:t>minerálních olejů spotřebovaných pro</w:t>
      </w:r>
      <w:r w:rsidR="00D7518A" w:rsidRPr="003730B5">
        <w:t> </w:t>
      </w:r>
      <w:r w:rsidR="008F7681" w:rsidRPr="003730B5">
        <w:t xml:space="preserve">zemědělskou prvovýrobu (vyjma rybníkářství). </w:t>
      </w:r>
    </w:p>
    <w:p w14:paraId="72A8C3DF" w14:textId="34F69E66" w:rsidR="00C13373" w:rsidRPr="003730B5" w:rsidRDefault="00D7518A" w:rsidP="00D16775">
      <w:pPr>
        <w:pStyle w:val="Odstavecseseznamem"/>
        <w:widowControl w:val="0"/>
        <w:numPr>
          <w:ilvl w:val="0"/>
          <w:numId w:val="34"/>
        </w:numPr>
        <w:spacing w:after="120"/>
      </w:pPr>
      <w:r w:rsidRPr="003730B5">
        <w:rPr>
          <w:b/>
        </w:rPr>
        <w:lastRenderedPageBreak/>
        <w:t>Z</w:t>
      </w:r>
      <w:r w:rsidR="008F7681" w:rsidRPr="003730B5">
        <w:rPr>
          <w:b/>
        </w:rPr>
        <w:t>ruš</w:t>
      </w:r>
      <w:r w:rsidRPr="003730B5">
        <w:rPr>
          <w:b/>
        </w:rPr>
        <w:t>ení</w:t>
      </w:r>
      <w:r w:rsidR="008F7681" w:rsidRPr="003730B5">
        <w:rPr>
          <w:b/>
        </w:rPr>
        <w:t xml:space="preserve"> vratk</w:t>
      </w:r>
      <w:r w:rsidRPr="003730B5">
        <w:rPr>
          <w:b/>
        </w:rPr>
        <w:t>y</w:t>
      </w:r>
      <w:r w:rsidR="008F7681" w:rsidRPr="003730B5">
        <w:rPr>
          <w:b/>
        </w:rPr>
        <w:t xml:space="preserve"> spotřební daně </w:t>
      </w:r>
      <w:r w:rsidR="00E712DE" w:rsidRPr="003730B5">
        <w:rPr>
          <w:b/>
        </w:rPr>
        <w:t>z </w:t>
      </w:r>
      <w:r w:rsidR="008F7681" w:rsidRPr="003730B5">
        <w:rPr>
          <w:b/>
        </w:rPr>
        <w:t>minerálních olejů spotřebovaných v</w:t>
      </w:r>
      <w:r w:rsidRPr="003730B5">
        <w:rPr>
          <w:b/>
        </w:rPr>
        <w:t> </w:t>
      </w:r>
      <w:r w:rsidR="008F7681" w:rsidRPr="003730B5">
        <w:rPr>
          <w:b/>
        </w:rPr>
        <w:t xml:space="preserve">mineralogických </w:t>
      </w:r>
      <w:r w:rsidR="00E712DE" w:rsidRPr="003730B5">
        <w:rPr>
          <w:b/>
        </w:rPr>
        <w:t>a </w:t>
      </w:r>
      <w:r w:rsidR="008F7681" w:rsidRPr="003730B5">
        <w:rPr>
          <w:b/>
        </w:rPr>
        <w:t>metalurgických procesech</w:t>
      </w:r>
      <w:r w:rsidRPr="003730B5">
        <w:t>, čímž dojde</w:t>
      </w:r>
      <w:r w:rsidRPr="003730B5">
        <w:rPr>
          <w:b/>
        </w:rPr>
        <w:t xml:space="preserve"> </w:t>
      </w:r>
      <w:r w:rsidR="00E712DE" w:rsidRPr="003730B5">
        <w:t>k </w:t>
      </w:r>
      <w:r w:rsidRPr="003730B5">
        <w:t>sjednocení se sazbou daně stanovenou pro topné oleje</w:t>
      </w:r>
      <w:r w:rsidR="008F7681" w:rsidRPr="003730B5">
        <w:t xml:space="preserve">. </w:t>
      </w:r>
    </w:p>
    <w:p w14:paraId="7B166EC9" w14:textId="488C9B07" w:rsidR="008F7681" w:rsidRPr="003730B5" w:rsidRDefault="00B24CAD" w:rsidP="00447D7F">
      <w:pPr>
        <w:pStyle w:val="Nadpis2"/>
        <w:numPr>
          <w:ilvl w:val="4"/>
          <w:numId w:val="28"/>
        </w:numPr>
        <w:shd w:val="clear" w:color="auto" w:fill="FFFFFF"/>
        <w:tabs>
          <w:tab w:val="left" w:pos="567"/>
        </w:tabs>
        <w:jc w:val="both"/>
        <w:rPr>
          <w:i/>
          <w:sz w:val="24"/>
        </w:rPr>
      </w:pPr>
      <w:r w:rsidRPr="003730B5">
        <w:rPr>
          <w:i/>
          <w:sz w:val="24"/>
        </w:rPr>
        <w:t xml:space="preserve">Změna sazeb daně </w:t>
      </w:r>
      <w:r w:rsidR="00E712DE" w:rsidRPr="003730B5">
        <w:rPr>
          <w:i/>
          <w:sz w:val="24"/>
        </w:rPr>
        <w:t>z </w:t>
      </w:r>
      <w:r w:rsidRPr="003730B5">
        <w:rPr>
          <w:i/>
          <w:sz w:val="24"/>
        </w:rPr>
        <w:t xml:space="preserve">tabákových výrobků </w:t>
      </w:r>
      <w:r w:rsidR="00E712DE" w:rsidRPr="003730B5">
        <w:rPr>
          <w:i/>
          <w:sz w:val="24"/>
        </w:rPr>
        <w:t>a </w:t>
      </w:r>
      <w:r w:rsidRPr="003730B5">
        <w:rPr>
          <w:i/>
          <w:sz w:val="24"/>
        </w:rPr>
        <w:t xml:space="preserve">zahřívaného tabáku </w:t>
      </w:r>
      <w:r w:rsidR="00E712DE" w:rsidRPr="003730B5">
        <w:rPr>
          <w:i/>
          <w:sz w:val="24"/>
        </w:rPr>
        <w:t>a </w:t>
      </w:r>
      <w:r w:rsidRPr="003730B5">
        <w:rPr>
          <w:i/>
          <w:sz w:val="24"/>
        </w:rPr>
        <w:t>zavedení daně z alternativních výrobků</w:t>
      </w:r>
    </w:p>
    <w:p w14:paraId="26A5009E" w14:textId="77777777" w:rsidR="008F7681" w:rsidRPr="003730B5" w:rsidRDefault="008F7681" w:rsidP="00447D7F">
      <w:pPr>
        <w:keepNext/>
        <w:widowControl w:val="0"/>
        <w:spacing w:after="120"/>
        <w:rPr>
          <w:u w:val="single"/>
        </w:rPr>
      </w:pPr>
      <w:r w:rsidRPr="003730B5">
        <w:rPr>
          <w:u w:val="single"/>
        </w:rPr>
        <w:t>Popis a zhodnocení současného stavu: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06"/>
      </w:tblGrid>
      <w:tr w:rsidR="00D7518A" w:rsidRPr="003730B5" w14:paraId="18B63164" w14:textId="77777777" w:rsidTr="00447D7F">
        <w:trPr>
          <w:trHeight w:hRule="exact" w:val="284"/>
        </w:trPr>
        <w:tc>
          <w:tcPr>
            <w:tcW w:w="3256" w:type="dxa"/>
            <w:shd w:val="clear" w:color="auto" w:fill="DBE5F1" w:themeFill="accent1" w:themeFillTint="33"/>
            <w:vAlign w:val="center"/>
          </w:tcPr>
          <w:p w14:paraId="733922FF" w14:textId="77777777" w:rsidR="00D7518A" w:rsidRPr="003730B5" w:rsidRDefault="00D7518A" w:rsidP="00447D7F">
            <w:pPr>
              <w:keepNext/>
              <w:keepLines/>
              <w:rPr>
                <w:sz w:val="20"/>
              </w:rPr>
            </w:pPr>
            <w:r w:rsidRPr="003730B5">
              <w:rPr>
                <w:sz w:val="20"/>
              </w:rPr>
              <w:t>Cigarety</w:t>
            </w:r>
          </w:p>
        </w:tc>
        <w:tc>
          <w:tcPr>
            <w:tcW w:w="5806" w:type="dxa"/>
            <w:vAlign w:val="center"/>
          </w:tcPr>
          <w:p w14:paraId="72008333" w14:textId="77777777" w:rsidR="00D7518A" w:rsidRPr="003730B5" w:rsidRDefault="00D7518A" w:rsidP="00447D7F">
            <w:pPr>
              <w:keepNext/>
              <w:keepLines/>
              <w:rPr>
                <w:sz w:val="20"/>
              </w:rPr>
            </w:pPr>
            <w:r w:rsidRPr="003730B5">
              <w:rPr>
                <w:sz w:val="20"/>
              </w:rPr>
              <w:t xml:space="preserve">30 % z maloobchodní ceny + 1,97 Kč/kus nebo min. 3,52 Kč/kus </w:t>
            </w:r>
          </w:p>
        </w:tc>
      </w:tr>
      <w:tr w:rsidR="00D7518A" w:rsidRPr="003730B5" w14:paraId="56AAAC29" w14:textId="77777777" w:rsidTr="00447D7F">
        <w:trPr>
          <w:trHeight w:hRule="exact" w:val="284"/>
        </w:trPr>
        <w:tc>
          <w:tcPr>
            <w:tcW w:w="3256" w:type="dxa"/>
            <w:shd w:val="clear" w:color="auto" w:fill="DBE5F1" w:themeFill="accent1" w:themeFillTint="33"/>
            <w:vAlign w:val="center"/>
          </w:tcPr>
          <w:p w14:paraId="20919888" w14:textId="77777777" w:rsidR="00D7518A" w:rsidRPr="003730B5" w:rsidRDefault="00D7518A" w:rsidP="00447D7F">
            <w:pPr>
              <w:keepNext/>
              <w:keepLines/>
              <w:rPr>
                <w:sz w:val="20"/>
              </w:rPr>
            </w:pPr>
            <w:r w:rsidRPr="003730B5">
              <w:rPr>
                <w:sz w:val="20"/>
              </w:rPr>
              <w:t>Zahřívané tabákové výrobky</w:t>
            </w:r>
          </w:p>
        </w:tc>
        <w:tc>
          <w:tcPr>
            <w:tcW w:w="5806" w:type="dxa"/>
            <w:vAlign w:val="center"/>
          </w:tcPr>
          <w:p w14:paraId="0C954CA9" w14:textId="5AF341FF" w:rsidR="00D7518A" w:rsidRPr="003730B5" w:rsidRDefault="00E712DE" w:rsidP="00447D7F">
            <w:pPr>
              <w:keepNext/>
              <w:keepLines/>
              <w:rPr>
                <w:sz w:val="20"/>
              </w:rPr>
            </w:pPr>
            <w:r w:rsidRPr="003730B5">
              <w:rPr>
                <w:sz w:val="20"/>
              </w:rPr>
              <w:t>3 </w:t>
            </w:r>
            <w:r w:rsidR="00D7518A" w:rsidRPr="003730B5">
              <w:rPr>
                <w:sz w:val="20"/>
              </w:rPr>
              <w:t>Kč/g</w:t>
            </w:r>
          </w:p>
        </w:tc>
      </w:tr>
      <w:tr w:rsidR="00D7518A" w:rsidRPr="003730B5" w14:paraId="21847B2D" w14:textId="77777777" w:rsidTr="00447D7F">
        <w:trPr>
          <w:trHeight w:hRule="exact" w:val="284"/>
        </w:trPr>
        <w:tc>
          <w:tcPr>
            <w:tcW w:w="3256" w:type="dxa"/>
            <w:shd w:val="clear" w:color="auto" w:fill="DBE5F1" w:themeFill="accent1" w:themeFillTint="33"/>
            <w:vAlign w:val="center"/>
          </w:tcPr>
          <w:p w14:paraId="6C9B86A5" w14:textId="5F8C9B9C" w:rsidR="00D7518A" w:rsidRPr="003730B5" w:rsidRDefault="00D7518A" w:rsidP="00447D7F">
            <w:pPr>
              <w:keepNext/>
              <w:keepLines/>
              <w:rPr>
                <w:sz w:val="20"/>
              </w:rPr>
            </w:pPr>
            <w:r w:rsidRPr="003730B5">
              <w:rPr>
                <w:sz w:val="20"/>
              </w:rPr>
              <w:t xml:space="preserve">Tabák </w:t>
            </w:r>
            <w:r w:rsidR="00E712DE" w:rsidRPr="003730B5">
              <w:rPr>
                <w:sz w:val="20"/>
              </w:rPr>
              <w:t>k </w:t>
            </w:r>
            <w:r w:rsidRPr="003730B5">
              <w:rPr>
                <w:sz w:val="20"/>
              </w:rPr>
              <w:t>ručnímu balení cigaret</w:t>
            </w:r>
          </w:p>
        </w:tc>
        <w:tc>
          <w:tcPr>
            <w:tcW w:w="5806" w:type="dxa"/>
            <w:vAlign w:val="center"/>
          </w:tcPr>
          <w:p w14:paraId="25895B68" w14:textId="556620C9" w:rsidR="00D7518A" w:rsidRPr="003730B5" w:rsidRDefault="00CA40A9" w:rsidP="00447D7F">
            <w:pPr>
              <w:keepNext/>
              <w:keepLines/>
              <w:rPr>
                <w:sz w:val="20"/>
              </w:rPr>
            </w:pPr>
            <w:r w:rsidRPr="003730B5">
              <w:rPr>
                <w:sz w:val="20"/>
              </w:rPr>
              <w:t>3 </w:t>
            </w:r>
            <w:r w:rsidR="00D7518A" w:rsidRPr="003730B5">
              <w:rPr>
                <w:sz w:val="20"/>
              </w:rPr>
              <w:t>000 Kč/kg</w:t>
            </w:r>
          </w:p>
        </w:tc>
      </w:tr>
      <w:tr w:rsidR="00D7518A" w:rsidRPr="003730B5" w14:paraId="3A068374" w14:textId="77777777" w:rsidTr="00447D7F">
        <w:trPr>
          <w:trHeight w:hRule="exact" w:val="284"/>
        </w:trPr>
        <w:tc>
          <w:tcPr>
            <w:tcW w:w="3256" w:type="dxa"/>
            <w:shd w:val="clear" w:color="auto" w:fill="DBE5F1" w:themeFill="accent1" w:themeFillTint="33"/>
            <w:vAlign w:val="center"/>
          </w:tcPr>
          <w:p w14:paraId="72763161" w14:textId="77777777" w:rsidR="00D7518A" w:rsidRPr="003730B5" w:rsidRDefault="00D7518A" w:rsidP="00447D7F">
            <w:pPr>
              <w:keepNext/>
              <w:keepLines/>
              <w:rPr>
                <w:sz w:val="20"/>
              </w:rPr>
            </w:pPr>
            <w:r w:rsidRPr="003730B5">
              <w:rPr>
                <w:sz w:val="20"/>
              </w:rPr>
              <w:t>Doutníky</w:t>
            </w:r>
          </w:p>
        </w:tc>
        <w:tc>
          <w:tcPr>
            <w:tcW w:w="5806" w:type="dxa"/>
            <w:vAlign w:val="center"/>
          </w:tcPr>
          <w:p w14:paraId="3B5153BE" w14:textId="77777777" w:rsidR="00D7518A" w:rsidRPr="003730B5" w:rsidRDefault="00D7518A" w:rsidP="00447D7F">
            <w:pPr>
              <w:keepNext/>
              <w:keepLines/>
              <w:rPr>
                <w:sz w:val="20"/>
              </w:rPr>
            </w:pPr>
            <w:r w:rsidRPr="003730B5">
              <w:rPr>
                <w:sz w:val="20"/>
              </w:rPr>
              <w:t>2,29 Kč/kus</w:t>
            </w:r>
          </w:p>
        </w:tc>
      </w:tr>
      <w:tr w:rsidR="00D7518A" w:rsidRPr="003730B5" w14:paraId="7AD15EDE" w14:textId="77777777" w:rsidTr="00447D7F">
        <w:trPr>
          <w:trHeight w:hRule="exact" w:val="284"/>
        </w:trPr>
        <w:tc>
          <w:tcPr>
            <w:tcW w:w="3256" w:type="dxa"/>
            <w:shd w:val="clear" w:color="auto" w:fill="DBE5F1" w:themeFill="accent1" w:themeFillTint="33"/>
            <w:vAlign w:val="center"/>
          </w:tcPr>
          <w:p w14:paraId="26EDD468" w14:textId="77777777" w:rsidR="00D7518A" w:rsidRPr="003730B5" w:rsidRDefault="00D7518A" w:rsidP="00447D7F">
            <w:pPr>
              <w:keepNext/>
              <w:keepLines/>
              <w:rPr>
                <w:sz w:val="20"/>
              </w:rPr>
            </w:pPr>
            <w:r w:rsidRPr="003730B5">
              <w:rPr>
                <w:sz w:val="20"/>
              </w:rPr>
              <w:t>Cigarillos (malé doutníčky)</w:t>
            </w:r>
          </w:p>
        </w:tc>
        <w:tc>
          <w:tcPr>
            <w:tcW w:w="5806" w:type="dxa"/>
            <w:vAlign w:val="center"/>
          </w:tcPr>
          <w:p w14:paraId="0CFA5667" w14:textId="77777777" w:rsidR="00D7518A" w:rsidRPr="003730B5" w:rsidRDefault="00D7518A" w:rsidP="00447D7F">
            <w:pPr>
              <w:keepNext/>
              <w:keepLines/>
              <w:rPr>
                <w:sz w:val="20"/>
              </w:rPr>
            </w:pPr>
            <w:r w:rsidRPr="003730B5">
              <w:rPr>
                <w:sz w:val="20"/>
              </w:rPr>
              <w:t>2,29 Kč/kus</w:t>
            </w:r>
          </w:p>
        </w:tc>
      </w:tr>
      <w:tr w:rsidR="00D7518A" w:rsidRPr="003730B5" w14:paraId="0FAC7279" w14:textId="77777777" w:rsidTr="00447D7F">
        <w:trPr>
          <w:trHeight w:hRule="exact" w:val="284"/>
        </w:trPr>
        <w:tc>
          <w:tcPr>
            <w:tcW w:w="3256" w:type="dxa"/>
            <w:shd w:val="clear" w:color="auto" w:fill="DBE5F1" w:themeFill="accent1" w:themeFillTint="33"/>
            <w:vAlign w:val="center"/>
          </w:tcPr>
          <w:p w14:paraId="4D31665B" w14:textId="77777777" w:rsidR="00D7518A" w:rsidRPr="003730B5" w:rsidRDefault="00D7518A" w:rsidP="00447D7F">
            <w:pPr>
              <w:keepNext/>
              <w:keepLines/>
              <w:rPr>
                <w:sz w:val="20"/>
              </w:rPr>
            </w:pPr>
            <w:r w:rsidRPr="003730B5">
              <w:rPr>
                <w:sz w:val="20"/>
              </w:rPr>
              <w:t>Náplně do e-cigaret</w:t>
            </w:r>
          </w:p>
        </w:tc>
        <w:tc>
          <w:tcPr>
            <w:tcW w:w="5806" w:type="dxa"/>
            <w:vAlign w:val="center"/>
          </w:tcPr>
          <w:p w14:paraId="7B3086B3" w14:textId="77777777" w:rsidR="00D7518A" w:rsidRPr="003730B5" w:rsidRDefault="00D7518A" w:rsidP="00447D7F">
            <w:pPr>
              <w:keepNext/>
              <w:keepLines/>
              <w:rPr>
                <w:sz w:val="20"/>
              </w:rPr>
            </w:pPr>
            <w:r w:rsidRPr="003730B5">
              <w:rPr>
                <w:sz w:val="20"/>
              </w:rPr>
              <w:t>nepodléhá spotřební dani</w:t>
            </w:r>
          </w:p>
        </w:tc>
      </w:tr>
      <w:tr w:rsidR="00D7518A" w:rsidRPr="003730B5" w14:paraId="03F5F598" w14:textId="77777777" w:rsidTr="00447D7F">
        <w:trPr>
          <w:trHeight w:hRule="exact" w:val="284"/>
        </w:trPr>
        <w:tc>
          <w:tcPr>
            <w:tcW w:w="3256" w:type="dxa"/>
            <w:shd w:val="clear" w:color="auto" w:fill="DBE5F1" w:themeFill="accent1" w:themeFillTint="33"/>
            <w:vAlign w:val="center"/>
          </w:tcPr>
          <w:p w14:paraId="65B03FBB" w14:textId="77777777" w:rsidR="00D7518A" w:rsidRPr="003730B5" w:rsidRDefault="00D7518A" w:rsidP="00447D7F">
            <w:pPr>
              <w:keepNext/>
              <w:keepLines/>
              <w:rPr>
                <w:sz w:val="20"/>
              </w:rPr>
            </w:pPr>
            <w:r w:rsidRPr="003730B5">
              <w:rPr>
                <w:sz w:val="20"/>
              </w:rPr>
              <w:t>Nikotinové sáčky</w:t>
            </w:r>
          </w:p>
        </w:tc>
        <w:tc>
          <w:tcPr>
            <w:tcW w:w="5806" w:type="dxa"/>
            <w:vAlign w:val="center"/>
          </w:tcPr>
          <w:p w14:paraId="3589D67B" w14:textId="77777777" w:rsidR="00D7518A" w:rsidRPr="003730B5" w:rsidRDefault="00D7518A" w:rsidP="00447D7F">
            <w:pPr>
              <w:keepNext/>
              <w:keepLines/>
              <w:rPr>
                <w:sz w:val="20"/>
              </w:rPr>
            </w:pPr>
            <w:r w:rsidRPr="003730B5">
              <w:rPr>
                <w:sz w:val="20"/>
              </w:rPr>
              <w:t>nepodléhá spotřební dani</w:t>
            </w:r>
          </w:p>
        </w:tc>
      </w:tr>
    </w:tbl>
    <w:p w14:paraId="0DDB7195" w14:textId="77777777" w:rsidR="00D7518A" w:rsidRPr="003730B5" w:rsidRDefault="00D7518A" w:rsidP="00D7518A">
      <w:pPr>
        <w:widowControl w:val="0"/>
        <w:spacing w:before="120" w:after="120"/>
      </w:pPr>
      <w:r w:rsidRPr="003730B5">
        <w:t>Příklad daně v praxi:</w:t>
      </w:r>
    </w:p>
    <w:p w14:paraId="36A11ECC" w14:textId="77777777" w:rsidR="00D7518A" w:rsidRPr="003730B5" w:rsidRDefault="00D7518A" w:rsidP="00D16775">
      <w:pPr>
        <w:pStyle w:val="Odstavecseseznamem"/>
        <w:widowControl w:val="0"/>
        <w:numPr>
          <w:ilvl w:val="0"/>
          <w:numId w:val="35"/>
        </w:numPr>
        <w:spacing w:after="120"/>
      </w:pPr>
      <w:r w:rsidRPr="003730B5">
        <w:t>Krabička Marlboro (20 kusů cigaret) - daň 81,40 Kč.</w:t>
      </w:r>
    </w:p>
    <w:p w14:paraId="5E273E64" w14:textId="77777777" w:rsidR="00D7518A" w:rsidRPr="003730B5" w:rsidRDefault="00D7518A" w:rsidP="00D16775">
      <w:pPr>
        <w:pStyle w:val="Odstavecseseznamem"/>
        <w:widowControl w:val="0"/>
        <w:numPr>
          <w:ilvl w:val="0"/>
          <w:numId w:val="35"/>
        </w:numPr>
        <w:spacing w:after="120"/>
      </w:pPr>
      <w:r w:rsidRPr="003730B5">
        <w:t>Krabička Heets (20 kusů) - daň 16,20 Kč.</w:t>
      </w:r>
    </w:p>
    <w:p w14:paraId="22916AB5" w14:textId="65854004" w:rsidR="00D7518A" w:rsidRPr="003730B5" w:rsidRDefault="00D7518A" w:rsidP="00D16775">
      <w:pPr>
        <w:pStyle w:val="Odstavecseseznamem"/>
        <w:widowControl w:val="0"/>
        <w:numPr>
          <w:ilvl w:val="0"/>
          <w:numId w:val="35"/>
        </w:numPr>
        <w:spacing w:after="120"/>
      </w:pPr>
      <w:r w:rsidRPr="003730B5">
        <w:t xml:space="preserve">Balení tabáku </w:t>
      </w:r>
      <w:r w:rsidR="00E712DE" w:rsidRPr="003730B5">
        <w:t>o </w:t>
      </w:r>
      <w:r w:rsidRPr="003730B5">
        <w:t xml:space="preserve">hmotnosti 30 </w:t>
      </w:r>
      <w:r w:rsidR="00E712DE" w:rsidRPr="003730B5">
        <w:t>g </w:t>
      </w:r>
      <w:r w:rsidRPr="003730B5">
        <w:t>- daň 90 Kč.</w:t>
      </w:r>
    </w:p>
    <w:p w14:paraId="3FB75634" w14:textId="1232D8EE" w:rsidR="00D7518A" w:rsidRPr="003730B5" w:rsidRDefault="00D7518A" w:rsidP="00D16775">
      <w:pPr>
        <w:pStyle w:val="Odstavecseseznamem"/>
        <w:widowControl w:val="0"/>
        <w:numPr>
          <w:ilvl w:val="0"/>
          <w:numId w:val="35"/>
        </w:numPr>
        <w:spacing w:after="120"/>
      </w:pPr>
      <w:r w:rsidRPr="003730B5">
        <w:t xml:space="preserve">Balení </w:t>
      </w:r>
      <w:r w:rsidR="00E712DE" w:rsidRPr="003730B5">
        <w:t>6 </w:t>
      </w:r>
      <w:r w:rsidRPr="003730B5">
        <w:t>ks doutníků - daň 13,74 Kč.</w:t>
      </w:r>
    </w:p>
    <w:p w14:paraId="7772E86C" w14:textId="77777777" w:rsidR="00D7518A" w:rsidRPr="003730B5" w:rsidRDefault="00D7518A" w:rsidP="00D7518A">
      <w:pPr>
        <w:widowControl w:val="0"/>
        <w:spacing w:after="120"/>
      </w:pPr>
      <w:r w:rsidRPr="003730B5">
        <w:t xml:space="preserve">S koncem roku 2023 končí tříletý harmonogram postupného zvyšování sazeb spotřební daně u tabákových výrobků. </w:t>
      </w:r>
    </w:p>
    <w:p w14:paraId="0E4B67C8" w14:textId="2460C0DF" w:rsidR="00D7518A" w:rsidRPr="003730B5" w:rsidRDefault="00E712DE" w:rsidP="00D7518A">
      <w:pPr>
        <w:widowControl w:val="0"/>
        <w:spacing w:after="120"/>
      </w:pPr>
      <w:r w:rsidRPr="003730B5">
        <w:t>U </w:t>
      </w:r>
      <w:r w:rsidR="00D7518A" w:rsidRPr="003730B5">
        <w:t>alternativních tabákových výrobků platí, že zatím nejsou v rámci E</w:t>
      </w:r>
      <w:r w:rsidR="009655EE" w:rsidRPr="003730B5">
        <w:t>vropské unie</w:t>
      </w:r>
      <w:r w:rsidR="00D7518A" w:rsidRPr="003730B5">
        <w:t xml:space="preserve"> harmonizovány, neboť tyto výrobky nejsou určeny ke kouření, nebo neobsahují tabák. </w:t>
      </w:r>
    </w:p>
    <w:p w14:paraId="7DD91089" w14:textId="2ED4006E" w:rsidR="00D7518A" w:rsidRPr="003730B5" w:rsidRDefault="00D7518A" w:rsidP="00D7518A">
      <w:pPr>
        <w:widowControl w:val="0"/>
        <w:spacing w:after="120"/>
      </w:pPr>
      <w:r w:rsidRPr="003730B5">
        <w:t>V</w:t>
      </w:r>
      <w:r w:rsidR="00800776" w:rsidRPr="003730B5">
        <w:t> dohledné době</w:t>
      </w:r>
      <w:r w:rsidRPr="003730B5">
        <w:t xml:space="preserve"> bude zveřejněn </w:t>
      </w:r>
      <w:r w:rsidR="00800776" w:rsidRPr="003730B5">
        <w:t xml:space="preserve">ze strany </w:t>
      </w:r>
      <w:r w:rsidRPr="003730B5">
        <w:t>E</w:t>
      </w:r>
      <w:r w:rsidR="009655EE" w:rsidRPr="003730B5">
        <w:t>vropské unie</w:t>
      </w:r>
      <w:r w:rsidRPr="003730B5">
        <w:t xml:space="preserve"> legislativní návrh na revizi směrnice, jehož součástí bude zavedení harmonizované spotřební daně na náplně do e-cigaret </w:t>
      </w:r>
      <w:r w:rsidR="00E712DE" w:rsidRPr="003730B5">
        <w:t>a </w:t>
      </w:r>
      <w:r w:rsidRPr="003730B5">
        <w:t>nikotinové sáčky včetně stanovení EU minimální sazby.</w:t>
      </w:r>
    </w:p>
    <w:p w14:paraId="0B008BB3" w14:textId="77777777" w:rsidR="008F7681" w:rsidRPr="003730B5" w:rsidRDefault="008F7681" w:rsidP="008F7681">
      <w:pPr>
        <w:widowControl w:val="0"/>
        <w:spacing w:after="120"/>
        <w:rPr>
          <w:u w:val="single"/>
        </w:rPr>
      </w:pPr>
      <w:r w:rsidRPr="003730B5">
        <w:rPr>
          <w:u w:val="single"/>
        </w:rPr>
        <w:t>Navržené řešení:</w:t>
      </w:r>
    </w:p>
    <w:p w14:paraId="6CF3AF9C" w14:textId="77777777" w:rsidR="00800776" w:rsidRPr="003730B5" w:rsidRDefault="00800776" w:rsidP="00800776">
      <w:pPr>
        <w:widowControl w:val="0"/>
        <w:spacing w:after="120"/>
      </w:pPr>
      <w:r w:rsidRPr="003730B5">
        <w:t>V této oblasti se navrhují následující opatření:</w:t>
      </w:r>
    </w:p>
    <w:p w14:paraId="2F4784DD" w14:textId="43193A32" w:rsidR="00291098" w:rsidRPr="003730B5" w:rsidRDefault="00800776" w:rsidP="00D16775">
      <w:pPr>
        <w:pStyle w:val="Odstavecseseznamem"/>
        <w:widowControl w:val="0"/>
        <w:numPr>
          <w:ilvl w:val="0"/>
          <w:numId w:val="36"/>
        </w:numPr>
        <w:spacing w:after="120"/>
      </w:pPr>
      <w:r w:rsidRPr="003730B5">
        <w:t>Pravidelné zvýšení spotřební daně z </w:t>
      </w:r>
      <w:r w:rsidRPr="003730B5">
        <w:rPr>
          <w:b/>
        </w:rPr>
        <w:t>cigaret, tabáku na kouření, doutníků a cigarillos</w:t>
      </w:r>
      <w:r w:rsidRPr="003730B5">
        <w:t xml:space="preserve"> o 10 % v roce 2024 a o 5 % v každém roce 2025-2027. </w:t>
      </w:r>
      <w:r w:rsidR="00521904" w:rsidRPr="003730B5">
        <w:t>Z </w:t>
      </w:r>
      <w:r w:rsidR="00291098" w:rsidRPr="003730B5">
        <w:t xml:space="preserve">důvodu růstu daňového zatížení cigaret dochází </w:t>
      </w:r>
      <w:r w:rsidR="00521904" w:rsidRPr="003730B5">
        <w:t>k </w:t>
      </w:r>
      <w:r w:rsidR="00291098" w:rsidRPr="003730B5">
        <w:t xml:space="preserve">adekvátnímu zvýšení minimální daně </w:t>
      </w:r>
      <w:r w:rsidR="00521904" w:rsidRPr="003730B5">
        <w:t>u </w:t>
      </w:r>
      <w:r w:rsidR="00291098" w:rsidRPr="003730B5">
        <w:t>těchto tabákových výrobků.</w:t>
      </w:r>
    </w:p>
    <w:p w14:paraId="60553F54" w14:textId="77777777" w:rsidR="00800776" w:rsidRPr="003730B5" w:rsidRDefault="00800776" w:rsidP="00D16775">
      <w:pPr>
        <w:pStyle w:val="Odstavecseseznamem"/>
        <w:widowControl w:val="0"/>
        <w:numPr>
          <w:ilvl w:val="0"/>
          <w:numId w:val="36"/>
        </w:numPr>
        <w:spacing w:after="120"/>
      </w:pPr>
      <w:r w:rsidRPr="003730B5">
        <w:t>Pravidelné zvýšení daně u </w:t>
      </w:r>
      <w:r w:rsidRPr="003730B5">
        <w:rPr>
          <w:b/>
        </w:rPr>
        <w:t>zahřívaného tabáku</w:t>
      </w:r>
      <w:r w:rsidRPr="003730B5">
        <w:t xml:space="preserve"> o 15 % v každém roce 2024-2027. </w:t>
      </w:r>
    </w:p>
    <w:p w14:paraId="416B718D" w14:textId="3F1D274B" w:rsidR="00800776" w:rsidRPr="003730B5" w:rsidRDefault="00800776" w:rsidP="00D16775">
      <w:pPr>
        <w:pStyle w:val="Odstavecseseznamem"/>
        <w:widowControl w:val="0"/>
        <w:numPr>
          <w:ilvl w:val="0"/>
          <w:numId w:val="36"/>
        </w:numPr>
        <w:spacing w:after="120"/>
      </w:pPr>
      <w:r w:rsidRPr="003730B5">
        <w:t xml:space="preserve">Zavedení nové spotřební daně </w:t>
      </w:r>
      <w:r w:rsidR="00534ED9" w:rsidRPr="003730B5">
        <w:t>z </w:t>
      </w:r>
      <w:r w:rsidRPr="003730B5">
        <w:t xml:space="preserve">ostatních tabákových výrobků (sem bude spadat např. </w:t>
      </w:r>
      <w:r w:rsidRPr="003730B5">
        <w:rPr>
          <w:b/>
        </w:rPr>
        <w:t xml:space="preserve">žvýkací </w:t>
      </w:r>
      <w:r w:rsidR="00534ED9" w:rsidRPr="003730B5">
        <w:rPr>
          <w:b/>
        </w:rPr>
        <w:t>a </w:t>
      </w:r>
      <w:r w:rsidRPr="003730B5">
        <w:rPr>
          <w:b/>
        </w:rPr>
        <w:t>šňupací tabák</w:t>
      </w:r>
      <w:r w:rsidRPr="003730B5">
        <w:t xml:space="preserve">) </w:t>
      </w:r>
      <w:r w:rsidR="00534ED9" w:rsidRPr="003730B5">
        <w:t>a z </w:t>
      </w:r>
      <w:r w:rsidRPr="003730B5">
        <w:t xml:space="preserve">výrobků souvisejících </w:t>
      </w:r>
      <w:r w:rsidR="00534ED9" w:rsidRPr="003730B5">
        <w:t>s </w:t>
      </w:r>
      <w:r w:rsidRPr="003730B5">
        <w:t xml:space="preserve">tabákovými výrobky (zde se bude jednat např. </w:t>
      </w:r>
      <w:r w:rsidR="00534ED9" w:rsidRPr="003730B5">
        <w:t>o </w:t>
      </w:r>
      <w:r w:rsidRPr="003730B5">
        <w:rPr>
          <w:b/>
        </w:rPr>
        <w:t>nikotinové sáčky a náplně do e-cigaret</w:t>
      </w:r>
      <w:r w:rsidR="002B6A39" w:rsidRPr="003730B5">
        <w:t>, ale též výrobky obsahující nikotin, které by byly v budoucnu uvedeny na trh</w:t>
      </w:r>
      <w:r w:rsidRPr="003730B5">
        <w:rPr>
          <w:b/>
        </w:rPr>
        <w:t>)</w:t>
      </w:r>
      <w:r w:rsidRPr="003730B5">
        <w:t xml:space="preserve">. </w:t>
      </w:r>
    </w:p>
    <w:p w14:paraId="51F0079D" w14:textId="02BDA590" w:rsidR="00800776" w:rsidRPr="003730B5" w:rsidRDefault="00800776" w:rsidP="00800776">
      <w:pPr>
        <w:widowControl w:val="0"/>
        <w:spacing w:after="120"/>
      </w:pPr>
      <w:r w:rsidRPr="003730B5">
        <w:t xml:space="preserve">V souladu s principy ochrany veřejného zdraví, bojem se závislostmi a doporučeními z NERV se navrhuje pokračovat v postupném čtyřletém zvyšování spotřební daně na tyto výrobky po roce 2023, kdy končí nastavený tříletý harmonogram růstu sazeb. Rychlejší růst sazeb u zahřívaného tabáku sleduje vývoj v okolních zemích a odborníky doporučované přiblížení zdanění zahřívaného tabáku k cigaretám. Aktuálně představuje daňové zatížení náplně zahřívaného tabáku zhruba 21 % daně z kusu cigaret, v roce 2024 by měl být tento poměr na úrovni 29 %. Mechanismus nových spotřebních daní vychází z pracovní verze novely evropské tabákové směrnice, která zavede regulaci těchto produktů obsahujících nikotin včetně EU </w:t>
      </w:r>
      <w:r w:rsidRPr="003730B5">
        <w:lastRenderedPageBreak/>
        <w:t xml:space="preserve">minimálních sazeb. Zdanění tabáku do vodních dýmek se navrhuje upravit tak, aby podstatná část nákupu ke spotřebě v České republice nebyla realizována v zahraničí (čistě z důvodu vysoké daně). </w:t>
      </w:r>
    </w:p>
    <w:p w14:paraId="2EFC05F4" w14:textId="673D635F" w:rsidR="008F7681" w:rsidRPr="003730B5" w:rsidRDefault="00B24CAD" w:rsidP="00447D7F">
      <w:pPr>
        <w:keepLines/>
        <w:widowControl w:val="0"/>
        <w:spacing w:after="120"/>
      </w:pPr>
      <w:r w:rsidRPr="003730B5">
        <w:rPr>
          <w:b/>
        </w:rPr>
        <w:t>Mezinárodní srovnání:</w:t>
      </w:r>
      <w:r w:rsidRPr="003730B5">
        <w:t xml:space="preserve"> Nejvyšší minimální sazba spotřební daně </w:t>
      </w:r>
      <w:r w:rsidR="00E712DE" w:rsidRPr="003730B5">
        <w:t>z </w:t>
      </w:r>
      <w:r w:rsidRPr="003730B5">
        <w:t>cigaret je v</w:t>
      </w:r>
      <w:r w:rsidR="00220AF2" w:rsidRPr="003730B5">
        <w:t> </w:t>
      </w:r>
      <w:r w:rsidRPr="003730B5">
        <w:t>Německu</w:t>
      </w:r>
      <w:r w:rsidR="00220AF2" w:rsidRPr="003730B5">
        <w:t xml:space="preserve"> </w:t>
      </w:r>
      <w:r w:rsidRPr="003730B5">
        <w:t>(177</w:t>
      </w:r>
      <w:r w:rsidR="00220AF2" w:rsidRPr="003730B5">
        <w:t> </w:t>
      </w:r>
      <w:r w:rsidRPr="003730B5">
        <w:t>EUR/</w:t>
      </w:r>
      <w:r w:rsidR="00E712DE" w:rsidRPr="003730B5">
        <w:t>1 </w:t>
      </w:r>
      <w:r w:rsidRPr="003730B5">
        <w:t xml:space="preserve">000 ks), dále </w:t>
      </w:r>
      <w:r w:rsidR="00E712DE" w:rsidRPr="003730B5">
        <w:t>v </w:t>
      </w:r>
      <w:r w:rsidRPr="003730B5">
        <w:t xml:space="preserve">Rakousku (158 EUR), </w:t>
      </w:r>
      <w:r w:rsidR="00E712DE" w:rsidRPr="003730B5">
        <w:t>v </w:t>
      </w:r>
      <w:r w:rsidRPr="003730B5">
        <w:t xml:space="preserve">České republice (144 EUR), na Slovensku (132 EUR) </w:t>
      </w:r>
      <w:r w:rsidR="00E712DE" w:rsidRPr="003730B5">
        <w:t>a </w:t>
      </w:r>
      <w:r w:rsidRPr="003730B5">
        <w:t xml:space="preserve">na posledním místě </w:t>
      </w:r>
      <w:r w:rsidR="00E712DE" w:rsidRPr="003730B5">
        <w:t>v </w:t>
      </w:r>
      <w:r w:rsidRPr="003730B5">
        <w:t xml:space="preserve">Polsku (107 EUR). Polsko uplatňuje </w:t>
      </w:r>
      <w:r w:rsidR="00E712DE" w:rsidRPr="003730B5">
        <w:t>v </w:t>
      </w:r>
      <w:r w:rsidRPr="003730B5">
        <w:t xml:space="preserve">letech 2023-2026 víceletý plán navyšování sazeb ze všech tabákových výrobků ve výši 10 % ročně. </w:t>
      </w:r>
      <w:r w:rsidR="00E712DE" w:rsidRPr="003730B5">
        <w:t>K </w:t>
      </w:r>
      <w:r w:rsidRPr="003730B5">
        <w:t xml:space="preserve">mírnému navyšování </w:t>
      </w:r>
      <w:r w:rsidR="00E712DE" w:rsidRPr="003730B5">
        <w:t>v </w:t>
      </w:r>
      <w:r w:rsidRPr="003730B5">
        <w:t xml:space="preserve">posledním roce přistoupily všechny okolní země </w:t>
      </w:r>
      <w:r w:rsidR="00E712DE" w:rsidRPr="003730B5">
        <w:t>s </w:t>
      </w:r>
      <w:r w:rsidRPr="003730B5">
        <w:t>výjimkou Rakouska.</w:t>
      </w:r>
    </w:p>
    <w:p w14:paraId="1ACF8288" w14:textId="331F1E4D" w:rsidR="008F7681" w:rsidRPr="003730B5" w:rsidRDefault="00F25A0C" w:rsidP="008F7681">
      <w:pPr>
        <w:pStyle w:val="Nadpis2"/>
        <w:widowControl w:val="0"/>
        <w:numPr>
          <w:ilvl w:val="4"/>
          <w:numId w:val="28"/>
        </w:numPr>
        <w:shd w:val="clear" w:color="auto" w:fill="FFFFFF"/>
        <w:tabs>
          <w:tab w:val="left" w:pos="567"/>
        </w:tabs>
        <w:jc w:val="both"/>
        <w:rPr>
          <w:i/>
          <w:sz w:val="24"/>
        </w:rPr>
      </w:pPr>
      <w:r w:rsidRPr="003730B5">
        <w:rPr>
          <w:i/>
          <w:sz w:val="24"/>
        </w:rPr>
        <w:t>Z</w:t>
      </w:r>
      <w:r w:rsidR="008F7681" w:rsidRPr="003730B5">
        <w:rPr>
          <w:i/>
          <w:sz w:val="24"/>
        </w:rPr>
        <w:t>měna sazeb</w:t>
      </w:r>
      <w:r w:rsidRPr="003730B5">
        <w:rPr>
          <w:i/>
          <w:sz w:val="24"/>
        </w:rPr>
        <w:t xml:space="preserve"> daně </w:t>
      </w:r>
      <w:r w:rsidR="00E712DE" w:rsidRPr="003730B5">
        <w:rPr>
          <w:i/>
          <w:sz w:val="24"/>
        </w:rPr>
        <w:t>z </w:t>
      </w:r>
      <w:r w:rsidRPr="003730B5">
        <w:rPr>
          <w:i/>
          <w:sz w:val="24"/>
        </w:rPr>
        <w:t>lihu</w:t>
      </w:r>
    </w:p>
    <w:p w14:paraId="25CF5F38" w14:textId="77777777" w:rsidR="008F7681" w:rsidRPr="003730B5" w:rsidRDefault="008F7681" w:rsidP="008F7681">
      <w:pPr>
        <w:widowControl w:val="0"/>
        <w:spacing w:after="120"/>
        <w:rPr>
          <w:u w:val="single"/>
        </w:rPr>
      </w:pPr>
      <w:r w:rsidRPr="003730B5">
        <w:rPr>
          <w:u w:val="single"/>
        </w:rPr>
        <w:t>Popis a zhodnocení současného stavu: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822"/>
      </w:tblGrid>
      <w:tr w:rsidR="00220AF2" w:rsidRPr="003730B5" w14:paraId="41803EB9" w14:textId="77777777" w:rsidTr="00447D7F">
        <w:trPr>
          <w:trHeight w:hRule="exact" w:val="284"/>
          <w:jc w:val="center"/>
        </w:trPr>
        <w:tc>
          <w:tcPr>
            <w:tcW w:w="5240" w:type="dxa"/>
            <w:shd w:val="clear" w:color="auto" w:fill="DBE5F1" w:themeFill="accent1" w:themeFillTint="33"/>
            <w:vAlign w:val="center"/>
          </w:tcPr>
          <w:p w14:paraId="796CB059" w14:textId="77777777" w:rsidR="00220AF2" w:rsidRPr="003730B5" w:rsidRDefault="00220AF2" w:rsidP="00817366">
            <w:pPr>
              <w:rPr>
                <w:sz w:val="20"/>
              </w:rPr>
            </w:pPr>
            <w:r w:rsidRPr="003730B5">
              <w:rPr>
                <w:sz w:val="20"/>
              </w:rPr>
              <w:t>Líh obsažený ve výrobcích</w:t>
            </w:r>
          </w:p>
        </w:tc>
        <w:tc>
          <w:tcPr>
            <w:tcW w:w="3822" w:type="dxa"/>
            <w:vAlign w:val="center"/>
          </w:tcPr>
          <w:p w14:paraId="59B64BA1" w14:textId="77777777" w:rsidR="00220AF2" w:rsidRPr="003730B5" w:rsidRDefault="00220AF2" w:rsidP="00817366">
            <w:pPr>
              <w:rPr>
                <w:sz w:val="20"/>
              </w:rPr>
            </w:pPr>
            <w:r w:rsidRPr="003730B5">
              <w:rPr>
                <w:sz w:val="20"/>
              </w:rPr>
              <w:t>32 250 Kč/hl etanolu (100 %)</w:t>
            </w:r>
          </w:p>
        </w:tc>
      </w:tr>
      <w:tr w:rsidR="00220AF2" w:rsidRPr="003730B5" w14:paraId="682A88EA" w14:textId="77777777" w:rsidTr="00447D7F">
        <w:trPr>
          <w:trHeight w:hRule="exact" w:val="284"/>
          <w:jc w:val="center"/>
        </w:trPr>
        <w:tc>
          <w:tcPr>
            <w:tcW w:w="5240" w:type="dxa"/>
            <w:shd w:val="clear" w:color="auto" w:fill="DBE5F1" w:themeFill="accent1" w:themeFillTint="33"/>
            <w:vAlign w:val="center"/>
          </w:tcPr>
          <w:p w14:paraId="6FF313E0" w14:textId="2A6D8D4E" w:rsidR="00220AF2" w:rsidRPr="003730B5" w:rsidRDefault="00220AF2" w:rsidP="00817366">
            <w:pPr>
              <w:rPr>
                <w:sz w:val="20"/>
              </w:rPr>
            </w:pPr>
            <w:r w:rsidRPr="003730B5">
              <w:rPr>
                <w:sz w:val="20"/>
              </w:rPr>
              <w:t xml:space="preserve">Líh obsažený v destilátech </w:t>
            </w:r>
            <w:r w:rsidR="00E712DE" w:rsidRPr="003730B5">
              <w:rPr>
                <w:sz w:val="20"/>
              </w:rPr>
              <w:t>z </w:t>
            </w:r>
            <w:r w:rsidRPr="003730B5">
              <w:rPr>
                <w:sz w:val="20"/>
              </w:rPr>
              <w:t>pěstitelského pálení</w:t>
            </w:r>
          </w:p>
        </w:tc>
        <w:tc>
          <w:tcPr>
            <w:tcW w:w="3822" w:type="dxa"/>
            <w:vAlign w:val="center"/>
          </w:tcPr>
          <w:p w14:paraId="5B4E5BF4" w14:textId="77777777" w:rsidR="00220AF2" w:rsidRPr="003730B5" w:rsidRDefault="00220AF2" w:rsidP="00817366">
            <w:pPr>
              <w:rPr>
                <w:sz w:val="20"/>
              </w:rPr>
            </w:pPr>
            <w:r w:rsidRPr="003730B5">
              <w:rPr>
                <w:sz w:val="20"/>
              </w:rPr>
              <w:t>16 200 Kč/hl etanolu (100 %)</w:t>
            </w:r>
          </w:p>
        </w:tc>
      </w:tr>
    </w:tbl>
    <w:p w14:paraId="42D35AB7" w14:textId="77777777" w:rsidR="00220AF2" w:rsidRPr="003730B5" w:rsidRDefault="00220AF2" w:rsidP="00220AF2">
      <w:pPr>
        <w:widowControl w:val="0"/>
        <w:spacing w:before="120" w:after="120"/>
      </w:pPr>
      <w:r w:rsidRPr="003730B5">
        <w:t>Příklad daně v praxi:</w:t>
      </w:r>
    </w:p>
    <w:p w14:paraId="414BF2ED" w14:textId="525600A8" w:rsidR="00220AF2" w:rsidRPr="003730B5" w:rsidRDefault="00220AF2" w:rsidP="00D16775">
      <w:pPr>
        <w:pStyle w:val="Odstavecseseznamem"/>
        <w:widowControl w:val="0"/>
        <w:numPr>
          <w:ilvl w:val="0"/>
          <w:numId w:val="37"/>
        </w:numPr>
        <w:spacing w:after="120"/>
      </w:pPr>
      <w:r w:rsidRPr="003730B5">
        <w:t>0,</w:t>
      </w:r>
      <w:r w:rsidR="00E712DE" w:rsidRPr="003730B5">
        <w:t>5 l </w:t>
      </w:r>
      <w:r w:rsidRPr="003730B5">
        <w:t>rumu, vodky (40 %) - daň 64,50 Kč.</w:t>
      </w:r>
    </w:p>
    <w:p w14:paraId="19B33CC6" w14:textId="184CE67E" w:rsidR="00220AF2" w:rsidRPr="003730B5" w:rsidRDefault="00220AF2" w:rsidP="00220AF2">
      <w:pPr>
        <w:widowControl w:val="0"/>
        <w:spacing w:after="120"/>
      </w:pPr>
      <w:r w:rsidRPr="003730B5">
        <w:t>Sazba daně z lihu obsaženého v destilátech z pěstitelského pálení (tj. vlastní ovoce, destilát pro vlastní spotřebu) je ve výši 50 % základní sazby umožněna na základě vyjednané trvalé výjimky v</w:t>
      </w:r>
      <w:r w:rsidR="009655EE" w:rsidRPr="003730B5">
        <w:t> </w:t>
      </w:r>
      <w:r w:rsidRPr="003730B5">
        <w:t>E</w:t>
      </w:r>
      <w:r w:rsidR="009655EE" w:rsidRPr="003730B5">
        <w:t>vropské unii</w:t>
      </w:r>
      <w:r w:rsidRPr="003730B5">
        <w:t xml:space="preserve">. </w:t>
      </w:r>
    </w:p>
    <w:p w14:paraId="3F6A827C" w14:textId="77777777" w:rsidR="008F7681" w:rsidRPr="003730B5" w:rsidRDefault="008F7681" w:rsidP="008F7681">
      <w:pPr>
        <w:widowControl w:val="0"/>
        <w:spacing w:after="120"/>
        <w:rPr>
          <w:u w:val="single"/>
        </w:rPr>
      </w:pPr>
      <w:r w:rsidRPr="003730B5">
        <w:rPr>
          <w:u w:val="single"/>
        </w:rPr>
        <w:t>Navržené řešení:</w:t>
      </w:r>
    </w:p>
    <w:p w14:paraId="1492B0C0" w14:textId="019E0A7F" w:rsidR="00F25A0C" w:rsidRPr="003730B5" w:rsidRDefault="00220AF2" w:rsidP="00F25A0C">
      <w:pPr>
        <w:widowControl w:val="0"/>
        <w:spacing w:after="120"/>
      </w:pPr>
      <w:r w:rsidRPr="003730B5">
        <w:t>Pravidelné z</w:t>
      </w:r>
      <w:r w:rsidR="00F25A0C" w:rsidRPr="003730B5">
        <w:t xml:space="preserve">výšení spotřební daně </w:t>
      </w:r>
      <w:r w:rsidR="00E712DE" w:rsidRPr="003730B5">
        <w:t>z </w:t>
      </w:r>
      <w:r w:rsidR="00F25A0C" w:rsidRPr="003730B5">
        <w:t xml:space="preserve">lihu </w:t>
      </w:r>
      <w:r w:rsidR="00E712DE" w:rsidRPr="003730B5">
        <w:t>o </w:t>
      </w:r>
      <w:r w:rsidR="00F25A0C" w:rsidRPr="003730B5">
        <w:t xml:space="preserve">10 % </w:t>
      </w:r>
      <w:r w:rsidR="00E712DE" w:rsidRPr="003730B5">
        <w:t>v </w:t>
      </w:r>
      <w:r w:rsidR="00F25A0C" w:rsidRPr="003730B5">
        <w:t xml:space="preserve">roce 2024 </w:t>
      </w:r>
      <w:r w:rsidR="00E712DE" w:rsidRPr="003730B5">
        <w:t>a o 5 </w:t>
      </w:r>
      <w:r w:rsidR="00F25A0C" w:rsidRPr="003730B5">
        <w:t xml:space="preserve">% </w:t>
      </w:r>
      <w:r w:rsidR="00E712DE" w:rsidRPr="003730B5">
        <w:t>v </w:t>
      </w:r>
      <w:r w:rsidR="00F25A0C" w:rsidRPr="003730B5">
        <w:t xml:space="preserve">každém roce 2025-2027. </w:t>
      </w:r>
    </w:p>
    <w:p w14:paraId="5A937FED" w14:textId="1A8E57E8" w:rsidR="00F25A0C" w:rsidRPr="003730B5" w:rsidRDefault="00E712DE" w:rsidP="00F25A0C">
      <w:pPr>
        <w:widowControl w:val="0"/>
        <w:spacing w:after="120"/>
      </w:pPr>
      <w:r w:rsidRPr="003730B5">
        <w:t>V </w:t>
      </w:r>
      <w:r w:rsidR="00F25A0C" w:rsidRPr="003730B5">
        <w:t xml:space="preserve">souladu </w:t>
      </w:r>
      <w:r w:rsidRPr="003730B5">
        <w:t>s </w:t>
      </w:r>
      <w:r w:rsidR="00F25A0C" w:rsidRPr="003730B5">
        <w:t xml:space="preserve">principy ochrany veřejného zdraví, bojem se závislostmi </w:t>
      </w:r>
      <w:r w:rsidRPr="003730B5">
        <w:t>a </w:t>
      </w:r>
      <w:r w:rsidR="00F25A0C" w:rsidRPr="003730B5">
        <w:t xml:space="preserve">doporučeními </w:t>
      </w:r>
      <w:r w:rsidRPr="003730B5">
        <w:t>z </w:t>
      </w:r>
      <w:r w:rsidR="00F25A0C" w:rsidRPr="003730B5">
        <w:t xml:space="preserve">NERV vláda navrhuje nastavit čtyřletý harmonogram růstu sazeb spotřební daně </w:t>
      </w:r>
      <w:r w:rsidRPr="003730B5">
        <w:t>z </w:t>
      </w:r>
      <w:r w:rsidR="00F25A0C" w:rsidRPr="003730B5">
        <w:t xml:space="preserve">lihu po vzoru navrženého zdanění </w:t>
      </w:r>
      <w:r w:rsidRPr="003730B5">
        <w:t>u </w:t>
      </w:r>
      <w:r w:rsidR="00F25A0C" w:rsidRPr="003730B5">
        <w:t xml:space="preserve">tabákových výrobků. Čtyřletý harmonogram zvyšování sazeb přinese transparentní plán pro obě odvětví </w:t>
      </w:r>
      <w:r w:rsidRPr="003730B5">
        <w:t>a </w:t>
      </w:r>
      <w:r w:rsidR="00F25A0C" w:rsidRPr="003730B5">
        <w:t xml:space="preserve">svým přesahem přes volební období této vlády nebude ovlivněn volebním cyklem. Na základě trvalé výjimky dojednané </w:t>
      </w:r>
      <w:r w:rsidRPr="003730B5">
        <w:t>v</w:t>
      </w:r>
      <w:r w:rsidR="009655EE" w:rsidRPr="003730B5">
        <w:t> </w:t>
      </w:r>
      <w:r w:rsidR="00F25A0C" w:rsidRPr="003730B5">
        <w:t>E</w:t>
      </w:r>
      <w:r w:rsidR="009655EE" w:rsidRPr="003730B5">
        <w:t>vropské unii</w:t>
      </w:r>
      <w:r w:rsidR="00F25A0C" w:rsidRPr="003730B5">
        <w:t xml:space="preserve"> se bude nadále uplatňovat poloviční sazba </w:t>
      </w:r>
      <w:r w:rsidRPr="003730B5">
        <w:t>u </w:t>
      </w:r>
      <w:r w:rsidR="00F25A0C" w:rsidRPr="003730B5">
        <w:t xml:space="preserve">produktů </w:t>
      </w:r>
      <w:r w:rsidRPr="003730B5">
        <w:t>z </w:t>
      </w:r>
      <w:r w:rsidR="00F25A0C" w:rsidRPr="003730B5">
        <w:t xml:space="preserve">pěstitelského pálení pro vlastní spotřebu. </w:t>
      </w:r>
    </w:p>
    <w:p w14:paraId="741CA237" w14:textId="642C3C89" w:rsidR="008F7681" w:rsidRPr="003730B5" w:rsidRDefault="00F25A0C" w:rsidP="00F25A0C">
      <w:pPr>
        <w:widowControl w:val="0"/>
        <w:spacing w:after="120"/>
      </w:pPr>
      <w:r w:rsidRPr="003730B5">
        <w:rPr>
          <w:b/>
        </w:rPr>
        <w:t>Mezinárodní srovnání:</w:t>
      </w:r>
      <w:r w:rsidRPr="003730B5">
        <w:t xml:space="preserve"> Ve srovnání </w:t>
      </w:r>
      <w:r w:rsidR="00E712DE" w:rsidRPr="003730B5">
        <w:t>s </w:t>
      </w:r>
      <w:r w:rsidRPr="003730B5">
        <w:t>okolními zeměmi má Č</w:t>
      </w:r>
      <w:r w:rsidR="009D192D" w:rsidRPr="003730B5">
        <w:t xml:space="preserve">eská republika </w:t>
      </w:r>
      <w:r w:rsidRPr="003730B5">
        <w:t xml:space="preserve">aktuálně nižší zdanění lihu než Polsko </w:t>
      </w:r>
      <w:r w:rsidR="00E712DE" w:rsidRPr="003730B5">
        <w:t>a </w:t>
      </w:r>
      <w:r w:rsidRPr="003730B5">
        <w:t>Slovensko</w:t>
      </w:r>
      <w:r w:rsidR="009D192D" w:rsidRPr="003730B5">
        <w:t>,</w:t>
      </w:r>
      <w:r w:rsidRPr="003730B5">
        <w:t xml:space="preserve"> </w:t>
      </w:r>
      <w:r w:rsidR="00E712DE" w:rsidRPr="003730B5">
        <w:t>a </w:t>
      </w:r>
      <w:r w:rsidR="009D192D" w:rsidRPr="003730B5">
        <w:t>je tak</w:t>
      </w:r>
      <w:r w:rsidRPr="003730B5">
        <w:t xml:space="preserve"> na úrovni Německa.</w:t>
      </w:r>
    </w:p>
    <w:p w14:paraId="7B2BFA2B" w14:textId="34B5B932" w:rsidR="00C13373" w:rsidRPr="003730B5" w:rsidRDefault="00930589" w:rsidP="00805C42">
      <w:pPr>
        <w:pStyle w:val="Nadpis2"/>
        <w:widowControl w:val="0"/>
        <w:numPr>
          <w:ilvl w:val="3"/>
          <w:numId w:val="28"/>
        </w:numPr>
        <w:shd w:val="clear" w:color="auto" w:fill="FFFFFF"/>
        <w:tabs>
          <w:tab w:val="left" w:pos="567"/>
        </w:tabs>
        <w:jc w:val="both"/>
        <w:rPr>
          <w:i/>
          <w:sz w:val="24"/>
        </w:rPr>
      </w:pPr>
      <w:r w:rsidRPr="003730B5">
        <w:rPr>
          <w:i/>
          <w:sz w:val="24"/>
        </w:rPr>
        <w:t>Energetické daně</w:t>
      </w:r>
      <w:r w:rsidR="00C13373" w:rsidRPr="003730B5">
        <w:rPr>
          <w:i/>
          <w:sz w:val="24"/>
        </w:rPr>
        <w:t xml:space="preserve"> </w:t>
      </w:r>
      <w:r w:rsidR="00AC226B" w:rsidRPr="003730B5">
        <w:rPr>
          <w:i/>
          <w:sz w:val="24"/>
        </w:rPr>
        <w:t xml:space="preserve">– </w:t>
      </w:r>
      <w:r w:rsidR="00B24CAD" w:rsidRPr="003730B5">
        <w:rPr>
          <w:i/>
          <w:sz w:val="24"/>
        </w:rPr>
        <w:t>zrušení výjimek</w:t>
      </w:r>
    </w:p>
    <w:p w14:paraId="61292F84" w14:textId="3D936BE5" w:rsidR="00C13373" w:rsidRPr="003730B5" w:rsidRDefault="00C13373" w:rsidP="00C13373">
      <w:pPr>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47"/>
      </w:tblGrid>
      <w:tr w:rsidR="009D192D" w:rsidRPr="003730B5" w14:paraId="09AD3ACF" w14:textId="77777777" w:rsidTr="00447D7F">
        <w:trPr>
          <w:trHeight w:hRule="exact" w:val="284"/>
          <w:jc w:val="center"/>
        </w:trPr>
        <w:tc>
          <w:tcPr>
            <w:tcW w:w="4815" w:type="dxa"/>
            <w:shd w:val="clear" w:color="auto" w:fill="DBE5F1" w:themeFill="accent1" w:themeFillTint="33"/>
            <w:vAlign w:val="center"/>
          </w:tcPr>
          <w:p w14:paraId="49983159" w14:textId="13595676" w:rsidR="009D192D" w:rsidRPr="003730B5" w:rsidRDefault="009D192D" w:rsidP="00817366">
            <w:pPr>
              <w:rPr>
                <w:sz w:val="20"/>
              </w:rPr>
            </w:pPr>
            <w:r w:rsidRPr="003730B5">
              <w:rPr>
                <w:sz w:val="20"/>
              </w:rPr>
              <w:t>Zemní plyn pro pohon motorů (CNG,</w:t>
            </w:r>
            <w:r w:rsidR="00F667C9" w:rsidRPr="003730B5">
              <w:rPr>
                <w:sz w:val="20"/>
              </w:rPr>
              <w:t xml:space="preserve"> </w:t>
            </w:r>
            <w:r w:rsidRPr="003730B5">
              <w:rPr>
                <w:sz w:val="20"/>
              </w:rPr>
              <w:t>LNG)</w:t>
            </w:r>
          </w:p>
        </w:tc>
        <w:tc>
          <w:tcPr>
            <w:tcW w:w="4247" w:type="dxa"/>
            <w:vAlign w:val="center"/>
          </w:tcPr>
          <w:p w14:paraId="6EA9F873" w14:textId="77777777" w:rsidR="009D192D" w:rsidRPr="003730B5" w:rsidRDefault="009D192D" w:rsidP="00817366">
            <w:pPr>
              <w:rPr>
                <w:sz w:val="20"/>
              </w:rPr>
            </w:pPr>
            <w:r w:rsidRPr="003730B5">
              <w:rPr>
                <w:sz w:val="20"/>
              </w:rPr>
              <w:t>264,80 Kč/MWh</w:t>
            </w:r>
          </w:p>
        </w:tc>
      </w:tr>
      <w:tr w:rsidR="009D192D" w:rsidRPr="003730B5" w14:paraId="062A1D44" w14:textId="77777777" w:rsidTr="00447D7F">
        <w:trPr>
          <w:trHeight w:hRule="exact" w:val="284"/>
          <w:jc w:val="center"/>
        </w:trPr>
        <w:tc>
          <w:tcPr>
            <w:tcW w:w="4815" w:type="dxa"/>
            <w:shd w:val="clear" w:color="auto" w:fill="DBE5F1" w:themeFill="accent1" w:themeFillTint="33"/>
            <w:vAlign w:val="center"/>
          </w:tcPr>
          <w:p w14:paraId="55B5C162" w14:textId="77777777" w:rsidR="009D192D" w:rsidRPr="003730B5" w:rsidRDefault="009D192D" w:rsidP="00817366">
            <w:pPr>
              <w:rPr>
                <w:sz w:val="20"/>
              </w:rPr>
            </w:pPr>
            <w:r w:rsidRPr="003730B5">
              <w:rPr>
                <w:sz w:val="20"/>
              </w:rPr>
              <w:t>Bioplyn pro pohon motorů</w:t>
            </w:r>
          </w:p>
        </w:tc>
        <w:tc>
          <w:tcPr>
            <w:tcW w:w="4247" w:type="dxa"/>
            <w:vAlign w:val="center"/>
          </w:tcPr>
          <w:p w14:paraId="38C8B08F" w14:textId="77777777" w:rsidR="009D192D" w:rsidRPr="003730B5" w:rsidRDefault="009D192D" w:rsidP="00817366">
            <w:pPr>
              <w:rPr>
                <w:sz w:val="20"/>
              </w:rPr>
            </w:pPr>
            <w:r w:rsidRPr="003730B5">
              <w:rPr>
                <w:sz w:val="20"/>
              </w:rPr>
              <w:t>264,80 Kč/MWh</w:t>
            </w:r>
          </w:p>
        </w:tc>
      </w:tr>
      <w:tr w:rsidR="009D192D" w:rsidRPr="003730B5" w14:paraId="548D3AC4" w14:textId="77777777" w:rsidTr="00447D7F">
        <w:trPr>
          <w:trHeight w:hRule="exact" w:val="284"/>
          <w:jc w:val="center"/>
        </w:trPr>
        <w:tc>
          <w:tcPr>
            <w:tcW w:w="4815" w:type="dxa"/>
            <w:shd w:val="clear" w:color="auto" w:fill="DBE5F1" w:themeFill="accent1" w:themeFillTint="33"/>
            <w:vAlign w:val="center"/>
          </w:tcPr>
          <w:p w14:paraId="18B17FD7" w14:textId="77777777" w:rsidR="009D192D" w:rsidRPr="003730B5" w:rsidRDefault="009D192D" w:rsidP="00817366">
            <w:pPr>
              <w:rPr>
                <w:sz w:val="20"/>
              </w:rPr>
            </w:pPr>
            <w:r w:rsidRPr="003730B5">
              <w:rPr>
                <w:sz w:val="20"/>
              </w:rPr>
              <w:t>Zemní plyn pro výrobu tepla</w:t>
            </w:r>
          </w:p>
        </w:tc>
        <w:tc>
          <w:tcPr>
            <w:tcW w:w="4247" w:type="dxa"/>
            <w:vAlign w:val="center"/>
          </w:tcPr>
          <w:p w14:paraId="6C820F2E" w14:textId="77777777" w:rsidR="009D192D" w:rsidRPr="003730B5" w:rsidRDefault="009D192D" w:rsidP="00817366">
            <w:pPr>
              <w:rPr>
                <w:sz w:val="20"/>
              </w:rPr>
            </w:pPr>
            <w:r w:rsidRPr="003730B5">
              <w:rPr>
                <w:sz w:val="20"/>
              </w:rPr>
              <w:t>30,60 Kč/MWh</w:t>
            </w:r>
          </w:p>
        </w:tc>
      </w:tr>
      <w:tr w:rsidR="009D192D" w:rsidRPr="003730B5" w14:paraId="3113B814" w14:textId="77777777" w:rsidTr="00447D7F">
        <w:trPr>
          <w:trHeight w:hRule="exact" w:val="284"/>
          <w:jc w:val="center"/>
        </w:trPr>
        <w:tc>
          <w:tcPr>
            <w:tcW w:w="4815" w:type="dxa"/>
            <w:shd w:val="clear" w:color="auto" w:fill="DBE5F1" w:themeFill="accent1" w:themeFillTint="33"/>
            <w:vAlign w:val="center"/>
          </w:tcPr>
          <w:p w14:paraId="49145023" w14:textId="77777777" w:rsidR="009D192D" w:rsidRPr="003730B5" w:rsidRDefault="009D192D" w:rsidP="00817366">
            <w:pPr>
              <w:rPr>
                <w:sz w:val="20"/>
              </w:rPr>
            </w:pPr>
            <w:r w:rsidRPr="003730B5">
              <w:rPr>
                <w:sz w:val="20"/>
              </w:rPr>
              <w:t>Bioplyn pro výrobu tepla</w:t>
            </w:r>
          </w:p>
        </w:tc>
        <w:tc>
          <w:tcPr>
            <w:tcW w:w="4247" w:type="dxa"/>
            <w:vAlign w:val="center"/>
          </w:tcPr>
          <w:p w14:paraId="2B532DE0" w14:textId="77777777" w:rsidR="009D192D" w:rsidRPr="003730B5" w:rsidRDefault="009D192D" w:rsidP="00817366">
            <w:pPr>
              <w:rPr>
                <w:sz w:val="20"/>
              </w:rPr>
            </w:pPr>
            <w:r w:rsidRPr="003730B5">
              <w:rPr>
                <w:sz w:val="20"/>
              </w:rPr>
              <w:t>30,60 Kč/MWh</w:t>
            </w:r>
          </w:p>
        </w:tc>
      </w:tr>
    </w:tbl>
    <w:p w14:paraId="5C89989A" w14:textId="3E2C1209" w:rsidR="009D192D" w:rsidRPr="003730B5" w:rsidRDefault="009D192D" w:rsidP="009D192D">
      <w:pPr>
        <w:widowControl w:val="0"/>
        <w:spacing w:before="120" w:after="120"/>
      </w:pPr>
      <w:r w:rsidRPr="003730B5">
        <w:t xml:space="preserve">V rámci tzv. Memoranda </w:t>
      </w:r>
      <w:r w:rsidR="00E712DE" w:rsidRPr="003730B5">
        <w:t>o </w:t>
      </w:r>
      <w:r w:rsidRPr="003730B5">
        <w:t>dlouhodobé spolupráci v oblasti rozvoje vozidel na zemní plyn pro období do roku 2025 se vláda mimo jiné zavázala</w:t>
      </w:r>
      <w:r w:rsidRPr="003730B5">
        <w:rPr>
          <w:rStyle w:val="Znakapoznpodarou"/>
        </w:rPr>
        <w:footnoteReference w:id="3"/>
      </w:r>
      <w:r w:rsidRPr="003730B5">
        <w:t xml:space="preserve"> nezvýšit sazbu daně ze zemního plynu pro pohon motorů do roku 2025 nad 290 Kč/MWh. Nicméně </w:t>
      </w:r>
      <w:r w:rsidR="00E712DE" w:rsidRPr="003730B5">
        <w:t>z</w:t>
      </w:r>
      <w:r w:rsidR="00F667C9" w:rsidRPr="003730B5">
        <w:t> uvedeného m</w:t>
      </w:r>
      <w:r w:rsidRPr="003730B5">
        <w:t>emoranda jsou možné výjimky, kdy je možné daň zvýšit nad tuto hranici, např. pokud příkladně schodek státního rozpočtu za kalendářní rok přesáhne 1,</w:t>
      </w:r>
      <w:r w:rsidR="00E712DE" w:rsidRPr="003730B5">
        <w:t>5 </w:t>
      </w:r>
      <w:r w:rsidRPr="003730B5">
        <w:t xml:space="preserve">% HDP. </w:t>
      </w:r>
    </w:p>
    <w:p w14:paraId="25B034C6" w14:textId="77777777" w:rsidR="009D192D" w:rsidRPr="003730B5" w:rsidRDefault="009D192D" w:rsidP="009D192D">
      <w:pPr>
        <w:widowControl w:val="0"/>
        <w:spacing w:after="120"/>
      </w:pPr>
      <w:r w:rsidRPr="003730B5">
        <w:t>Zákon dlouhodobě nezaznamenává žádné změny. Mezinárodní instituce (např. OECD, EK) připomínkují relativně nízkou sazbu daně nezohledňující externality.</w:t>
      </w:r>
    </w:p>
    <w:p w14:paraId="13307C2D" w14:textId="77777777" w:rsidR="00C13373" w:rsidRPr="003730B5" w:rsidRDefault="00C13373" w:rsidP="00447D7F">
      <w:pPr>
        <w:keepNext/>
        <w:widowControl w:val="0"/>
        <w:spacing w:after="120"/>
        <w:rPr>
          <w:u w:val="single"/>
        </w:rPr>
      </w:pPr>
      <w:r w:rsidRPr="003730B5">
        <w:rPr>
          <w:u w:val="single"/>
        </w:rPr>
        <w:lastRenderedPageBreak/>
        <w:t>Navržené řešení:</w:t>
      </w:r>
    </w:p>
    <w:p w14:paraId="46187FC6" w14:textId="492B0997" w:rsidR="00C13373" w:rsidRPr="003730B5" w:rsidRDefault="009D192D" w:rsidP="00447D7F">
      <w:pPr>
        <w:keepLines/>
        <w:widowControl w:val="0"/>
        <w:spacing w:after="120"/>
      </w:pPr>
      <w:r w:rsidRPr="003730B5">
        <w:t>Z</w:t>
      </w:r>
      <w:r w:rsidR="00B24CAD" w:rsidRPr="003730B5">
        <w:t>ruš</w:t>
      </w:r>
      <w:r w:rsidRPr="003730B5">
        <w:t>ení</w:t>
      </w:r>
      <w:r w:rsidR="00B24CAD" w:rsidRPr="003730B5">
        <w:t xml:space="preserve"> osvobození metalurgických </w:t>
      </w:r>
      <w:r w:rsidR="00E712DE" w:rsidRPr="003730B5">
        <w:t>a </w:t>
      </w:r>
      <w:r w:rsidR="00B24CAD" w:rsidRPr="003730B5">
        <w:t>mineralogických procesů od daně ze zemního plynu a</w:t>
      </w:r>
      <w:r w:rsidRPr="003730B5">
        <w:t> </w:t>
      </w:r>
      <w:r w:rsidR="00B24CAD" w:rsidRPr="003730B5">
        <w:t xml:space="preserve">některých dalších plynů, daně </w:t>
      </w:r>
      <w:r w:rsidR="00E712DE" w:rsidRPr="003730B5">
        <w:t>z </w:t>
      </w:r>
      <w:r w:rsidR="00B24CAD" w:rsidRPr="003730B5">
        <w:t xml:space="preserve">pevných paliv </w:t>
      </w:r>
      <w:r w:rsidR="00E712DE" w:rsidRPr="003730B5">
        <w:t>a </w:t>
      </w:r>
      <w:r w:rsidR="00B24CAD" w:rsidRPr="003730B5">
        <w:t xml:space="preserve">daně </w:t>
      </w:r>
      <w:r w:rsidR="00E712DE" w:rsidRPr="003730B5">
        <w:t>z </w:t>
      </w:r>
      <w:r w:rsidR="00B24CAD" w:rsidRPr="003730B5">
        <w:t xml:space="preserve">elektřiny. </w:t>
      </w:r>
    </w:p>
    <w:p w14:paraId="67BE491C" w14:textId="27440F5F" w:rsidR="00C13373" w:rsidRPr="003730B5" w:rsidRDefault="00DC6CC6" w:rsidP="00805C42">
      <w:pPr>
        <w:pStyle w:val="Nadpis2"/>
        <w:widowControl w:val="0"/>
        <w:numPr>
          <w:ilvl w:val="3"/>
          <w:numId w:val="28"/>
        </w:numPr>
        <w:shd w:val="clear" w:color="auto" w:fill="FFFFFF"/>
        <w:tabs>
          <w:tab w:val="left" w:pos="567"/>
        </w:tabs>
        <w:jc w:val="both"/>
        <w:rPr>
          <w:i/>
          <w:sz w:val="24"/>
        </w:rPr>
      </w:pPr>
      <w:r w:rsidRPr="003730B5">
        <w:rPr>
          <w:i/>
          <w:sz w:val="24"/>
        </w:rPr>
        <w:t>Daň z hazardních her</w:t>
      </w:r>
      <w:r w:rsidR="00C13373" w:rsidRPr="003730B5">
        <w:rPr>
          <w:i/>
          <w:sz w:val="24"/>
        </w:rPr>
        <w:t xml:space="preserve"> </w:t>
      </w:r>
      <w:r w:rsidR="00AC226B" w:rsidRPr="003730B5">
        <w:rPr>
          <w:i/>
          <w:sz w:val="24"/>
        </w:rPr>
        <w:t xml:space="preserve">– změna sazeb </w:t>
      </w:r>
      <w:r w:rsidR="00E712DE" w:rsidRPr="003730B5">
        <w:rPr>
          <w:i/>
          <w:sz w:val="24"/>
        </w:rPr>
        <w:t>a </w:t>
      </w:r>
      <w:r w:rsidR="00AC226B" w:rsidRPr="003730B5">
        <w:rPr>
          <w:i/>
          <w:sz w:val="24"/>
        </w:rPr>
        <w:t>rozpočtového určení</w:t>
      </w:r>
    </w:p>
    <w:p w14:paraId="0A07B235" w14:textId="270BF7E7" w:rsidR="00C13373" w:rsidRPr="003730B5" w:rsidRDefault="00C13373" w:rsidP="00447D7F">
      <w:pPr>
        <w:keepNext/>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8"/>
        <w:gridCol w:w="2740"/>
        <w:gridCol w:w="2064"/>
      </w:tblGrid>
      <w:tr w:rsidR="00ED66D1" w:rsidRPr="003730B5" w14:paraId="46AD6B1F" w14:textId="77777777" w:rsidTr="00ED66D1">
        <w:trPr>
          <w:trHeight w:val="284"/>
          <w:jc w:val="center"/>
        </w:trPr>
        <w:tc>
          <w:tcPr>
            <w:tcW w:w="2349" w:type="pct"/>
            <w:shd w:val="clear" w:color="auto" w:fill="DBE5F1" w:themeFill="accent1" w:themeFillTint="33"/>
            <w:noWrap/>
            <w:tcMar>
              <w:top w:w="0" w:type="dxa"/>
              <w:left w:w="70" w:type="dxa"/>
              <w:bottom w:w="0" w:type="dxa"/>
              <w:right w:w="70" w:type="dxa"/>
            </w:tcMar>
            <w:vAlign w:val="center"/>
            <w:hideMark/>
          </w:tcPr>
          <w:p w14:paraId="59CE6423" w14:textId="77777777" w:rsidR="00ED66D1" w:rsidRPr="003730B5" w:rsidRDefault="00ED66D1" w:rsidP="00447D7F">
            <w:pPr>
              <w:keepNext/>
              <w:keepLines/>
              <w:rPr>
                <w:color w:val="000000"/>
                <w:sz w:val="20"/>
              </w:rPr>
            </w:pPr>
            <w:r w:rsidRPr="003730B5">
              <w:rPr>
                <w:color w:val="000000"/>
                <w:sz w:val="20"/>
              </w:rPr>
              <w:t> </w:t>
            </w:r>
          </w:p>
        </w:tc>
        <w:tc>
          <w:tcPr>
            <w:tcW w:w="1512" w:type="pct"/>
            <w:shd w:val="clear" w:color="auto" w:fill="DBE5F1" w:themeFill="accent1" w:themeFillTint="33"/>
            <w:noWrap/>
            <w:tcMar>
              <w:top w:w="0" w:type="dxa"/>
              <w:left w:w="70" w:type="dxa"/>
              <w:bottom w:w="0" w:type="dxa"/>
              <w:right w:w="70" w:type="dxa"/>
            </w:tcMar>
            <w:vAlign w:val="center"/>
            <w:hideMark/>
          </w:tcPr>
          <w:p w14:paraId="5DE479BD" w14:textId="77777777" w:rsidR="00ED66D1" w:rsidRPr="003730B5" w:rsidRDefault="00ED66D1" w:rsidP="00447D7F">
            <w:pPr>
              <w:keepNext/>
              <w:keepLines/>
              <w:jc w:val="center"/>
              <w:rPr>
                <w:b/>
                <w:bCs/>
                <w:color w:val="000000"/>
                <w:sz w:val="20"/>
              </w:rPr>
            </w:pPr>
            <w:r w:rsidRPr="003730B5">
              <w:rPr>
                <w:b/>
                <w:bCs/>
                <w:color w:val="000000"/>
                <w:sz w:val="20"/>
              </w:rPr>
              <w:t>Land-based</w:t>
            </w:r>
          </w:p>
        </w:tc>
        <w:tc>
          <w:tcPr>
            <w:tcW w:w="1139" w:type="pct"/>
            <w:shd w:val="clear" w:color="auto" w:fill="DBE5F1" w:themeFill="accent1" w:themeFillTint="33"/>
            <w:noWrap/>
            <w:tcMar>
              <w:top w:w="0" w:type="dxa"/>
              <w:left w:w="70" w:type="dxa"/>
              <w:bottom w:w="0" w:type="dxa"/>
              <w:right w:w="70" w:type="dxa"/>
            </w:tcMar>
            <w:vAlign w:val="center"/>
            <w:hideMark/>
          </w:tcPr>
          <w:p w14:paraId="211F3E80" w14:textId="77777777" w:rsidR="00ED66D1" w:rsidRPr="003730B5" w:rsidRDefault="00ED66D1" w:rsidP="00447D7F">
            <w:pPr>
              <w:keepNext/>
              <w:keepLines/>
              <w:jc w:val="center"/>
              <w:rPr>
                <w:b/>
                <w:bCs/>
                <w:color w:val="000000"/>
                <w:sz w:val="20"/>
              </w:rPr>
            </w:pPr>
            <w:r w:rsidRPr="003730B5">
              <w:rPr>
                <w:b/>
                <w:bCs/>
                <w:color w:val="000000"/>
                <w:sz w:val="20"/>
              </w:rPr>
              <w:t>Internet</w:t>
            </w:r>
          </w:p>
        </w:tc>
      </w:tr>
      <w:tr w:rsidR="00ED66D1" w:rsidRPr="003730B5" w14:paraId="1B5F1D4D" w14:textId="77777777" w:rsidTr="00ED66D1">
        <w:trPr>
          <w:trHeight w:val="284"/>
          <w:jc w:val="center"/>
        </w:trPr>
        <w:tc>
          <w:tcPr>
            <w:tcW w:w="2349" w:type="pct"/>
            <w:shd w:val="clear" w:color="auto" w:fill="auto"/>
            <w:tcMar>
              <w:top w:w="0" w:type="dxa"/>
              <w:left w:w="70" w:type="dxa"/>
              <w:bottom w:w="0" w:type="dxa"/>
              <w:right w:w="70" w:type="dxa"/>
            </w:tcMar>
            <w:vAlign w:val="center"/>
            <w:hideMark/>
          </w:tcPr>
          <w:p w14:paraId="05F36E10" w14:textId="77777777" w:rsidR="00ED66D1" w:rsidRPr="003730B5" w:rsidRDefault="00ED66D1" w:rsidP="00447D7F">
            <w:pPr>
              <w:keepNext/>
              <w:keepLines/>
              <w:jc w:val="left"/>
              <w:rPr>
                <w:bCs/>
                <w:color w:val="000000"/>
                <w:sz w:val="20"/>
              </w:rPr>
            </w:pPr>
            <w:r w:rsidRPr="003730B5">
              <w:rPr>
                <w:bCs/>
                <w:color w:val="000000"/>
                <w:sz w:val="20"/>
              </w:rPr>
              <w:t>Loterie</w:t>
            </w:r>
          </w:p>
        </w:tc>
        <w:tc>
          <w:tcPr>
            <w:tcW w:w="1512" w:type="pct"/>
            <w:shd w:val="clear" w:color="auto" w:fill="auto"/>
            <w:noWrap/>
            <w:tcMar>
              <w:top w:w="0" w:type="dxa"/>
              <w:left w:w="70" w:type="dxa"/>
              <w:bottom w:w="0" w:type="dxa"/>
              <w:right w:w="70" w:type="dxa"/>
            </w:tcMar>
            <w:vAlign w:val="center"/>
            <w:hideMark/>
          </w:tcPr>
          <w:p w14:paraId="66D22192" w14:textId="77777777" w:rsidR="00ED66D1" w:rsidRPr="003730B5" w:rsidRDefault="00ED66D1" w:rsidP="00447D7F">
            <w:pPr>
              <w:keepNext/>
              <w:keepLines/>
              <w:jc w:val="center"/>
              <w:rPr>
                <w:color w:val="000000"/>
                <w:sz w:val="20"/>
              </w:rPr>
            </w:pPr>
            <w:r w:rsidRPr="003730B5">
              <w:rPr>
                <w:color w:val="000000"/>
                <w:sz w:val="20"/>
              </w:rPr>
              <w:t>35%</w:t>
            </w:r>
          </w:p>
        </w:tc>
        <w:tc>
          <w:tcPr>
            <w:tcW w:w="1139" w:type="pct"/>
            <w:shd w:val="clear" w:color="auto" w:fill="auto"/>
            <w:noWrap/>
            <w:tcMar>
              <w:top w:w="0" w:type="dxa"/>
              <w:left w:w="70" w:type="dxa"/>
              <w:bottom w:w="0" w:type="dxa"/>
              <w:right w:w="70" w:type="dxa"/>
            </w:tcMar>
            <w:vAlign w:val="center"/>
            <w:hideMark/>
          </w:tcPr>
          <w:p w14:paraId="265EBC00" w14:textId="77777777" w:rsidR="00ED66D1" w:rsidRPr="003730B5" w:rsidRDefault="00ED66D1" w:rsidP="00447D7F">
            <w:pPr>
              <w:keepNext/>
              <w:keepLines/>
              <w:jc w:val="center"/>
              <w:rPr>
                <w:color w:val="000000"/>
                <w:sz w:val="20"/>
              </w:rPr>
            </w:pPr>
            <w:r w:rsidRPr="003730B5">
              <w:rPr>
                <w:color w:val="000000"/>
                <w:sz w:val="20"/>
              </w:rPr>
              <w:t>35%</w:t>
            </w:r>
          </w:p>
        </w:tc>
      </w:tr>
      <w:tr w:rsidR="00ED66D1" w:rsidRPr="003730B5" w14:paraId="1BFBCC2A" w14:textId="77777777" w:rsidTr="00ED66D1">
        <w:trPr>
          <w:trHeight w:val="284"/>
          <w:jc w:val="center"/>
        </w:trPr>
        <w:tc>
          <w:tcPr>
            <w:tcW w:w="2349" w:type="pct"/>
            <w:shd w:val="clear" w:color="auto" w:fill="auto"/>
            <w:tcMar>
              <w:top w:w="0" w:type="dxa"/>
              <w:left w:w="70" w:type="dxa"/>
              <w:bottom w:w="0" w:type="dxa"/>
              <w:right w:w="70" w:type="dxa"/>
            </w:tcMar>
            <w:vAlign w:val="center"/>
            <w:hideMark/>
          </w:tcPr>
          <w:p w14:paraId="2AF3C986" w14:textId="77777777" w:rsidR="00ED66D1" w:rsidRPr="003730B5" w:rsidRDefault="00ED66D1" w:rsidP="00447D7F">
            <w:pPr>
              <w:keepNext/>
              <w:keepLines/>
              <w:jc w:val="left"/>
              <w:rPr>
                <w:bCs/>
                <w:color w:val="000000"/>
                <w:sz w:val="20"/>
              </w:rPr>
            </w:pPr>
            <w:r w:rsidRPr="003730B5">
              <w:rPr>
                <w:bCs/>
                <w:color w:val="000000"/>
                <w:sz w:val="20"/>
              </w:rPr>
              <w:t>Technická hra</w:t>
            </w:r>
          </w:p>
        </w:tc>
        <w:tc>
          <w:tcPr>
            <w:tcW w:w="1512" w:type="pct"/>
            <w:shd w:val="clear" w:color="auto" w:fill="auto"/>
            <w:noWrap/>
            <w:tcMar>
              <w:top w:w="0" w:type="dxa"/>
              <w:left w:w="70" w:type="dxa"/>
              <w:bottom w:w="0" w:type="dxa"/>
              <w:right w:w="70" w:type="dxa"/>
            </w:tcMar>
            <w:vAlign w:val="center"/>
            <w:hideMark/>
          </w:tcPr>
          <w:p w14:paraId="6586D625" w14:textId="77777777" w:rsidR="00ED66D1" w:rsidRPr="003730B5" w:rsidRDefault="00ED66D1" w:rsidP="00447D7F">
            <w:pPr>
              <w:keepNext/>
              <w:keepLines/>
              <w:jc w:val="center"/>
              <w:rPr>
                <w:color w:val="000000"/>
                <w:sz w:val="20"/>
              </w:rPr>
            </w:pPr>
            <w:r w:rsidRPr="003730B5">
              <w:rPr>
                <w:color w:val="000000"/>
                <w:sz w:val="20"/>
              </w:rPr>
              <w:t>35%</w:t>
            </w:r>
          </w:p>
        </w:tc>
        <w:tc>
          <w:tcPr>
            <w:tcW w:w="1139" w:type="pct"/>
            <w:shd w:val="clear" w:color="auto" w:fill="auto"/>
            <w:noWrap/>
            <w:tcMar>
              <w:top w:w="0" w:type="dxa"/>
              <w:left w:w="70" w:type="dxa"/>
              <w:bottom w:w="0" w:type="dxa"/>
              <w:right w:w="70" w:type="dxa"/>
            </w:tcMar>
            <w:vAlign w:val="center"/>
            <w:hideMark/>
          </w:tcPr>
          <w:p w14:paraId="00D239B0" w14:textId="77777777" w:rsidR="00ED66D1" w:rsidRPr="003730B5" w:rsidRDefault="00ED66D1" w:rsidP="00447D7F">
            <w:pPr>
              <w:keepNext/>
              <w:keepLines/>
              <w:jc w:val="center"/>
              <w:rPr>
                <w:color w:val="000000"/>
                <w:sz w:val="20"/>
              </w:rPr>
            </w:pPr>
            <w:r w:rsidRPr="003730B5">
              <w:rPr>
                <w:color w:val="000000"/>
                <w:sz w:val="20"/>
              </w:rPr>
              <w:t>35%</w:t>
            </w:r>
          </w:p>
        </w:tc>
      </w:tr>
      <w:tr w:rsidR="00ED66D1" w:rsidRPr="003730B5" w14:paraId="636821DD" w14:textId="77777777" w:rsidTr="00ED66D1">
        <w:trPr>
          <w:trHeight w:val="284"/>
          <w:jc w:val="center"/>
        </w:trPr>
        <w:tc>
          <w:tcPr>
            <w:tcW w:w="2349" w:type="pct"/>
            <w:shd w:val="clear" w:color="auto" w:fill="auto"/>
            <w:tcMar>
              <w:top w:w="0" w:type="dxa"/>
              <w:left w:w="70" w:type="dxa"/>
              <w:bottom w:w="0" w:type="dxa"/>
              <w:right w:w="70" w:type="dxa"/>
            </w:tcMar>
            <w:vAlign w:val="center"/>
            <w:hideMark/>
          </w:tcPr>
          <w:p w14:paraId="25D415B7" w14:textId="77777777" w:rsidR="00ED66D1" w:rsidRPr="003730B5" w:rsidRDefault="00ED66D1" w:rsidP="00447D7F">
            <w:pPr>
              <w:keepNext/>
              <w:keepLines/>
              <w:jc w:val="left"/>
              <w:rPr>
                <w:bCs/>
                <w:color w:val="000000"/>
                <w:sz w:val="20"/>
              </w:rPr>
            </w:pPr>
            <w:r w:rsidRPr="003730B5">
              <w:rPr>
                <w:bCs/>
                <w:color w:val="000000"/>
                <w:sz w:val="20"/>
              </w:rPr>
              <w:t xml:space="preserve">Živá hra </w:t>
            </w:r>
          </w:p>
        </w:tc>
        <w:tc>
          <w:tcPr>
            <w:tcW w:w="1512" w:type="pct"/>
            <w:shd w:val="clear" w:color="auto" w:fill="auto"/>
            <w:noWrap/>
            <w:tcMar>
              <w:top w:w="0" w:type="dxa"/>
              <w:left w:w="70" w:type="dxa"/>
              <w:bottom w:w="0" w:type="dxa"/>
              <w:right w:w="70" w:type="dxa"/>
            </w:tcMar>
            <w:vAlign w:val="center"/>
            <w:hideMark/>
          </w:tcPr>
          <w:p w14:paraId="5451E422" w14:textId="77777777" w:rsidR="00ED66D1" w:rsidRPr="003730B5" w:rsidRDefault="00ED66D1" w:rsidP="00447D7F">
            <w:pPr>
              <w:keepNext/>
              <w:keepLines/>
              <w:jc w:val="center"/>
              <w:rPr>
                <w:color w:val="000000"/>
                <w:sz w:val="20"/>
              </w:rPr>
            </w:pPr>
            <w:r w:rsidRPr="003730B5">
              <w:rPr>
                <w:color w:val="000000"/>
                <w:sz w:val="20"/>
              </w:rPr>
              <w:t>30%</w:t>
            </w:r>
          </w:p>
        </w:tc>
        <w:tc>
          <w:tcPr>
            <w:tcW w:w="1139" w:type="pct"/>
            <w:shd w:val="clear" w:color="auto" w:fill="auto"/>
            <w:noWrap/>
            <w:tcMar>
              <w:top w:w="0" w:type="dxa"/>
              <w:left w:w="70" w:type="dxa"/>
              <w:bottom w:w="0" w:type="dxa"/>
              <w:right w:w="70" w:type="dxa"/>
            </w:tcMar>
            <w:vAlign w:val="center"/>
            <w:hideMark/>
          </w:tcPr>
          <w:p w14:paraId="64A9DBF5" w14:textId="77777777" w:rsidR="00ED66D1" w:rsidRPr="003730B5" w:rsidRDefault="00ED66D1" w:rsidP="00447D7F">
            <w:pPr>
              <w:keepNext/>
              <w:keepLines/>
              <w:jc w:val="center"/>
              <w:rPr>
                <w:color w:val="000000"/>
                <w:sz w:val="20"/>
              </w:rPr>
            </w:pPr>
            <w:r w:rsidRPr="003730B5">
              <w:rPr>
                <w:color w:val="000000"/>
                <w:sz w:val="20"/>
              </w:rPr>
              <w:t>30%</w:t>
            </w:r>
          </w:p>
        </w:tc>
      </w:tr>
      <w:tr w:rsidR="00ED66D1" w:rsidRPr="003730B5" w14:paraId="071CED02" w14:textId="77777777" w:rsidTr="00ED66D1">
        <w:trPr>
          <w:trHeight w:val="284"/>
          <w:jc w:val="center"/>
        </w:trPr>
        <w:tc>
          <w:tcPr>
            <w:tcW w:w="2349" w:type="pct"/>
            <w:shd w:val="clear" w:color="auto" w:fill="auto"/>
            <w:tcMar>
              <w:top w:w="0" w:type="dxa"/>
              <w:left w:w="70" w:type="dxa"/>
              <w:bottom w:w="0" w:type="dxa"/>
              <w:right w:w="70" w:type="dxa"/>
            </w:tcMar>
            <w:vAlign w:val="center"/>
            <w:hideMark/>
          </w:tcPr>
          <w:p w14:paraId="2CE80FA6" w14:textId="77777777" w:rsidR="00ED66D1" w:rsidRPr="003730B5" w:rsidRDefault="00ED66D1" w:rsidP="00447D7F">
            <w:pPr>
              <w:keepNext/>
              <w:keepLines/>
              <w:jc w:val="left"/>
              <w:rPr>
                <w:bCs/>
                <w:color w:val="000000"/>
                <w:sz w:val="20"/>
              </w:rPr>
            </w:pPr>
            <w:r w:rsidRPr="003730B5">
              <w:rPr>
                <w:bCs/>
                <w:color w:val="000000"/>
                <w:sz w:val="20"/>
              </w:rPr>
              <w:t xml:space="preserve">Bingo </w:t>
            </w:r>
          </w:p>
        </w:tc>
        <w:tc>
          <w:tcPr>
            <w:tcW w:w="1512" w:type="pct"/>
            <w:shd w:val="clear" w:color="auto" w:fill="auto"/>
            <w:noWrap/>
            <w:tcMar>
              <w:top w:w="0" w:type="dxa"/>
              <w:left w:w="70" w:type="dxa"/>
              <w:bottom w:w="0" w:type="dxa"/>
              <w:right w:w="70" w:type="dxa"/>
            </w:tcMar>
            <w:vAlign w:val="center"/>
            <w:hideMark/>
          </w:tcPr>
          <w:p w14:paraId="5DAD3084" w14:textId="77777777" w:rsidR="00ED66D1" w:rsidRPr="003730B5" w:rsidRDefault="00ED66D1" w:rsidP="00447D7F">
            <w:pPr>
              <w:keepNext/>
              <w:keepLines/>
              <w:jc w:val="center"/>
              <w:rPr>
                <w:color w:val="000000"/>
                <w:sz w:val="20"/>
              </w:rPr>
            </w:pPr>
            <w:r w:rsidRPr="003730B5">
              <w:rPr>
                <w:color w:val="000000"/>
                <w:sz w:val="20"/>
              </w:rPr>
              <w:t>30%</w:t>
            </w:r>
          </w:p>
        </w:tc>
        <w:tc>
          <w:tcPr>
            <w:tcW w:w="1139" w:type="pct"/>
            <w:shd w:val="clear" w:color="auto" w:fill="auto"/>
            <w:noWrap/>
            <w:tcMar>
              <w:top w:w="0" w:type="dxa"/>
              <w:left w:w="70" w:type="dxa"/>
              <w:bottom w:w="0" w:type="dxa"/>
              <w:right w:w="70" w:type="dxa"/>
            </w:tcMar>
            <w:vAlign w:val="center"/>
            <w:hideMark/>
          </w:tcPr>
          <w:p w14:paraId="582B104B" w14:textId="77777777" w:rsidR="00ED66D1" w:rsidRPr="003730B5" w:rsidRDefault="00ED66D1" w:rsidP="00447D7F">
            <w:pPr>
              <w:keepNext/>
              <w:keepLines/>
              <w:jc w:val="center"/>
              <w:rPr>
                <w:color w:val="000000"/>
                <w:sz w:val="20"/>
              </w:rPr>
            </w:pPr>
            <w:r w:rsidRPr="003730B5">
              <w:rPr>
                <w:color w:val="000000"/>
                <w:sz w:val="20"/>
              </w:rPr>
              <w:t>30%</w:t>
            </w:r>
          </w:p>
        </w:tc>
      </w:tr>
      <w:tr w:rsidR="00ED66D1" w:rsidRPr="003730B5" w14:paraId="194947D0" w14:textId="77777777" w:rsidTr="00ED66D1">
        <w:trPr>
          <w:trHeight w:val="284"/>
          <w:jc w:val="center"/>
        </w:trPr>
        <w:tc>
          <w:tcPr>
            <w:tcW w:w="2349" w:type="pct"/>
            <w:shd w:val="clear" w:color="auto" w:fill="auto"/>
            <w:tcMar>
              <w:top w:w="0" w:type="dxa"/>
              <w:left w:w="70" w:type="dxa"/>
              <w:bottom w:w="0" w:type="dxa"/>
              <w:right w:w="70" w:type="dxa"/>
            </w:tcMar>
            <w:vAlign w:val="center"/>
            <w:hideMark/>
          </w:tcPr>
          <w:p w14:paraId="7BBD1E72" w14:textId="77777777" w:rsidR="00ED66D1" w:rsidRPr="003730B5" w:rsidRDefault="00ED66D1" w:rsidP="00447D7F">
            <w:pPr>
              <w:keepNext/>
              <w:keepLines/>
              <w:jc w:val="left"/>
              <w:rPr>
                <w:bCs/>
                <w:color w:val="000000"/>
                <w:sz w:val="20"/>
              </w:rPr>
            </w:pPr>
            <w:r w:rsidRPr="003730B5">
              <w:rPr>
                <w:bCs/>
                <w:color w:val="000000"/>
                <w:sz w:val="20"/>
              </w:rPr>
              <w:t xml:space="preserve">Kursová sázka </w:t>
            </w:r>
          </w:p>
        </w:tc>
        <w:tc>
          <w:tcPr>
            <w:tcW w:w="1512" w:type="pct"/>
            <w:shd w:val="clear" w:color="auto" w:fill="auto"/>
            <w:noWrap/>
            <w:tcMar>
              <w:top w:w="0" w:type="dxa"/>
              <w:left w:w="70" w:type="dxa"/>
              <w:bottom w:w="0" w:type="dxa"/>
              <w:right w:w="70" w:type="dxa"/>
            </w:tcMar>
            <w:vAlign w:val="center"/>
            <w:hideMark/>
          </w:tcPr>
          <w:p w14:paraId="2145E883" w14:textId="77777777" w:rsidR="00ED66D1" w:rsidRPr="003730B5" w:rsidRDefault="00ED66D1" w:rsidP="00447D7F">
            <w:pPr>
              <w:keepNext/>
              <w:keepLines/>
              <w:jc w:val="center"/>
              <w:rPr>
                <w:color w:val="000000"/>
                <w:sz w:val="20"/>
              </w:rPr>
            </w:pPr>
            <w:r w:rsidRPr="003730B5">
              <w:rPr>
                <w:color w:val="000000"/>
                <w:sz w:val="20"/>
              </w:rPr>
              <w:t>30%</w:t>
            </w:r>
          </w:p>
        </w:tc>
        <w:tc>
          <w:tcPr>
            <w:tcW w:w="1139" w:type="pct"/>
            <w:shd w:val="clear" w:color="auto" w:fill="auto"/>
            <w:noWrap/>
            <w:tcMar>
              <w:top w:w="0" w:type="dxa"/>
              <w:left w:w="70" w:type="dxa"/>
              <w:bottom w:w="0" w:type="dxa"/>
              <w:right w:w="70" w:type="dxa"/>
            </w:tcMar>
            <w:vAlign w:val="center"/>
            <w:hideMark/>
          </w:tcPr>
          <w:p w14:paraId="11F5AF0D" w14:textId="77777777" w:rsidR="00ED66D1" w:rsidRPr="003730B5" w:rsidRDefault="00ED66D1" w:rsidP="00447D7F">
            <w:pPr>
              <w:keepNext/>
              <w:keepLines/>
              <w:jc w:val="center"/>
              <w:rPr>
                <w:color w:val="000000"/>
                <w:sz w:val="20"/>
              </w:rPr>
            </w:pPr>
            <w:r w:rsidRPr="003730B5">
              <w:rPr>
                <w:color w:val="000000"/>
                <w:sz w:val="20"/>
              </w:rPr>
              <w:t>30%</w:t>
            </w:r>
          </w:p>
        </w:tc>
      </w:tr>
      <w:tr w:rsidR="00ED66D1" w:rsidRPr="003730B5" w14:paraId="4F83935D" w14:textId="77777777" w:rsidTr="00ED66D1">
        <w:trPr>
          <w:trHeight w:val="284"/>
          <w:jc w:val="center"/>
        </w:trPr>
        <w:tc>
          <w:tcPr>
            <w:tcW w:w="2349" w:type="pct"/>
            <w:shd w:val="clear" w:color="auto" w:fill="auto"/>
            <w:tcMar>
              <w:top w:w="0" w:type="dxa"/>
              <w:left w:w="70" w:type="dxa"/>
              <w:bottom w:w="0" w:type="dxa"/>
              <w:right w:w="70" w:type="dxa"/>
            </w:tcMar>
            <w:vAlign w:val="center"/>
            <w:hideMark/>
          </w:tcPr>
          <w:p w14:paraId="2B54B1FB" w14:textId="77777777" w:rsidR="00ED66D1" w:rsidRPr="003730B5" w:rsidRDefault="00ED66D1" w:rsidP="00447D7F">
            <w:pPr>
              <w:keepNext/>
              <w:keepLines/>
              <w:jc w:val="left"/>
              <w:rPr>
                <w:bCs/>
                <w:color w:val="000000"/>
                <w:sz w:val="20"/>
              </w:rPr>
            </w:pPr>
            <w:r w:rsidRPr="003730B5">
              <w:rPr>
                <w:bCs/>
                <w:color w:val="000000"/>
                <w:sz w:val="20"/>
              </w:rPr>
              <w:t>Kursová sázka - live sázka</w:t>
            </w:r>
          </w:p>
        </w:tc>
        <w:tc>
          <w:tcPr>
            <w:tcW w:w="1512" w:type="pct"/>
            <w:shd w:val="clear" w:color="auto" w:fill="auto"/>
            <w:noWrap/>
            <w:tcMar>
              <w:top w:w="0" w:type="dxa"/>
              <w:left w:w="70" w:type="dxa"/>
              <w:bottom w:w="0" w:type="dxa"/>
              <w:right w:w="70" w:type="dxa"/>
            </w:tcMar>
            <w:vAlign w:val="center"/>
            <w:hideMark/>
          </w:tcPr>
          <w:p w14:paraId="6B3CC598" w14:textId="77777777" w:rsidR="00ED66D1" w:rsidRPr="003730B5" w:rsidRDefault="00ED66D1" w:rsidP="00447D7F">
            <w:pPr>
              <w:keepNext/>
              <w:keepLines/>
              <w:jc w:val="center"/>
              <w:rPr>
                <w:color w:val="000000"/>
                <w:sz w:val="20"/>
              </w:rPr>
            </w:pPr>
            <w:r w:rsidRPr="003730B5">
              <w:rPr>
                <w:color w:val="000000"/>
                <w:sz w:val="20"/>
              </w:rPr>
              <w:t>30%</w:t>
            </w:r>
          </w:p>
        </w:tc>
        <w:tc>
          <w:tcPr>
            <w:tcW w:w="1139" w:type="pct"/>
            <w:shd w:val="clear" w:color="auto" w:fill="auto"/>
            <w:noWrap/>
            <w:tcMar>
              <w:top w:w="0" w:type="dxa"/>
              <w:left w:w="70" w:type="dxa"/>
              <w:bottom w:w="0" w:type="dxa"/>
              <w:right w:w="70" w:type="dxa"/>
            </w:tcMar>
            <w:vAlign w:val="center"/>
            <w:hideMark/>
          </w:tcPr>
          <w:p w14:paraId="15754923" w14:textId="77777777" w:rsidR="00ED66D1" w:rsidRPr="003730B5" w:rsidRDefault="00ED66D1" w:rsidP="00447D7F">
            <w:pPr>
              <w:keepNext/>
              <w:keepLines/>
              <w:jc w:val="center"/>
              <w:rPr>
                <w:color w:val="000000"/>
                <w:sz w:val="20"/>
              </w:rPr>
            </w:pPr>
            <w:r w:rsidRPr="003730B5">
              <w:rPr>
                <w:color w:val="000000"/>
                <w:sz w:val="20"/>
              </w:rPr>
              <w:t>30%</w:t>
            </w:r>
          </w:p>
        </w:tc>
      </w:tr>
      <w:tr w:rsidR="00ED66D1" w:rsidRPr="003730B5" w14:paraId="4279A772" w14:textId="77777777" w:rsidTr="00ED66D1">
        <w:trPr>
          <w:trHeight w:val="284"/>
          <w:jc w:val="center"/>
        </w:trPr>
        <w:tc>
          <w:tcPr>
            <w:tcW w:w="2349" w:type="pct"/>
            <w:shd w:val="clear" w:color="auto" w:fill="auto"/>
            <w:tcMar>
              <w:top w:w="0" w:type="dxa"/>
              <w:left w:w="70" w:type="dxa"/>
              <w:bottom w:w="0" w:type="dxa"/>
              <w:right w:w="70" w:type="dxa"/>
            </w:tcMar>
            <w:vAlign w:val="center"/>
            <w:hideMark/>
          </w:tcPr>
          <w:p w14:paraId="05B933DA" w14:textId="77777777" w:rsidR="00ED66D1" w:rsidRPr="003730B5" w:rsidRDefault="00ED66D1" w:rsidP="00447D7F">
            <w:pPr>
              <w:keepNext/>
              <w:keepLines/>
              <w:jc w:val="left"/>
              <w:rPr>
                <w:bCs/>
                <w:color w:val="000000"/>
                <w:sz w:val="20"/>
              </w:rPr>
            </w:pPr>
            <w:r w:rsidRPr="003730B5">
              <w:rPr>
                <w:bCs/>
                <w:color w:val="000000"/>
                <w:sz w:val="20"/>
              </w:rPr>
              <w:t>Totalizátorová hra</w:t>
            </w:r>
          </w:p>
        </w:tc>
        <w:tc>
          <w:tcPr>
            <w:tcW w:w="1512" w:type="pct"/>
            <w:shd w:val="clear" w:color="auto" w:fill="auto"/>
            <w:noWrap/>
            <w:tcMar>
              <w:top w:w="0" w:type="dxa"/>
              <w:left w:w="70" w:type="dxa"/>
              <w:bottom w:w="0" w:type="dxa"/>
              <w:right w:w="70" w:type="dxa"/>
            </w:tcMar>
            <w:vAlign w:val="center"/>
            <w:hideMark/>
          </w:tcPr>
          <w:p w14:paraId="2D06D63D" w14:textId="77777777" w:rsidR="00ED66D1" w:rsidRPr="003730B5" w:rsidRDefault="00ED66D1" w:rsidP="00447D7F">
            <w:pPr>
              <w:keepNext/>
              <w:keepLines/>
              <w:jc w:val="center"/>
              <w:rPr>
                <w:color w:val="000000"/>
                <w:sz w:val="20"/>
              </w:rPr>
            </w:pPr>
            <w:r w:rsidRPr="003730B5">
              <w:rPr>
                <w:color w:val="000000"/>
                <w:sz w:val="20"/>
              </w:rPr>
              <w:t>30%</w:t>
            </w:r>
          </w:p>
        </w:tc>
        <w:tc>
          <w:tcPr>
            <w:tcW w:w="1139" w:type="pct"/>
            <w:shd w:val="clear" w:color="auto" w:fill="auto"/>
            <w:noWrap/>
            <w:tcMar>
              <w:top w:w="0" w:type="dxa"/>
              <w:left w:w="70" w:type="dxa"/>
              <w:bottom w:w="0" w:type="dxa"/>
              <w:right w:w="70" w:type="dxa"/>
            </w:tcMar>
            <w:vAlign w:val="center"/>
            <w:hideMark/>
          </w:tcPr>
          <w:p w14:paraId="7A55A3CB" w14:textId="77777777" w:rsidR="00ED66D1" w:rsidRPr="003730B5" w:rsidRDefault="00ED66D1" w:rsidP="00447D7F">
            <w:pPr>
              <w:keepNext/>
              <w:keepLines/>
              <w:jc w:val="center"/>
              <w:rPr>
                <w:color w:val="000000"/>
                <w:sz w:val="20"/>
              </w:rPr>
            </w:pPr>
            <w:r w:rsidRPr="003730B5">
              <w:rPr>
                <w:color w:val="000000"/>
                <w:sz w:val="20"/>
              </w:rPr>
              <w:t>30%</w:t>
            </w:r>
          </w:p>
        </w:tc>
      </w:tr>
      <w:tr w:rsidR="00ED66D1" w:rsidRPr="003730B5" w14:paraId="0710E681" w14:textId="77777777" w:rsidTr="00ED66D1">
        <w:trPr>
          <w:trHeight w:val="284"/>
          <w:jc w:val="center"/>
        </w:trPr>
        <w:tc>
          <w:tcPr>
            <w:tcW w:w="2349" w:type="pct"/>
            <w:shd w:val="clear" w:color="auto" w:fill="auto"/>
            <w:tcMar>
              <w:top w:w="0" w:type="dxa"/>
              <w:left w:w="70" w:type="dxa"/>
              <w:bottom w:w="0" w:type="dxa"/>
              <w:right w:w="70" w:type="dxa"/>
            </w:tcMar>
            <w:vAlign w:val="center"/>
            <w:hideMark/>
          </w:tcPr>
          <w:p w14:paraId="50198E44" w14:textId="77777777" w:rsidR="00ED66D1" w:rsidRPr="003730B5" w:rsidRDefault="00ED66D1" w:rsidP="00447D7F">
            <w:pPr>
              <w:keepNext/>
              <w:keepLines/>
              <w:jc w:val="left"/>
              <w:rPr>
                <w:bCs/>
                <w:color w:val="000000"/>
                <w:sz w:val="20"/>
              </w:rPr>
            </w:pPr>
            <w:r w:rsidRPr="003730B5">
              <w:rPr>
                <w:bCs/>
                <w:color w:val="000000"/>
                <w:sz w:val="20"/>
              </w:rPr>
              <w:t>Tombola</w:t>
            </w:r>
          </w:p>
        </w:tc>
        <w:tc>
          <w:tcPr>
            <w:tcW w:w="1512" w:type="pct"/>
            <w:shd w:val="clear" w:color="auto" w:fill="auto"/>
            <w:noWrap/>
            <w:tcMar>
              <w:top w:w="0" w:type="dxa"/>
              <w:left w:w="70" w:type="dxa"/>
              <w:bottom w:w="0" w:type="dxa"/>
              <w:right w:w="70" w:type="dxa"/>
            </w:tcMar>
            <w:vAlign w:val="center"/>
            <w:hideMark/>
          </w:tcPr>
          <w:p w14:paraId="7F7395F9" w14:textId="77777777" w:rsidR="00ED66D1" w:rsidRPr="003730B5" w:rsidRDefault="00ED66D1" w:rsidP="00447D7F">
            <w:pPr>
              <w:keepNext/>
              <w:keepLines/>
              <w:jc w:val="center"/>
              <w:rPr>
                <w:color w:val="000000"/>
                <w:sz w:val="20"/>
              </w:rPr>
            </w:pPr>
            <w:r w:rsidRPr="003730B5">
              <w:rPr>
                <w:color w:val="000000"/>
                <w:sz w:val="20"/>
              </w:rPr>
              <w:t>30%</w:t>
            </w:r>
          </w:p>
        </w:tc>
        <w:tc>
          <w:tcPr>
            <w:tcW w:w="1139" w:type="pct"/>
            <w:shd w:val="clear" w:color="auto" w:fill="auto"/>
            <w:noWrap/>
            <w:tcMar>
              <w:top w:w="0" w:type="dxa"/>
              <w:left w:w="70" w:type="dxa"/>
              <w:bottom w:w="0" w:type="dxa"/>
              <w:right w:w="70" w:type="dxa"/>
            </w:tcMar>
            <w:vAlign w:val="center"/>
            <w:hideMark/>
          </w:tcPr>
          <w:p w14:paraId="104D7868" w14:textId="77777777" w:rsidR="00ED66D1" w:rsidRPr="003730B5" w:rsidRDefault="00ED66D1" w:rsidP="00447D7F">
            <w:pPr>
              <w:keepNext/>
              <w:keepLines/>
              <w:jc w:val="center"/>
              <w:rPr>
                <w:color w:val="000000"/>
                <w:sz w:val="20"/>
              </w:rPr>
            </w:pPr>
            <w:r w:rsidRPr="003730B5">
              <w:rPr>
                <w:color w:val="000000"/>
                <w:sz w:val="20"/>
              </w:rPr>
              <w:t>x</w:t>
            </w:r>
          </w:p>
        </w:tc>
      </w:tr>
      <w:tr w:rsidR="00ED66D1" w:rsidRPr="003730B5" w14:paraId="78F8A768" w14:textId="77777777" w:rsidTr="00ED66D1">
        <w:trPr>
          <w:trHeight w:val="284"/>
          <w:jc w:val="center"/>
        </w:trPr>
        <w:tc>
          <w:tcPr>
            <w:tcW w:w="2349" w:type="pct"/>
            <w:shd w:val="clear" w:color="auto" w:fill="auto"/>
            <w:tcMar>
              <w:top w:w="0" w:type="dxa"/>
              <w:left w:w="70" w:type="dxa"/>
              <w:bottom w:w="0" w:type="dxa"/>
              <w:right w:w="70" w:type="dxa"/>
            </w:tcMar>
            <w:vAlign w:val="center"/>
            <w:hideMark/>
          </w:tcPr>
          <w:p w14:paraId="2E67A999" w14:textId="77777777" w:rsidR="00ED66D1" w:rsidRPr="003730B5" w:rsidRDefault="00ED66D1" w:rsidP="00447D7F">
            <w:pPr>
              <w:keepNext/>
              <w:keepLines/>
              <w:jc w:val="left"/>
              <w:rPr>
                <w:bCs/>
                <w:color w:val="000000"/>
                <w:sz w:val="20"/>
              </w:rPr>
            </w:pPr>
            <w:r w:rsidRPr="003730B5">
              <w:rPr>
                <w:bCs/>
                <w:color w:val="000000"/>
                <w:sz w:val="20"/>
              </w:rPr>
              <w:t>TMR</w:t>
            </w:r>
          </w:p>
        </w:tc>
        <w:tc>
          <w:tcPr>
            <w:tcW w:w="1512" w:type="pct"/>
            <w:shd w:val="clear" w:color="auto" w:fill="auto"/>
            <w:noWrap/>
            <w:tcMar>
              <w:top w:w="0" w:type="dxa"/>
              <w:left w:w="70" w:type="dxa"/>
              <w:bottom w:w="0" w:type="dxa"/>
              <w:right w:w="70" w:type="dxa"/>
            </w:tcMar>
            <w:vAlign w:val="center"/>
            <w:hideMark/>
          </w:tcPr>
          <w:p w14:paraId="59E2180A" w14:textId="77777777" w:rsidR="00ED66D1" w:rsidRPr="003730B5" w:rsidRDefault="00ED66D1" w:rsidP="00447D7F">
            <w:pPr>
              <w:keepNext/>
              <w:keepLines/>
              <w:jc w:val="center"/>
              <w:rPr>
                <w:color w:val="000000"/>
                <w:sz w:val="20"/>
              </w:rPr>
            </w:pPr>
            <w:r w:rsidRPr="003730B5">
              <w:rPr>
                <w:color w:val="000000"/>
                <w:sz w:val="20"/>
              </w:rPr>
              <w:t>30%</w:t>
            </w:r>
          </w:p>
        </w:tc>
        <w:tc>
          <w:tcPr>
            <w:tcW w:w="1139" w:type="pct"/>
            <w:shd w:val="clear" w:color="auto" w:fill="auto"/>
            <w:noWrap/>
            <w:tcMar>
              <w:top w:w="0" w:type="dxa"/>
              <w:left w:w="70" w:type="dxa"/>
              <w:bottom w:w="0" w:type="dxa"/>
              <w:right w:w="70" w:type="dxa"/>
            </w:tcMar>
            <w:vAlign w:val="center"/>
            <w:hideMark/>
          </w:tcPr>
          <w:p w14:paraId="51C12015" w14:textId="77777777" w:rsidR="00ED66D1" w:rsidRPr="003730B5" w:rsidRDefault="00ED66D1" w:rsidP="00447D7F">
            <w:pPr>
              <w:keepNext/>
              <w:keepLines/>
              <w:jc w:val="center"/>
              <w:rPr>
                <w:color w:val="000000"/>
                <w:sz w:val="20"/>
              </w:rPr>
            </w:pPr>
            <w:r w:rsidRPr="003730B5">
              <w:rPr>
                <w:color w:val="000000"/>
                <w:sz w:val="20"/>
              </w:rPr>
              <w:t>x</w:t>
            </w:r>
          </w:p>
        </w:tc>
      </w:tr>
    </w:tbl>
    <w:p w14:paraId="2BEF1AC7" w14:textId="0BD4BF48" w:rsidR="009D192D" w:rsidRPr="003730B5" w:rsidRDefault="00E712DE" w:rsidP="00ED66D1">
      <w:pPr>
        <w:widowControl w:val="0"/>
        <w:spacing w:before="120" w:after="120"/>
      </w:pPr>
      <w:r w:rsidRPr="003730B5">
        <w:t>V </w:t>
      </w:r>
      <w:r w:rsidR="009D192D" w:rsidRPr="003730B5">
        <w:t xml:space="preserve">současné době jsou poměrně nespravedlivě distribuovány příjmy hazardní daně z technických her. Historicky byl přisouzen obecním rozpočtům významnější podíl na inkasu hazardní daně </w:t>
      </w:r>
      <w:r w:rsidRPr="003730B5">
        <w:t>z </w:t>
      </w:r>
      <w:r w:rsidR="009D192D" w:rsidRPr="003730B5">
        <w:t xml:space="preserve">technických her (jak z tzv. </w:t>
      </w:r>
      <w:r w:rsidR="009D192D" w:rsidRPr="003730B5">
        <w:rPr>
          <w:i/>
        </w:rPr>
        <w:t>land</w:t>
      </w:r>
      <w:r w:rsidR="00ED66D1" w:rsidRPr="003730B5">
        <w:rPr>
          <w:i/>
        </w:rPr>
        <w:t>-</w:t>
      </w:r>
      <w:r w:rsidR="009D192D" w:rsidRPr="003730B5">
        <w:rPr>
          <w:i/>
        </w:rPr>
        <w:t>base</w:t>
      </w:r>
      <w:r w:rsidR="009D192D" w:rsidRPr="003730B5">
        <w:t xml:space="preserve">, tak </w:t>
      </w:r>
      <w:r w:rsidRPr="003730B5">
        <w:t>i </w:t>
      </w:r>
      <w:r w:rsidR="009D192D" w:rsidRPr="003730B5">
        <w:t xml:space="preserve">internetových) </w:t>
      </w:r>
      <w:r w:rsidRPr="003730B5">
        <w:t>s </w:t>
      </w:r>
      <w:r w:rsidR="009D192D" w:rsidRPr="003730B5">
        <w:t>tím, že tento podíl je rozdělen dle množství automatů na území jednotlivých obcí, tj. dominantní část inkasa jde velmi disproporčně několika (zpravidla příhraničním) obcím.</w:t>
      </w:r>
    </w:p>
    <w:p w14:paraId="0EE31777" w14:textId="77777777" w:rsidR="009D192D" w:rsidRPr="003730B5" w:rsidRDefault="009D192D" w:rsidP="009D192D">
      <w:pPr>
        <w:widowControl w:val="0"/>
        <w:spacing w:after="120"/>
      </w:pPr>
      <w:r w:rsidRPr="003730B5">
        <w:t>Dnešní rozdělení inkasa:</w:t>
      </w:r>
    </w:p>
    <w:p w14:paraId="3907FB89" w14:textId="6FA64417" w:rsidR="009D192D" w:rsidRPr="003730B5" w:rsidRDefault="009D192D" w:rsidP="00D16775">
      <w:pPr>
        <w:pStyle w:val="Odstavecseseznamem"/>
        <w:widowControl w:val="0"/>
        <w:numPr>
          <w:ilvl w:val="0"/>
          <w:numId w:val="37"/>
        </w:numPr>
        <w:spacing w:after="120"/>
      </w:pPr>
      <w:r w:rsidRPr="003730B5">
        <w:t xml:space="preserve">Daň </w:t>
      </w:r>
      <w:r w:rsidR="00E712DE" w:rsidRPr="003730B5">
        <w:t>z </w:t>
      </w:r>
      <w:r w:rsidRPr="003730B5">
        <w:t>technických her (land</w:t>
      </w:r>
      <w:r w:rsidR="00ED66D1" w:rsidRPr="003730B5">
        <w:t>-</w:t>
      </w:r>
      <w:r w:rsidRPr="003730B5">
        <w:t xml:space="preserve">base </w:t>
      </w:r>
      <w:r w:rsidR="00E712DE" w:rsidRPr="003730B5">
        <w:t>i </w:t>
      </w:r>
      <w:r w:rsidRPr="003730B5">
        <w:t>internetových) 35 % stát, 65 % obce (podle počtu povolených zařízení).</w:t>
      </w:r>
    </w:p>
    <w:p w14:paraId="644C5878" w14:textId="6AEEE1ED" w:rsidR="00C13373" w:rsidRPr="003730B5" w:rsidRDefault="009D192D" w:rsidP="00D16775">
      <w:pPr>
        <w:pStyle w:val="Odstavecseseznamem"/>
        <w:widowControl w:val="0"/>
        <w:numPr>
          <w:ilvl w:val="0"/>
          <w:numId w:val="37"/>
        </w:numPr>
        <w:spacing w:after="120"/>
      </w:pPr>
      <w:r w:rsidRPr="003730B5">
        <w:t>Ostatní hazardní hry - 70 % stát, 30 % obce.</w:t>
      </w:r>
    </w:p>
    <w:p w14:paraId="5FEADCCB" w14:textId="77777777" w:rsidR="00C13373" w:rsidRPr="003730B5" w:rsidRDefault="00C13373" w:rsidP="00C13373">
      <w:pPr>
        <w:widowControl w:val="0"/>
        <w:spacing w:after="120"/>
        <w:rPr>
          <w:u w:val="single"/>
        </w:rPr>
      </w:pPr>
      <w:r w:rsidRPr="003730B5">
        <w:rPr>
          <w:u w:val="single"/>
        </w:rPr>
        <w:t>Navržené řešení:</w:t>
      </w:r>
    </w:p>
    <w:p w14:paraId="5B1FC0E6" w14:textId="4FE6CC99" w:rsidR="00ED66D1" w:rsidRPr="003730B5" w:rsidRDefault="00B24CAD" w:rsidP="00ED66D1">
      <w:pPr>
        <w:widowControl w:val="0"/>
        <w:spacing w:after="120"/>
      </w:pPr>
      <w:r w:rsidRPr="003730B5">
        <w:t xml:space="preserve">Zvýšení druhé sazby daně </w:t>
      </w:r>
      <w:r w:rsidR="00E712DE" w:rsidRPr="003730B5">
        <w:t>z </w:t>
      </w:r>
      <w:r w:rsidRPr="003730B5">
        <w:t xml:space="preserve">hazardních her </w:t>
      </w:r>
      <w:r w:rsidR="00E712DE" w:rsidRPr="003730B5">
        <w:t>z </w:t>
      </w:r>
      <w:r w:rsidRPr="003730B5">
        <w:t>23 % na 30 %</w:t>
      </w:r>
      <w:r w:rsidR="00ED66D1" w:rsidRPr="003730B5">
        <w:t>. Inkaso daně z hazardních her ze všech internetových her bude náležet ze 100 % státu.</w:t>
      </w:r>
    </w:p>
    <w:p w14:paraId="5025327C" w14:textId="7022D664" w:rsidR="00C13373" w:rsidRPr="003730B5" w:rsidRDefault="00E712DE" w:rsidP="00B24CAD">
      <w:pPr>
        <w:widowControl w:val="0"/>
        <w:spacing w:after="120"/>
      </w:pPr>
      <w:r w:rsidRPr="003730B5">
        <w:t>V </w:t>
      </w:r>
      <w:r w:rsidR="00B24CAD" w:rsidRPr="003730B5">
        <w:t xml:space="preserve">souladu </w:t>
      </w:r>
      <w:r w:rsidRPr="003730B5">
        <w:t>s </w:t>
      </w:r>
      <w:r w:rsidR="00B24CAD" w:rsidRPr="003730B5">
        <w:t xml:space="preserve">principy ochrany veřejného zdraví </w:t>
      </w:r>
      <w:r w:rsidRPr="003730B5">
        <w:t>a </w:t>
      </w:r>
      <w:r w:rsidR="00B24CAD" w:rsidRPr="003730B5">
        <w:t xml:space="preserve">bojem se závislostmi vláda </w:t>
      </w:r>
      <w:r w:rsidR="00ED66D1" w:rsidRPr="003730B5">
        <w:t xml:space="preserve">se </w:t>
      </w:r>
      <w:r w:rsidR="00B24CAD" w:rsidRPr="003730B5">
        <w:t xml:space="preserve">navrhuje druhou sazbu 23 % uplatňovanou aktuálně </w:t>
      </w:r>
      <w:r w:rsidRPr="003730B5">
        <w:t>u </w:t>
      </w:r>
      <w:r w:rsidR="00B24CAD" w:rsidRPr="003730B5">
        <w:t xml:space="preserve">živých her (např. kostky, karty, ruleta), binga, kursových sázek (sázky na výsledek, live sázky), totalizátorových her (dostihy), tombol </w:t>
      </w:r>
      <w:r w:rsidRPr="003730B5">
        <w:t>a </w:t>
      </w:r>
      <w:r w:rsidR="00B24CAD" w:rsidRPr="003730B5">
        <w:t xml:space="preserve">turnajů malého rozsahu (poker) zvýšit na 30 %. </w:t>
      </w:r>
      <w:r w:rsidR="00ED66D1" w:rsidRPr="003730B5">
        <w:t>S</w:t>
      </w:r>
      <w:r w:rsidR="00B24CAD" w:rsidRPr="003730B5">
        <w:t xml:space="preserve">oučasně </w:t>
      </w:r>
      <w:r w:rsidR="00ED66D1" w:rsidRPr="003730B5">
        <w:t xml:space="preserve">se </w:t>
      </w:r>
      <w:r w:rsidR="00B24CAD" w:rsidRPr="003730B5">
        <w:t xml:space="preserve">navrhuje ponechat základní sazbu 35 % uplatňovanou aktuálně </w:t>
      </w:r>
      <w:r w:rsidRPr="003730B5">
        <w:t>u </w:t>
      </w:r>
      <w:r w:rsidR="00B24CAD" w:rsidRPr="003730B5">
        <w:t xml:space="preserve">loterií </w:t>
      </w:r>
      <w:r w:rsidRPr="003730B5">
        <w:t>a </w:t>
      </w:r>
      <w:r w:rsidR="00B24CAD" w:rsidRPr="003730B5">
        <w:t xml:space="preserve">technických her ve stávající výši. </w:t>
      </w:r>
      <w:r w:rsidRPr="003730B5">
        <w:t>U </w:t>
      </w:r>
      <w:r w:rsidR="00B24CAD" w:rsidRPr="003730B5">
        <w:t xml:space="preserve">technických her jsou důvodem rizika plynoucí </w:t>
      </w:r>
      <w:r w:rsidRPr="003730B5">
        <w:t>z </w:t>
      </w:r>
      <w:r w:rsidR="00B24CAD" w:rsidRPr="003730B5">
        <w:t xml:space="preserve">překročení vrcholu tzv. </w:t>
      </w:r>
      <w:r w:rsidR="00B24CAD" w:rsidRPr="003730B5">
        <w:rPr>
          <w:i/>
        </w:rPr>
        <w:t>Lafferovy křivky</w:t>
      </w:r>
      <w:r w:rsidR="00B24CAD" w:rsidRPr="003730B5">
        <w:t xml:space="preserve">, kdy další navýšení daně už kvůli rozšíření šedé ekonomiky negeneruje dodatečný přínos pro státní rozpočet. Návrh dále řeší zásadní neproporcionalitu, kdy výnos daně </w:t>
      </w:r>
      <w:r w:rsidRPr="003730B5">
        <w:t>z </w:t>
      </w:r>
      <w:r w:rsidR="00B24CAD" w:rsidRPr="003730B5">
        <w:t>technick</w:t>
      </w:r>
      <w:r w:rsidR="00D03256" w:rsidRPr="003730B5">
        <w:t>ých her (jak land-based, tak na </w:t>
      </w:r>
      <w:r w:rsidR="00B24CAD" w:rsidRPr="003730B5">
        <w:t xml:space="preserve">internetu) doposud plyne na úkor ostatních obcí pouze vybrané skupině obcí, které na svém území mají povolené technické hry, což je zejména </w:t>
      </w:r>
      <w:r w:rsidRPr="003730B5">
        <w:t>u </w:t>
      </w:r>
      <w:r w:rsidR="00B24CAD" w:rsidRPr="003730B5">
        <w:t xml:space="preserve">technické hry na internetu bezdůvodné. Dopady hraní na internetu </w:t>
      </w:r>
      <w:r w:rsidRPr="003730B5">
        <w:t>u </w:t>
      </w:r>
      <w:r w:rsidR="00B24CAD" w:rsidRPr="003730B5">
        <w:t xml:space="preserve">všech typů her totiž </w:t>
      </w:r>
      <w:r w:rsidRPr="003730B5">
        <w:t>v </w:t>
      </w:r>
      <w:r w:rsidR="00B24CAD" w:rsidRPr="003730B5">
        <w:t xml:space="preserve">principu nejsou vázány na místo, kde má hazardní společnost provozovnu/sídlo. </w:t>
      </w:r>
      <w:r w:rsidRPr="003730B5">
        <w:t>Z </w:t>
      </w:r>
      <w:r w:rsidR="00B24CAD" w:rsidRPr="003730B5">
        <w:t xml:space="preserve">tohoto důvodu </w:t>
      </w:r>
      <w:r w:rsidR="00ED66D1" w:rsidRPr="003730B5">
        <w:t>se</w:t>
      </w:r>
      <w:r w:rsidR="00B24CAD" w:rsidRPr="003730B5">
        <w:t xml:space="preserve"> navrhuje změn</w:t>
      </w:r>
      <w:r w:rsidR="00ED66D1" w:rsidRPr="003730B5">
        <w:t>a</w:t>
      </w:r>
      <w:r w:rsidR="00B24CAD" w:rsidRPr="003730B5">
        <w:t xml:space="preserve"> rozpočtového určení daní tak, že výnos ze všech online hazardních her bude nově 100% příjmem státního rozpočtu </w:t>
      </w:r>
      <w:r w:rsidRPr="003730B5">
        <w:t>a </w:t>
      </w:r>
      <w:r w:rsidR="00B24CAD" w:rsidRPr="003730B5">
        <w:t xml:space="preserve">současně výnos ze všech land-based hazardních her bude nově 65% příjmem obcí </w:t>
      </w:r>
      <w:r w:rsidRPr="003730B5">
        <w:t>a </w:t>
      </w:r>
      <w:r w:rsidR="00B24CAD" w:rsidRPr="003730B5">
        <w:t>35% příjmem státního rozpočtu.</w:t>
      </w:r>
    </w:p>
    <w:p w14:paraId="4188F419" w14:textId="17FDFD2C" w:rsidR="00C13373" w:rsidRPr="003730B5" w:rsidRDefault="00DC6CC6" w:rsidP="00805C42">
      <w:pPr>
        <w:pStyle w:val="Nadpis2"/>
        <w:widowControl w:val="0"/>
        <w:numPr>
          <w:ilvl w:val="3"/>
          <w:numId w:val="28"/>
        </w:numPr>
        <w:shd w:val="clear" w:color="auto" w:fill="FFFFFF"/>
        <w:tabs>
          <w:tab w:val="left" w:pos="567"/>
        </w:tabs>
        <w:jc w:val="both"/>
        <w:rPr>
          <w:i/>
          <w:sz w:val="24"/>
        </w:rPr>
      </w:pPr>
      <w:r w:rsidRPr="003730B5">
        <w:rPr>
          <w:i/>
          <w:sz w:val="24"/>
        </w:rPr>
        <w:lastRenderedPageBreak/>
        <w:t>Daň z nemovitých věcí</w:t>
      </w:r>
      <w:r w:rsidR="00C13373" w:rsidRPr="003730B5">
        <w:rPr>
          <w:i/>
          <w:sz w:val="24"/>
        </w:rPr>
        <w:t xml:space="preserve"> </w:t>
      </w:r>
      <w:r w:rsidR="00AC226B" w:rsidRPr="003730B5">
        <w:rPr>
          <w:i/>
          <w:sz w:val="24"/>
        </w:rPr>
        <w:t xml:space="preserve">– změna </w:t>
      </w:r>
      <w:r w:rsidR="00E712DE" w:rsidRPr="003730B5">
        <w:rPr>
          <w:i/>
          <w:sz w:val="24"/>
        </w:rPr>
        <w:t>a </w:t>
      </w:r>
      <w:r w:rsidR="00AC226B" w:rsidRPr="003730B5">
        <w:rPr>
          <w:i/>
          <w:sz w:val="24"/>
        </w:rPr>
        <w:t xml:space="preserve">valorizace sazeb </w:t>
      </w:r>
      <w:r w:rsidR="00E712DE" w:rsidRPr="003730B5">
        <w:rPr>
          <w:i/>
          <w:sz w:val="24"/>
        </w:rPr>
        <w:t>a </w:t>
      </w:r>
      <w:r w:rsidR="00AC226B" w:rsidRPr="003730B5">
        <w:rPr>
          <w:i/>
          <w:sz w:val="24"/>
        </w:rPr>
        <w:t>změna rozpočtového určení</w:t>
      </w:r>
    </w:p>
    <w:p w14:paraId="3E0946BD" w14:textId="45670CBC" w:rsidR="00C13373" w:rsidRPr="003730B5" w:rsidRDefault="00C13373" w:rsidP="00C13373">
      <w:pPr>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p w14:paraId="06EDF5C7" w14:textId="2647BA9B" w:rsidR="00650BE2" w:rsidRPr="003730B5" w:rsidRDefault="00650BE2" w:rsidP="00650BE2">
      <w:pPr>
        <w:widowControl w:val="0"/>
        <w:spacing w:after="120"/>
      </w:pPr>
      <w:r w:rsidRPr="003730B5">
        <w:t>Výnos daně z nemovitých věcí je 100% příjmem rozpočtů obcí.</w:t>
      </w:r>
    </w:p>
    <w:p w14:paraId="4E42DE88" w14:textId="6CE10C48" w:rsidR="00650BE2" w:rsidRPr="003730B5" w:rsidRDefault="00650BE2" w:rsidP="00650BE2">
      <w:pPr>
        <w:widowControl w:val="0"/>
        <w:spacing w:after="120"/>
      </w:pPr>
      <w:r w:rsidRPr="003730B5">
        <w:t xml:space="preserve">Vlivem zrušení daně z nabytí nemovitých věcí je segment zdanění nemovitostí zatížen v podstatě jen marginálně, </w:t>
      </w:r>
      <w:r w:rsidR="00E712DE" w:rsidRPr="003730B5">
        <w:t>a </w:t>
      </w:r>
      <w:r w:rsidRPr="003730B5">
        <w:t>to jak v relativním vyjádření ve vztahu k HDP (0,</w:t>
      </w:r>
      <w:r w:rsidR="00E712DE" w:rsidRPr="003730B5">
        <w:t>2 </w:t>
      </w:r>
      <w:r w:rsidRPr="003730B5">
        <w:t>% HDP), tak i v porovnání s ostatními zeměmi (Česká republika na 36. příčce z 37 zemí OECD).</w:t>
      </w:r>
    </w:p>
    <w:p w14:paraId="04EB8A78" w14:textId="68766C58" w:rsidR="00C13373" w:rsidRPr="003730B5" w:rsidRDefault="00650BE2" w:rsidP="00C13373">
      <w:pPr>
        <w:widowControl w:val="0"/>
        <w:spacing w:after="120"/>
      </w:pPr>
      <w:r w:rsidRPr="003730B5">
        <w:t xml:space="preserve">Vzhledem </w:t>
      </w:r>
      <w:r w:rsidR="00E712DE" w:rsidRPr="003730B5">
        <w:t>k </w:t>
      </w:r>
      <w:r w:rsidRPr="003730B5">
        <w:t xml:space="preserve">tomu, že daň </w:t>
      </w:r>
      <w:r w:rsidR="00E712DE" w:rsidRPr="003730B5">
        <w:t>z </w:t>
      </w:r>
      <w:r w:rsidRPr="003730B5">
        <w:t xml:space="preserve">nemovitých věcí má ve většině případů pevnou sazbu daně, dochází </w:t>
      </w:r>
      <w:r w:rsidR="00E712DE" w:rsidRPr="003730B5">
        <w:t>v </w:t>
      </w:r>
      <w:r w:rsidRPr="003730B5">
        <w:t xml:space="preserve">případě zachování sazeb daně na stejné výši </w:t>
      </w:r>
      <w:r w:rsidR="00E712DE" w:rsidRPr="003730B5">
        <w:t>k </w:t>
      </w:r>
      <w:r w:rsidRPr="003730B5">
        <w:t>jejímu reálnému snižování (</w:t>
      </w:r>
      <w:r w:rsidR="00E712DE" w:rsidRPr="003730B5">
        <w:t>v </w:t>
      </w:r>
      <w:r w:rsidRPr="003730B5">
        <w:t xml:space="preserve">relativním vyjádření </w:t>
      </w:r>
      <w:r w:rsidR="00E712DE" w:rsidRPr="003730B5">
        <w:t>k </w:t>
      </w:r>
      <w:r w:rsidRPr="003730B5">
        <w:t xml:space="preserve">růstu mezd </w:t>
      </w:r>
      <w:r w:rsidR="00E712DE" w:rsidRPr="003730B5">
        <w:t>i </w:t>
      </w:r>
      <w:r w:rsidRPr="003730B5">
        <w:t xml:space="preserve">cen). Většina sazeb daně </w:t>
      </w:r>
      <w:r w:rsidR="00E712DE" w:rsidRPr="003730B5">
        <w:t>z </w:t>
      </w:r>
      <w:r w:rsidRPr="003730B5">
        <w:t xml:space="preserve">nemovitých věcí je fixní, </w:t>
      </w:r>
      <w:r w:rsidR="00E712DE" w:rsidRPr="003730B5">
        <w:t>v </w:t>
      </w:r>
      <w:r w:rsidRPr="003730B5">
        <w:t xml:space="preserve">roce 2010 vzrostla většina </w:t>
      </w:r>
      <w:r w:rsidR="00E712DE" w:rsidRPr="003730B5">
        <w:t>z </w:t>
      </w:r>
      <w:r w:rsidRPr="003730B5">
        <w:t>nich na dvojnásobek, některé sazby se ale za celou dobu existence zákona o dani z nemovitých věcí nezměnily.</w:t>
      </w:r>
    </w:p>
    <w:p w14:paraId="5B2BCDD9" w14:textId="77777777" w:rsidR="00C13373" w:rsidRPr="003730B5" w:rsidRDefault="00C13373" w:rsidP="00C13373">
      <w:pPr>
        <w:widowControl w:val="0"/>
        <w:spacing w:after="120"/>
        <w:rPr>
          <w:u w:val="single"/>
        </w:rPr>
      </w:pPr>
      <w:r w:rsidRPr="003730B5">
        <w:rPr>
          <w:u w:val="single"/>
        </w:rPr>
        <w:t>Navržené řešení:</w:t>
      </w:r>
    </w:p>
    <w:p w14:paraId="0E0CAA1D" w14:textId="247CAFED" w:rsidR="00FE7CAF" w:rsidRPr="003730B5" w:rsidRDefault="00FE7CAF" w:rsidP="00FE7CAF">
      <w:pPr>
        <w:widowControl w:val="0"/>
        <w:spacing w:after="120"/>
      </w:pPr>
      <w:r w:rsidRPr="003730B5">
        <w:t xml:space="preserve">Zvýšení sazeb daně </w:t>
      </w:r>
      <w:r w:rsidR="00E712DE" w:rsidRPr="003730B5">
        <w:t>z </w:t>
      </w:r>
      <w:r w:rsidRPr="003730B5">
        <w:t>nemovitých věcí až na dvojnásobek plně ve prospěch státního rozpočtu. Zavedení automatické valorizace daňové povinnosti podle inflace.</w:t>
      </w:r>
    </w:p>
    <w:p w14:paraId="01FC707D" w14:textId="19618B90" w:rsidR="001D1467" w:rsidRPr="003730B5" w:rsidRDefault="001D1467" w:rsidP="001D1467">
      <w:pPr>
        <w:widowControl w:val="0"/>
        <w:spacing w:after="120"/>
      </w:pPr>
      <w:r w:rsidRPr="003730B5">
        <w:t>V souladu s doporučeními z NERV se navrhuje zavést státní část daně, která by odpovídala sazbě daně bez uplatnění místního koeficientu, jejíž ink</w:t>
      </w:r>
      <w:r w:rsidR="00D03256" w:rsidRPr="003730B5">
        <w:t>aso bude 100% příjmem státu. Do </w:t>
      </w:r>
      <w:r w:rsidRPr="003730B5">
        <w:t>současnosti přitom je nastavení daně pro státní rozpočet ztrátové, neboť její správa, kterou vykonávají finanční úřady, stojí 1,2 mld. Kč ročně, zatímco inkaso je 100% příjmem obcí. Obecní rozpočty zavedení státního koeficientu rozpočtově nijak nepoškodí a bude jim nadále náležet dosavadní inkaso daně ve formě místní části daně ovlivnitelné ze strany obce hodnotou místního koeficientu. Místní část daně tak bude moci dosáhnout až pětinásobku státní části daně</w:t>
      </w:r>
    </w:p>
    <w:p w14:paraId="4C741811" w14:textId="30BB8E3D" w:rsidR="001D1467" w:rsidRPr="003730B5" w:rsidRDefault="001D1467" w:rsidP="001D1467">
      <w:pPr>
        <w:widowControl w:val="0"/>
        <w:spacing w:after="120"/>
      </w:pPr>
      <w:r w:rsidRPr="003730B5">
        <w:t xml:space="preserve">Od roku 2025 se navrhuje zavést podle růstu inflace automatický valorizační mechanismus daně tzv. </w:t>
      </w:r>
      <w:r w:rsidRPr="003730B5">
        <w:rPr>
          <w:i/>
        </w:rPr>
        <w:t>inflačním koeficientem</w:t>
      </w:r>
      <w:r w:rsidRPr="003730B5">
        <w:t xml:space="preserve"> vycházejícím z růstu cenové hladiny oproti roku 2023. Růst inflačního koeficientu je zastropován tak, aby meziročně vyrostl nejvíce </w:t>
      </w:r>
      <w:r w:rsidR="00811C11" w:rsidRPr="003730B5">
        <w:t>o </w:t>
      </w:r>
      <w:r w:rsidRPr="003730B5">
        <w:t xml:space="preserve">jednu pětinu své aktuální hodnoty. </w:t>
      </w:r>
      <w:r w:rsidR="00811C11" w:rsidRPr="003730B5">
        <w:t>V </w:t>
      </w:r>
      <w:r w:rsidRPr="003730B5">
        <w:t>případě deflace nedojde ke snížení inflačního koeficientu. Inflační koeficient neovlivní daň za zemědělské pozemky, neboť v jejich případě je inflace již zohledněna v průměrné ceně pozemku stanovené vyhláškou.</w:t>
      </w:r>
    </w:p>
    <w:p w14:paraId="3A84D6C6" w14:textId="3DDACB74" w:rsidR="00C13373" w:rsidRPr="003730B5" w:rsidRDefault="00FE7CAF" w:rsidP="00FE7CAF">
      <w:pPr>
        <w:widowControl w:val="0"/>
        <w:spacing w:after="120"/>
      </w:pPr>
      <w:r w:rsidRPr="003730B5">
        <w:rPr>
          <w:b/>
        </w:rPr>
        <w:t>Mezinárodní srovnání:</w:t>
      </w:r>
      <w:r w:rsidRPr="003730B5">
        <w:t xml:space="preserve"> Daňové zatížení segmentu nemovitostí v</w:t>
      </w:r>
      <w:r w:rsidR="00650BE2" w:rsidRPr="003730B5">
        <w:t> </w:t>
      </w:r>
      <w:r w:rsidRPr="003730B5">
        <w:t>Č</w:t>
      </w:r>
      <w:r w:rsidR="00650BE2" w:rsidRPr="003730B5">
        <w:t>eské republice</w:t>
      </w:r>
      <w:r w:rsidRPr="003730B5">
        <w:t xml:space="preserve"> je dlouhodobě bagatelní, což dále zvýraznilo zrušení daně </w:t>
      </w:r>
      <w:r w:rsidR="00E712DE" w:rsidRPr="003730B5">
        <w:t>z </w:t>
      </w:r>
      <w:r w:rsidRPr="003730B5">
        <w:t xml:space="preserve">nabytí nemovitých věcí </w:t>
      </w:r>
      <w:r w:rsidR="00E712DE" w:rsidRPr="003730B5">
        <w:t>v </w:t>
      </w:r>
      <w:r w:rsidRPr="003730B5">
        <w:t xml:space="preserve">roce 2020. Podíl výnosu běžné daně </w:t>
      </w:r>
      <w:r w:rsidR="00E712DE" w:rsidRPr="003730B5">
        <w:t>z </w:t>
      </w:r>
      <w:r w:rsidRPr="003730B5">
        <w:t xml:space="preserve">nemovitých věcí </w:t>
      </w:r>
      <w:r w:rsidR="00E712DE" w:rsidRPr="003730B5">
        <w:t>v </w:t>
      </w:r>
      <w:r w:rsidR="00650BE2" w:rsidRPr="003730B5">
        <w:t>České republice</w:t>
      </w:r>
      <w:r w:rsidRPr="003730B5">
        <w:t xml:space="preserve"> na celkovém daňovém výnosu za rok 2020 dosahoval podílu ve výši 0,</w:t>
      </w:r>
      <w:r w:rsidR="00E712DE" w:rsidRPr="003730B5">
        <w:t>6 </w:t>
      </w:r>
      <w:r w:rsidRPr="003730B5">
        <w:t>%, což nás řadilo na 24. místo ze zemí E</w:t>
      </w:r>
      <w:r w:rsidR="009655EE" w:rsidRPr="003730B5">
        <w:t>vropské unie</w:t>
      </w:r>
      <w:r w:rsidRPr="003730B5">
        <w:t>. Zároveň na HDP dosahoval zanedbatelného podílu ve výši 0,</w:t>
      </w:r>
      <w:r w:rsidR="00E712DE" w:rsidRPr="003730B5">
        <w:t>2 </w:t>
      </w:r>
      <w:r w:rsidRPr="003730B5">
        <w:t>%, což nás rovněž řadilo na 24. místo ze zemí E</w:t>
      </w:r>
      <w:r w:rsidR="009655EE" w:rsidRPr="003730B5">
        <w:t>vropské unie</w:t>
      </w:r>
      <w:r w:rsidRPr="003730B5">
        <w:t xml:space="preserve"> (</w:t>
      </w:r>
      <w:r w:rsidR="00E712DE" w:rsidRPr="003730B5">
        <w:t>a </w:t>
      </w:r>
      <w:r w:rsidRPr="003730B5">
        <w:t xml:space="preserve">36. místo </w:t>
      </w:r>
      <w:r w:rsidR="00E712DE" w:rsidRPr="003730B5">
        <w:t>z </w:t>
      </w:r>
      <w:r w:rsidRPr="003730B5">
        <w:t xml:space="preserve">37 zemí OECD </w:t>
      </w:r>
      <w:r w:rsidR="00E712DE" w:rsidRPr="003730B5">
        <w:t>s </w:t>
      </w:r>
      <w:r w:rsidRPr="003730B5">
        <w:t>průměrnou hodnotou 1,</w:t>
      </w:r>
      <w:r w:rsidR="00E712DE" w:rsidRPr="003730B5">
        <w:t>8 </w:t>
      </w:r>
      <w:r w:rsidRPr="003730B5">
        <w:t xml:space="preserve">% HDP). Při navrženém zvýšení daně </w:t>
      </w:r>
      <w:r w:rsidR="00E712DE" w:rsidRPr="003730B5">
        <w:t>z </w:t>
      </w:r>
      <w:r w:rsidRPr="003730B5">
        <w:t xml:space="preserve">nemovitých věcí by se umístění </w:t>
      </w:r>
      <w:r w:rsidR="00650BE2" w:rsidRPr="003730B5">
        <w:t>České republiky</w:t>
      </w:r>
      <w:r w:rsidRPr="003730B5">
        <w:t xml:space="preserve"> změnilo na 19. - 20. místo v</w:t>
      </w:r>
      <w:r w:rsidR="009655EE" w:rsidRPr="003730B5">
        <w:t> </w:t>
      </w:r>
      <w:r w:rsidRPr="003730B5">
        <w:t>E</w:t>
      </w:r>
      <w:r w:rsidR="009655EE" w:rsidRPr="003730B5">
        <w:t>vropské unii</w:t>
      </w:r>
      <w:r w:rsidRPr="003730B5">
        <w:t xml:space="preserve">. </w:t>
      </w:r>
    </w:p>
    <w:p w14:paraId="621F0590" w14:textId="69580EC5" w:rsidR="00C13373" w:rsidRPr="003730B5" w:rsidRDefault="00DC6CC6" w:rsidP="00805C42">
      <w:pPr>
        <w:pStyle w:val="Nadpis2"/>
        <w:widowControl w:val="0"/>
        <w:numPr>
          <w:ilvl w:val="3"/>
          <w:numId w:val="28"/>
        </w:numPr>
        <w:shd w:val="clear" w:color="auto" w:fill="FFFFFF"/>
        <w:tabs>
          <w:tab w:val="left" w:pos="567"/>
        </w:tabs>
        <w:jc w:val="both"/>
        <w:rPr>
          <w:i/>
          <w:sz w:val="24"/>
        </w:rPr>
      </w:pPr>
      <w:r w:rsidRPr="003730B5">
        <w:rPr>
          <w:i/>
          <w:sz w:val="24"/>
        </w:rPr>
        <w:t>Správa daní</w:t>
      </w:r>
      <w:r w:rsidR="00C13373" w:rsidRPr="003730B5">
        <w:rPr>
          <w:i/>
          <w:sz w:val="24"/>
        </w:rPr>
        <w:t xml:space="preserve"> </w:t>
      </w:r>
      <w:r w:rsidR="00AC226B" w:rsidRPr="003730B5">
        <w:rPr>
          <w:i/>
          <w:sz w:val="24"/>
        </w:rPr>
        <w:t>– zrušení kolkových známek</w:t>
      </w:r>
    </w:p>
    <w:p w14:paraId="5B2552C8" w14:textId="33E66DD6" w:rsidR="00C13373" w:rsidRPr="003730B5" w:rsidRDefault="00C13373" w:rsidP="00C13373">
      <w:pPr>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p w14:paraId="6A472F8B" w14:textId="7883FFC3" w:rsidR="00DB7668" w:rsidRPr="003730B5" w:rsidRDefault="00DB7668" w:rsidP="00DB7668">
      <w:pPr>
        <w:widowControl w:val="0"/>
        <w:spacing w:after="120"/>
      </w:pPr>
      <w:r w:rsidRPr="003730B5">
        <w:t xml:space="preserve">Kolkové známky (dále též jako „kolky“) jsou jednou </w:t>
      </w:r>
      <w:r w:rsidR="00C862B4" w:rsidRPr="003730B5">
        <w:t>z </w:t>
      </w:r>
      <w:r w:rsidRPr="003730B5">
        <w:t xml:space="preserve">platebních metod, nicméně poměrně zastaralou. Jejich potřeba se snižuje </w:t>
      </w:r>
      <w:r w:rsidR="00C862B4" w:rsidRPr="003730B5">
        <w:t>s </w:t>
      </w:r>
      <w:r w:rsidRPr="003730B5">
        <w:t xml:space="preserve">nárůstem elektronických alternativ plateb. </w:t>
      </w:r>
      <w:r w:rsidR="00C862B4" w:rsidRPr="003730B5">
        <w:t>V </w:t>
      </w:r>
      <w:r w:rsidRPr="003730B5">
        <w:t xml:space="preserve">minulosti </w:t>
      </w:r>
      <w:r w:rsidR="00F667C9" w:rsidRPr="003730B5">
        <w:t xml:space="preserve">byly </w:t>
      </w:r>
      <w:r w:rsidRPr="003730B5">
        <w:t xml:space="preserve">indikovány podvody (odlepování </w:t>
      </w:r>
      <w:r w:rsidR="00C862B4" w:rsidRPr="003730B5">
        <w:t>a </w:t>
      </w:r>
      <w:r w:rsidRPr="003730B5">
        <w:t>případné čištění již použitých kolků).</w:t>
      </w:r>
    </w:p>
    <w:p w14:paraId="22DC4CDA" w14:textId="77777777" w:rsidR="00C13373" w:rsidRPr="003730B5" w:rsidRDefault="00C13373" w:rsidP="00C13373">
      <w:pPr>
        <w:widowControl w:val="0"/>
        <w:spacing w:after="120"/>
        <w:rPr>
          <w:u w:val="single"/>
        </w:rPr>
      </w:pPr>
      <w:r w:rsidRPr="003730B5">
        <w:rPr>
          <w:u w:val="single"/>
        </w:rPr>
        <w:t>Navržené řešení:</w:t>
      </w:r>
    </w:p>
    <w:p w14:paraId="69BA3146" w14:textId="691325CD" w:rsidR="00DB7668" w:rsidRPr="003730B5" w:rsidRDefault="00DB7668" w:rsidP="00DB7668">
      <w:pPr>
        <w:widowControl w:val="0"/>
        <w:spacing w:after="120"/>
      </w:pPr>
      <w:r w:rsidRPr="003730B5">
        <w:t xml:space="preserve">Kolky zcela jako platební prostředek zrušit. Úspora je především </w:t>
      </w:r>
      <w:r w:rsidR="00C862B4" w:rsidRPr="003730B5">
        <w:t>v </w:t>
      </w:r>
      <w:r w:rsidRPr="003730B5">
        <w:t xml:space="preserve">distribuci kolků (cca 60 mil. Kč/rok). Náklady na tisk kolků jsou spíše nárazovou záležitostí, nicméně </w:t>
      </w:r>
      <w:r w:rsidR="00C862B4" w:rsidRPr="003730B5">
        <w:t>v </w:t>
      </w:r>
      <w:r w:rsidRPr="003730B5">
        <w:t xml:space="preserve">případě jejich zachování by muselo dojít </w:t>
      </w:r>
      <w:r w:rsidR="00C862B4" w:rsidRPr="003730B5">
        <w:t>k </w:t>
      </w:r>
      <w:r w:rsidRPr="003730B5">
        <w:t xml:space="preserve">doplnění ochranných prvků apod. Kolky se zruší bez náhrady. </w:t>
      </w:r>
      <w:r w:rsidRPr="003730B5">
        <w:lastRenderedPageBreak/>
        <w:t xml:space="preserve">Současné platební metody (kreditní karty, převody přes účet) jsou plně dostačující </w:t>
      </w:r>
      <w:r w:rsidR="00C862B4" w:rsidRPr="003730B5">
        <w:t>k </w:t>
      </w:r>
      <w:r w:rsidRPr="003730B5">
        <w:t xml:space="preserve">jejich nahrazení. Počítá se </w:t>
      </w:r>
      <w:r w:rsidR="00C862B4" w:rsidRPr="003730B5">
        <w:t>s </w:t>
      </w:r>
      <w:r w:rsidRPr="003730B5">
        <w:t>určitým přechodným obdobím, kdy stávající kolky bude možné uplatnit.</w:t>
      </w:r>
    </w:p>
    <w:p w14:paraId="54B0B5F5" w14:textId="08ABC9AB" w:rsidR="00E253CB" w:rsidRPr="003730B5" w:rsidRDefault="009A086C" w:rsidP="00805C42">
      <w:pPr>
        <w:pStyle w:val="Nadpis2"/>
        <w:widowControl w:val="0"/>
        <w:numPr>
          <w:ilvl w:val="3"/>
          <w:numId w:val="28"/>
        </w:numPr>
        <w:shd w:val="clear" w:color="auto" w:fill="FFFFFF"/>
        <w:tabs>
          <w:tab w:val="left" w:pos="567"/>
        </w:tabs>
        <w:jc w:val="both"/>
        <w:rPr>
          <w:i/>
          <w:sz w:val="24"/>
        </w:rPr>
      </w:pPr>
      <w:r w:rsidRPr="003730B5">
        <w:rPr>
          <w:i/>
          <w:sz w:val="24"/>
        </w:rPr>
        <w:t>Organizace Finanční správy Č</w:t>
      </w:r>
      <w:r w:rsidR="009473DE" w:rsidRPr="003730B5">
        <w:rPr>
          <w:i/>
          <w:sz w:val="24"/>
        </w:rPr>
        <w:t>eské republiky</w:t>
      </w:r>
      <w:r w:rsidRPr="003730B5">
        <w:rPr>
          <w:i/>
          <w:sz w:val="24"/>
        </w:rPr>
        <w:t xml:space="preserve"> </w:t>
      </w:r>
      <w:r w:rsidR="007C6C1D" w:rsidRPr="003730B5">
        <w:rPr>
          <w:i/>
          <w:sz w:val="24"/>
        </w:rPr>
        <w:t>a </w:t>
      </w:r>
      <w:r w:rsidRPr="003730B5">
        <w:rPr>
          <w:i/>
          <w:sz w:val="24"/>
        </w:rPr>
        <w:t>Celní správy Č</w:t>
      </w:r>
      <w:r w:rsidR="009473DE" w:rsidRPr="003730B5">
        <w:rPr>
          <w:i/>
          <w:sz w:val="24"/>
        </w:rPr>
        <w:t>eské republiky</w:t>
      </w:r>
    </w:p>
    <w:p w14:paraId="1A416447" w14:textId="47CE3645" w:rsidR="00E253CB" w:rsidRPr="003730B5" w:rsidRDefault="00E253CB" w:rsidP="00E253CB">
      <w:pPr>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p w14:paraId="2C5CC672" w14:textId="76795F42" w:rsidR="007F43F2" w:rsidRPr="003730B5" w:rsidRDefault="009473DE" w:rsidP="00E253CB">
      <w:pPr>
        <w:widowControl w:val="0"/>
        <w:spacing w:after="120"/>
      </w:pPr>
      <w:r w:rsidRPr="003730B5">
        <w:t xml:space="preserve">Soustavy </w:t>
      </w:r>
      <w:r w:rsidR="00E24D2D" w:rsidRPr="003730B5">
        <w:t>orgán</w:t>
      </w:r>
      <w:r w:rsidRPr="003730B5">
        <w:t>ů</w:t>
      </w:r>
      <w:r w:rsidR="00E24D2D" w:rsidRPr="003730B5">
        <w:t xml:space="preserve"> </w:t>
      </w:r>
      <w:r w:rsidRPr="003730B5">
        <w:t>F</w:t>
      </w:r>
      <w:r w:rsidR="00E24D2D" w:rsidRPr="003730B5">
        <w:t xml:space="preserve">inanční </w:t>
      </w:r>
      <w:r w:rsidR="00E712DE" w:rsidRPr="003730B5">
        <w:t>a </w:t>
      </w:r>
      <w:r w:rsidRPr="003730B5">
        <w:t>C</w:t>
      </w:r>
      <w:r w:rsidR="00E24D2D" w:rsidRPr="003730B5">
        <w:t xml:space="preserve">elní správy </w:t>
      </w:r>
      <w:r w:rsidRPr="003730B5">
        <w:t xml:space="preserve">České republiky jsou na prvním stupni tvořeny sítí finančních, resp. celních úřadů, které jsou zřízeny zákonem se stanovenou územní působností. Jednotlivé úřady dále disponují sítí územních pracovišť, která jsou jejich nesamostatnými vnitřními organizačními jednotkami, nemají stanovenu územní působnost </w:t>
      </w:r>
      <w:r w:rsidR="00552598" w:rsidRPr="003730B5">
        <w:t>a </w:t>
      </w:r>
      <w:r w:rsidRPr="003730B5">
        <w:t>jsou definovány pouze svým umístěním. Převážná většina územních pracovišť finančních, resp. celních úřadů je stanovena vyhláškou Ministerstva financí</w:t>
      </w:r>
      <w:r w:rsidR="00411B3A" w:rsidRPr="003730B5">
        <w:t>.</w:t>
      </w:r>
      <w:r w:rsidR="00DF5FC2" w:rsidRPr="003730B5">
        <w:t xml:space="preserve"> </w:t>
      </w:r>
    </w:p>
    <w:p w14:paraId="1914A61E" w14:textId="369C9856" w:rsidR="00411B3A" w:rsidRPr="003730B5" w:rsidRDefault="00411B3A" w:rsidP="00E253CB">
      <w:pPr>
        <w:widowControl w:val="0"/>
        <w:spacing w:after="120"/>
      </w:pPr>
      <w:r w:rsidRPr="003730B5">
        <w:t xml:space="preserve">Postupující digitalizace, implementace zjednodušených procedur </w:t>
      </w:r>
      <w:r w:rsidR="00552598" w:rsidRPr="003730B5">
        <w:t>a </w:t>
      </w:r>
      <w:r w:rsidRPr="003730B5">
        <w:t xml:space="preserve">změny </w:t>
      </w:r>
      <w:r w:rsidR="00552598" w:rsidRPr="003730B5">
        <w:t>v </w:t>
      </w:r>
      <w:r w:rsidR="00F11F83" w:rsidRPr="003730B5">
        <w:t>postupech</w:t>
      </w:r>
      <w:r w:rsidRPr="003730B5">
        <w:t xml:space="preserve"> práce</w:t>
      </w:r>
      <w:r w:rsidR="00F11F83" w:rsidRPr="003730B5">
        <w:t xml:space="preserve"> </w:t>
      </w:r>
      <w:r w:rsidRPr="003730B5">
        <w:t>umožňují postupně snižovat počet míst, ze kterých je nutné vykonávat agendu daňovou</w:t>
      </w:r>
      <w:r w:rsidR="00F11F83" w:rsidRPr="003730B5">
        <w:t xml:space="preserve"> </w:t>
      </w:r>
      <w:r w:rsidR="00552598" w:rsidRPr="003730B5">
        <w:t>a </w:t>
      </w:r>
      <w:r w:rsidR="00F11F83" w:rsidRPr="003730B5">
        <w:t xml:space="preserve">celní, která je </w:t>
      </w:r>
      <w:r w:rsidRPr="003730B5">
        <w:t>spojen</w:t>
      </w:r>
      <w:r w:rsidR="00F11F83" w:rsidRPr="003730B5">
        <w:t>a</w:t>
      </w:r>
      <w:r w:rsidRPr="003730B5">
        <w:t xml:space="preserve"> </w:t>
      </w:r>
      <w:r w:rsidR="00552598" w:rsidRPr="003730B5">
        <w:t>s </w:t>
      </w:r>
      <w:r w:rsidRPr="003730B5">
        <w:t>přímým kontaktem se subjekty</w:t>
      </w:r>
      <w:r w:rsidR="00F11F83" w:rsidRPr="003730B5">
        <w:t xml:space="preserve">. V případě celních úřadů je tento fakt zvláště markantní v souvislosti </w:t>
      </w:r>
      <w:r w:rsidR="00552598" w:rsidRPr="003730B5">
        <w:t>s </w:t>
      </w:r>
      <w:r w:rsidR="00F11F83" w:rsidRPr="003730B5">
        <w:t>klesající potřebou</w:t>
      </w:r>
      <w:r w:rsidRPr="003730B5">
        <w:t xml:space="preserve"> předkládání zboží </w:t>
      </w:r>
      <w:r w:rsidR="00552598" w:rsidRPr="003730B5">
        <w:t>k </w:t>
      </w:r>
      <w:r w:rsidRPr="003730B5">
        <w:t xml:space="preserve">celnímu řízení </w:t>
      </w:r>
      <w:r w:rsidR="00552598" w:rsidRPr="003730B5">
        <w:t>v </w:t>
      </w:r>
      <w:r w:rsidRPr="003730B5">
        <w:t xml:space="preserve">celním prostoru celního úřadu, potažmo jeho územních pracovišť. Uplatnění zásady vyšší efektivity využití zaměstnanců, která je zajištěna především na početnějších útvarech spolu </w:t>
      </w:r>
      <w:r w:rsidR="00552598" w:rsidRPr="003730B5">
        <w:t>s </w:t>
      </w:r>
      <w:r w:rsidRPr="003730B5">
        <w:t xml:space="preserve">kritériem hospodárnosti provozu, dislokace </w:t>
      </w:r>
      <w:r w:rsidR="00552598" w:rsidRPr="003730B5">
        <w:t>a </w:t>
      </w:r>
      <w:r w:rsidRPr="003730B5">
        <w:t xml:space="preserve">zajištění obslužnosti území, ve kterém </w:t>
      </w:r>
      <w:r w:rsidR="00F11F83" w:rsidRPr="003730B5">
        <w:t xml:space="preserve">finanční </w:t>
      </w:r>
      <w:r w:rsidR="00552598" w:rsidRPr="003730B5">
        <w:t>a </w:t>
      </w:r>
      <w:r w:rsidR="00F11F83" w:rsidRPr="003730B5">
        <w:t>c</w:t>
      </w:r>
      <w:r w:rsidRPr="003730B5">
        <w:t>elní úřady</w:t>
      </w:r>
      <w:r w:rsidR="00F11F83" w:rsidRPr="003730B5">
        <w:t>, resp. jejich</w:t>
      </w:r>
      <w:r w:rsidRPr="003730B5">
        <w:t xml:space="preserve"> územní pracoviště </w:t>
      </w:r>
      <w:r w:rsidR="00F11F83" w:rsidRPr="003730B5">
        <w:t>působí</w:t>
      </w:r>
      <w:r w:rsidRPr="003730B5">
        <w:t>, umožňují snížení počtu</w:t>
      </w:r>
      <w:r w:rsidR="00F11F83" w:rsidRPr="003730B5">
        <w:t xml:space="preserve"> územních pracovišť, resp. v případě Celní správy České republiky též celních úřadů.</w:t>
      </w:r>
      <w:r w:rsidRPr="003730B5">
        <w:t xml:space="preserve"> </w:t>
      </w:r>
    </w:p>
    <w:p w14:paraId="54D665AF" w14:textId="646C4ED0" w:rsidR="00D84516" w:rsidRPr="003730B5" w:rsidRDefault="00503E5C" w:rsidP="00E253CB">
      <w:pPr>
        <w:widowControl w:val="0"/>
        <w:spacing w:after="120"/>
      </w:pPr>
      <w:r w:rsidRPr="003730B5">
        <w:t xml:space="preserve">Celní správa České republiky je tvořena patnácti celními úřady, které jsou zřízeny </w:t>
      </w:r>
      <w:r w:rsidR="00552598" w:rsidRPr="003730B5">
        <w:t>v </w:t>
      </w:r>
      <w:r w:rsidRPr="003730B5">
        <w:t xml:space="preserve">hlavním městě Praze </w:t>
      </w:r>
      <w:r w:rsidR="00552598" w:rsidRPr="003730B5">
        <w:t>a v </w:t>
      </w:r>
      <w:r w:rsidRPr="003730B5">
        <w:t xml:space="preserve">každém správním obvodu kraje </w:t>
      </w:r>
      <w:r w:rsidR="00552598" w:rsidRPr="003730B5">
        <w:t>v </w:t>
      </w:r>
      <w:r w:rsidRPr="003730B5">
        <w:t xml:space="preserve">souladu se zákonem </w:t>
      </w:r>
      <w:r w:rsidR="00552598" w:rsidRPr="003730B5">
        <w:t>č. </w:t>
      </w:r>
      <w:r w:rsidRPr="003730B5">
        <w:t xml:space="preserve">51/2020 Sb., </w:t>
      </w:r>
      <w:r w:rsidR="00552598" w:rsidRPr="003730B5">
        <w:t>o </w:t>
      </w:r>
      <w:r w:rsidRPr="003730B5">
        <w:t xml:space="preserve">územně správním členění státu </w:t>
      </w:r>
      <w:r w:rsidR="00552598" w:rsidRPr="003730B5">
        <w:t>a o </w:t>
      </w:r>
      <w:r w:rsidRPr="003730B5">
        <w:t xml:space="preserve">změně souvisejících zákonů (zákon </w:t>
      </w:r>
      <w:r w:rsidR="00552598" w:rsidRPr="003730B5">
        <w:t>o </w:t>
      </w:r>
      <w:r w:rsidRPr="003730B5">
        <w:t xml:space="preserve">územně správním členění státu). Současně je zřízen Celní úřad Praha Ruzyně definovaný svým celním prostorem.  Rozdíl </w:t>
      </w:r>
      <w:r w:rsidR="00552598" w:rsidRPr="003730B5">
        <w:t>v </w:t>
      </w:r>
      <w:r w:rsidRPr="003730B5">
        <w:t xml:space="preserve">zatížení jednotlivých celních úřadů </w:t>
      </w:r>
      <w:r w:rsidR="00552598" w:rsidRPr="003730B5">
        <w:t>a </w:t>
      </w:r>
      <w:r w:rsidRPr="003730B5">
        <w:t>potažmo jednotlivých územních pracovišť těchto celních úřadů je velmi vysoký</w:t>
      </w:r>
      <w:r w:rsidR="00DF5FC2" w:rsidRPr="003730B5">
        <w:t>,</w:t>
      </w:r>
      <w:r w:rsidRPr="003730B5">
        <w:t xml:space="preserve"> </w:t>
      </w:r>
      <w:r w:rsidR="00552598" w:rsidRPr="003730B5">
        <w:t>a </w:t>
      </w:r>
      <w:r w:rsidRPr="003730B5">
        <w:t xml:space="preserve">to až </w:t>
      </w:r>
      <w:r w:rsidR="00552598" w:rsidRPr="003730B5">
        <w:t>v </w:t>
      </w:r>
      <w:r w:rsidRPr="003730B5">
        <w:t xml:space="preserve">řádu stovek procent. Za současného právního stavu přitom není možné zajistit ani přibližně srovnatelný rozsah práce, se kterým se musí vypořádat pracovníci na více </w:t>
      </w:r>
      <w:r w:rsidR="00552598" w:rsidRPr="003730B5">
        <w:t>a </w:t>
      </w:r>
      <w:r w:rsidRPr="003730B5">
        <w:t xml:space="preserve">méně zatížených útvarech těchto celních úřadů. </w:t>
      </w:r>
      <w:r w:rsidR="00D84516" w:rsidRPr="003730B5">
        <w:t xml:space="preserve"> </w:t>
      </w:r>
    </w:p>
    <w:p w14:paraId="6C5C0891" w14:textId="39783D5A" w:rsidR="00E253CB" w:rsidRPr="003730B5" w:rsidRDefault="00E253CB" w:rsidP="00411B3A">
      <w:pPr>
        <w:keepNext/>
        <w:widowControl w:val="0"/>
        <w:spacing w:after="120"/>
        <w:rPr>
          <w:u w:val="single"/>
        </w:rPr>
      </w:pPr>
      <w:r w:rsidRPr="003730B5">
        <w:rPr>
          <w:u w:val="single"/>
        </w:rPr>
        <w:t>Navržené řešení:</w:t>
      </w:r>
    </w:p>
    <w:p w14:paraId="21C1A6B4" w14:textId="03893E3E" w:rsidR="00E253CB" w:rsidRPr="003730B5" w:rsidRDefault="00D84516" w:rsidP="00E253CB">
      <w:pPr>
        <w:widowControl w:val="0"/>
        <w:spacing w:after="120"/>
      </w:pPr>
      <w:r w:rsidRPr="003730B5">
        <w:t xml:space="preserve">Prvním krokem bude </w:t>
      </w:r>
      <w:r w:rsidR="009A086C" w:rsidRPr="003730B5">
        <w:t>zruš</w:t>
      </w:r>
      <w:r w:rsidRPr="003730B5">
        <w:t>ení</w:t>
      </w:r>
      <w:r w:rsidR="009A086C" w:rsidRPr="003730B5">
        <w:t xml:space="preserve"> </w:t>
      </w:r>
      <w:r w:rsidR="00DF5FC2" w:rsidRPr="003730B5">
        <w:t xml:space="preserve">těch </w:t>
      </w:r>
      <w:r w:rsidR="00411B3A" w:rsidRPr="003730B5">
        <w:t xml:space="preserve">územních pracovišť </w:t>
      </w:r>
      <w:r w:rsidR="009A086C" w:rsidRPr="003730B5">
        <w:t>finančních úřadů, které dle výsledků provedené analýzy</w:t>
      </w:r>
      <w:r w:rsidRPr="003730B5">
        <w:t xml:space="preserve"> zpracované </w:t>
      </w:r>
      <w:r w:rsidR="00DF5FC2" w:rsidRPr="003730B5">
        <w:t>F</w:t>
      </w:r>
      <w:r w:rsidRPr="003730B5">
        <w:t>inanční správou</w:t>
      </w:r>
      <w:r w:rsidR="009A086C" w:rsidRPr="003730B5">
        <w:t xml:space="preserve"> </w:t>
      </w:r>
      <w:r w:rsidR="00DF5FC2" w:rsidRPr="003730B5">
        <w:t xml:space="preserve">České republiky </w:t>
      </w:r>
      <w:r w:rsidR="009A086C" w:rsidRPr="003730B5">
        <w:t>byly veřejností využívány jen velmi omezeně nebo zajišťovaly minimální rozsah služeb pro občany, např. služby podatelny</w:t>
      </w:r>
      <w:r w:rsidR="00DF5FC2" w:rsidRPr="003730B5">
        <w:t>, popřípadě některých dalších územních pracovišť, v jejichž případě byla neefektivita jejich dalšího fungování identifikována v rámci analýzy dalších zvolených parametrů</w:t>
      </w:r>
      <w:r w:rsidR="009A086C" w:rsidRPr="003730B5">
        <w:t xml:space="preserve">. Přijaté kroky umožní efektivnější řízení </w:t>
      </w:r>
      <w:r w:rsidR="007C6C1D" w:rsidRPr="003730B5">
        <w:t>a </w:t>
      </w:r>
      <w:r w:rsidR="009A086C" w:rsidRPr="003730B5">
        <w:t>optimalizaci vykonávaných agend</w:t>
      </w:r>
      <w:r w:rsidRPr="003730B5">
        <w:t>. Následovat bude dílčí redukce územních pracovišť celních úřadů, která bude prvním krokem k optimalizaci počtu celních úřadů jako takových.</w:t>
      </w:r>
    </w:p>
    <w:p w14:paraId="092E3919" w14:textId="0DBC0313" w:rsidR="00411B3A" w:rsidRPr="003730B5" w:rsidRDefault="007C4AB7" w:rsidP="00BC3D75">
      <w:pPr>
        <w:widowControl w:val="0"/>
        <w:spacing w:after="120"/>
      </w:pPr>
      <w:r>
        <w:rPr>
          <w:noProof/>
        </w:rPr>
        <w:lastRenderedPageBreak/>
        <w:pict w14:anchorId="0C15F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15pt;margin-top:50.5pt;width:413.6pt;height:239.3pt;z-index:251661312;mso-position-horizontal-relative:text;mso-position-vertical-relative:text;mso-width-relative:page;mso-height-relative:page">
            <v:imagedata r:id="rId8" o:title="mapa"/>
            <w10:wrap type="topAndBottom"/>
          </v:shape>
        </w:pict>
      </w:r>
      <w:r w:rsidR="00BC3D75" w:rsidRPr="003730B5">
        <w:t xml:space="preserve">Finálním krokem zahrnující konsolidované období je redukce počtu celních úřadů z 15 na </w:t>
      </w:r>
      <w:r w:rsidR="00552598" w:rsidRPr="003730B5">
        <w:t>6 </w:t>
      </w:r>
      <w:r w:rsidR="00BC3D75" w:rsidRPr="003730B5">
        <w:t xml:space="preserve">se sídly </w:t>
      </w:r>
      <w:r w:rsidR="00552598" w:rsidRPr="003730B5">
        <w:t>v </w:t>
      </w:r>
      <w:r w:rsidR="00BC3D75" w:rsidRPr="003730B5">
        <w:t>pěti největších městech České republiky</w:t>
      </w:r>
      <w:r w:rsidR="00503E5C" w:rsidRPr="003730B5">
        <w:t xml:space="preserve"> (Praze, Brně, Plzni, Ostravě </w:t>
      </w:r>
      <w:r w:rsidR="00552598" w:rsidRPr="003730B5">
        <w:t>a </w:t>
      </w:r>
      <w:r w:rsidR="00503E5C" w:rsidRPr="003730B5">
        <w:t>Liberci)</w:t>
      </w:r>
      <w:r w:rsidR="00BC3D75" w:rsidRPr="003730B5">
        <w:t xml:space="preserve">, </w:t>
      </w:r>
      <w:r w:rsidR="00552598" w:rsidRPr="003730B5">
        <w:t>a </w:t>
      </w:r>
      <w:r w:rsidR="00BC3D75" w:rsidRPr="003730B5">
        <w:t xml:space="preserve">to k datu 1. </w:t>
      </w:r>
      <w:r w:rsidR="00820D28" w:rsidRPr="003730B5">
        <w:t>7.</w:t>
      </w:r>
      <w:r w:rsidR="00BC3D75" w:rsidRPr="003730B5">
        <w:t xml:space="preserve"> 2025. </w:t>
      </w:r>
    </w:p>
    <w:p w14:paraId="3B8A4017" w14:textId="2D69D5CB" w:rsidR="00411B3A" w:rsidRPr="003730B5" w:rsidRDefault="00411B3A" w:rsidP="00BC3D75">
      <w:pPr>
        <w:widowControl w:val="0"/>
        <w:spacing w:after="120"/>
      </w:pPr>
    </w:p>
    <w:p w14:paraId="785DC992" w14:textId="4868E2B8" w:rsidR="00BC3D75" w:rsidRPr="003730B5" w:rsidRDefault="00BC3D75" w:rsidP="00BC3D75">
      <w:pPr>
        <w:widowControl w:val="0"/>
        <w:spacing w:after="120"/>
      </w:pPr>
      <w:r w:rsidRPr="003730B5">
        <w:t xml:space="preserve">Důvodem pro tuto změnu je odstranění současného stavu výrazné disproporce </w:t>
      </w:r>
      <w:r w:rsidR="00552598" w:rsidRPr="003730B5">
        <w:t>v </w:t>
      </w:r>
      <w:r w:rsidRPr="003730B5">
        <w:t>zatížení jednotlivých celních úřadů</w:t>
      </w:r>
      <w:r w:rsidR="007F43F2" w:rsidRPr="003730B5">
        <w:t>,</w:t>
      </w:r>
      <w:r w:rsidRPr="003730B5">
        <w:t xml:space="preserve"> </w:t>
      </w:r>
      <w:r w:rsidR="00552598" w:rsidRPr="003730B5">
        <w:t>a </w:t>
      </w:r>
      <w:r w:rsidRPr="003730B5">
        <w:t>tedy vytvoření srovnatelných celních úřadů. Zároveň tato změna přinese administrativní, personál</w:t>
      </w:r>
      <w:r w:rsidR="007F43F2" w:rsidRPr="003730B5">
        <w:t xml:space="preserve">ní </w:t>
      </w:r>
      <w:r w:rsidR="00552598" w:rsidRPr="003730B5">
        <w:t>a </w:t>
      </w:r>
      <w:r w:rsidR="007F43F2" w:rsidRPr="003730B5">
        <w:t>provozní úspory na straně C</w:t>
      </w:r>
      <w:r w:rsidRPr="003730B5">
        <w:t>elní správy</w:t>
      </w:r>
      <w:r w:rsidR="007F43F2" w:rsidRPr="003730B5">
        <w:t xml:space="preserve"> České republiky</w:t>
      </w:r>
      <w:r w:rsidRPr="003730B5">
        <w:t xml:space="preserve">, čímž dílčím způsobem přispěje ke konsolidaci veřejných rozpočtů. Při novém rozdělení míst působnosti </w:t>
      </w:r>
      <w:r w:rsidR="007F43F2" w:rsidRPr="003730B5">
        <w:t xml:space="preserve">Celní správy České republiky </w:t>
      </w:r>
      <w:r w:rsidRPr="003730B5">
        <w:t xml:space="preserve">bylo respektováno územně správní členění státu (krajské uspořádání České republiky). Je počítáno </w:t>
      </w:r>
      <w:r w:rsidR="00552598" w:rsidRPr="003730B5">
        <w:t>s </w:t>
      </w:r>
      <w:r w:rsidRPr="003730B5">
        <w:t xml:space="preserve">tím, že </w:t>
      </w:r>
      <w:r w:rsidR="00552598" w:rsidRPr="003730B5">
        <w:t>v </w:t>
      </w:r>
      <w:r w:rsidRPr="003730B5">
        <w:t>každém kraji bude min</w:t>
      </w:r>
      <w:r w:rsidR="00503E5C" w:rsidRPr="003730B5">
        <w:t>imálně</w:t>
      </w:r>
      <w:r w:rsidRPr="003730B5">
        <w:t xml:space="preserve"> jedno územní pracoviště celního úřadu, ideálně v</w:t>
      </w:r>
      <w:r w:rsidR="00503E5C" w:rsidRPr="003730B5">
        <w:t> </w:t>
      </w:r>
      <w:r w:rsidRPr="003730B5">
        <w:t>krajském městě.</w:t>
      </w:r>
    </w:p>
    <w:p w14:paraId="35C0374D" w14:textId="745D90FF" w:rsidR="00E253CB" w:rsidRPr="003730B5" w:rsidRDefault="00D367D4" w:rsidP="00DB7668">
      <w:pPr>
        <w:pStyle w:val="Nadpis2"/>
        <w:widowControl w:val="0"/>
        <w:numPr>
          <w:ilvl w:val="3"/>
          <w:numId w:val="28"/>
        </w:numPr>
        <w:shd w:val="clear" w:color="auto" w:fill="FFFFFF"/>
        <w:tabs>
          <w:tab w:val="left" w:pos="567"/>
        </w:tabs>
        <w:jc w:val="both"/>
        <w:rPr>
          <w:i/>
          <w:sz w:val="24"/>
        </w:rPr>
      </w:pPr>
      <w:r w:rsidRPr="003730B5">
        <w:rPr>
          <w:i/>
          <w:sz w:val="24"/>
        </w:rPr>
        <w:t>Snížení státní podpory stavebního spoření</w:t>
      </w:r>
    </w:p>
    <w:p w14:paraId="57BEEF71" w14:textId="77777777" w:rsidR="00427F33" w:rsidRPr="003730B5" w:rsidRDefault="00427F33" w:rsidP="00427F33">
      <w:pPr>
        <w:keepNext/>
        <w:widowControl w:val="0"/>
        <w:spacing w:after="120"/>
        <w:rPr>
          <w:u w:val="single"/>
        </w:rPr>
      </w:pPr>
      <w:r w:rsidRPr="003730B5">
        <w:rPr>
          <w:u w:val="single"/>
        </w:rPr>
        <w:t>Popis a zhodnocení současného stavu:</w:t>
      </w:r>
    </w:p>
    <w:p w14:paraId="52F4A973" w14:textId="563290FD" w:rsidR="00427F33" w:rsidRPr="003730B5" w:rsidRDefault="00427F33" w:rsidP="00427F33">
      <w:pPr>
        <w:widowControl w:val="0"/>
        <w:spacing w:after="120"/>
      </w:pPr>
      <w:r w:rsidRPr="003730B5">
        <w:t xml:space="preserve">Stavební spoření je produktem, jehož podstatou je přijímání vkladů od účastníků, poskytování úvěrů na financování bytových potřeb účastníků </w:t>
      </w:r>
      <w:r w:rsidR="00552598" w:rsidRPr="003730B5">
        <w:t>a </w:t>
      </w:r>
      <w:r w:rsidRPr="003730B5">
        <w:t xml:space="preserve">možnost získání přímé státní podpory ve fázi spoření, aktuálně ve výši 10 % z naspořené částky v daném kalendářním roce v maximální výši 2 000 Kč na 1 účastníka. Celkový výdaj ze státního rozpočtu je na tuto subvenci cca 4 mld. Kč ročně a je vyplácen zpětně (nárok na státní podporu vzniklý v roce 2023 bude vyplacen až v roce 2024). Státní podpora, které bylo možné dosáhnout, byla v minulosti opakovaně snižována, </w:t>
      </w:r>
      <w:r w:rsidR="00552598" w:rsidRPr="003730B5">
        <w:t>a </w:t>
      </w:r>
      <w:r w:rsidRPr="003730B5">
        <w:t>to z maximální částky 4 500 Kč na maximální částku 3 000 Kč ročně (jen pro nové smlouvy, od 2004) a následně na maximální částku 2 000 Kč (pro všechny smlouvy, od 2011).</w:t>
      </w:r>
    </w:p>
    <w:p w14:paraId="0F159418" w14:textId="77777777" w:rsidR="00427F33" w:rsidRPr="003730B5" w:rsidRDefault="00427F33" w:rsidP="00427F33">
      <w:pPr>
        <w:widowControl w:val="0"/>
        <w:spacing w:after="120"/>
      </w:pPr>
      <w:r w:rsidRPr="003730B5">
        <w:t xml:space="preserve">Snížení státní podpory v roce 2011 bylo řešeno i Ústavním soudem - v nálezu byly zdůrazněny některé klíčové aspekty ústavnosti (možnost snížení státní podpory i u stávajících smluv – v rámci legitimního očekávání musejí vkladatelé počítat i s možností snížení státní podpory, právo na podnikání stavebních spořitelen neznamená neměnnost zákonem stanovených podmínek a snížení státní podpory nemá tzv. </w:t>
      </w:r>
      <w:r w:rsidRPr="003730B5">
        <w:rPr>
          <w:i/>
        </w:rPr>
        <w:t>rdousící účinek</w:t>
      </w:r>
      <w:r w:rsidRPr="003730B5">
        <w:t>).</w:t>
      </w:r>
    </w:p>
    <w:p w14:paraId="49DF2519" w14:textId="1F8B3ECB" w:rsidR="00427F33" w:rsidRPr="003730B5" w:rsidRDefault="00427F33" w:rsidP="00427F33">
      <w:pPr>
        <w:widowControl w:val="0"/>
        <w:spacing w:after="120"/>
      </w:pPr>
      <w:r w:rsidRPr="003730B5">
        <w:t xml:space="preserve">Sektor stavebního spoření je dle současné právní úpravy uzavřeným systémem, ve kterém mohou tento produkt nabízet pouze stavební spořitelny jako specializované banky. Jejich klienty jsou účastníci stavebního spoření tvořící tzv. </w:t>
      </w:r>
      <w:r w:rsidRPr="003730B5">
        <w:rPr>
          <w:i/>
        </w:rPr>
        <w:t>kolektiv</w:t>
      </w:r>
      <w:r w:rsidRPr="003730B5">
        <w:t xml:space="preserve">, kdy vklady spořicích klientů jsou </w:t>
      </w:r>
      <w:r w:rsidRPr="003730B5">
        <w:lastRenderedPageBreak/>
        <w:t xml:space="preserve">použity na úvěry ze stavebního spoření. Takto uzavřený systém přináší tři základní problémy. Na jedné straně je značně omezena možnost vstupu nové konkurence do odvětví, mimo jiné také kvůli značným nákladům spojeným se založením nové specializované banky. Druhým problémem je skutečnost, že zdroje stavební spořitelny jsou do značné míry závislé na tom, zda </w:t>
      </w:r>
      <w:r w:rsidR="00552598" w:rsidRPr="003730B5">
        <w:t>a v </w:t>
      </w:r>
      <w:r w:rsidRPr="003730B5">
        <w:t>jakém rozsahu si udrží vklady tzv. přátelských klientů, tj. klientů, kteří nejsou příjemci úvěru. Třetím problémem je značná nákladnost plynoucí z faktu, že pro jediný produkt je nezbytné mít samostatnou korporaci s bankovní licencí.</w:t>
      </w:r>
    </w:p>
    <w:p w14:paraId="109F1BC2" w14:textId="77777777" w:rsidR="00427F33" w:rsidRPr="003730B5" w:rsidRDefault="00427F33" w:rsidP="00427F33">
      <w:pPr>
        <w:widowControl w:val="0"/>
        <w:spacing w:after="120"/>
        <w:rPr>
          <w:u w:val="single"/>
        </w:rPr>
      </w:pPr>
      <w:r w:rsidRPr="003730B5">
        <w:rPr>
          <w:u w:val="single"/>
        </w:rPr>
        <w:t>Navržené řešení:</w:t>
      </w:r>
    </w:p>
    <w:p w14:paraId="42F895A0" w14:textId="77777777" w:rsidR="00427F33" w:rsidRPr="003730B5" w:rsidRDefault="00427F33" w:rsidP="00427F33">
      <w:pPr>
        <w:widowControl w:val="0"/>
        <w:spacing w:after="120"/>
      </w:pPr>
      <w:r w:rsidRPr="003730B5">
        <w:t>Navrhované úpravy systému stavebního spoření by měly vést k:</w:t>
      </w:r>
    </w:p>
    <w:p w14:paraId="55910526" w14:textId="44F021E1" w:rsidR="00427F33" w:rsidRPr="003730B5" w:rsidRDefault="00427F33" w:rsidP="00D16775">
      <w:pPr>
        <w:pStyle w:val="Odstavecseseznamem"/>
        <w:widowControl w:val="0"/>
        <w:numPr>
          <w:ilvl w:val="0"/>
          <w:numId w:val="44"/>
        </w:numPr>
        <w:spacing w:after="120"/>
      </w:pPr>
      <w:r w:rsidRPr="003730B5">
        <w:t xml:space="preserve">Snížení zatížení státního rozpočtu </w:t>
      </w:r>
      <w:r w:rsidR="00552598" w:rsidRPr="003730B5">
        <w:t>v </w:t>
      </w:r>
      <w:r w:rsidRPr="003730B5">
        <w:t xml:space="preserve">souvislosti </w:t>
      </w:r>
      <w:r w:rsidR="00552598" w:rsidRPr="003730B5">
        <w:t>s </w:t>
      </w:r>
      <w:r w:rsidRPr="003730B5">
        <w:t xml:space="preserve">výplatou státní podpory, </w:t>
      </w:r>
      <w:r w:rsidR="00552598" w:rsidRPr="003730B5">
        <w:t>a </w:t>
      </w:r>
      <w:r w:rsidRPr="003730B5">
        <w:t xml:space="preserve">to cestou snížení státní podpory pro stávající </w:t>
      </w:r>
      <w:r w:rsidR="00552598" w:rsidRPr="003730B5">
        <w:t>i </w:t>
      </w:r>
      <w:r w:rsidRPr="003730B5">
        <w:t xml:space="preserve">nové smlouvy </w:t>
      </w:r>
      <w:r w:rsidR="00552598" w:rsidRPr="003730B5">
        <w:t>o </w:t>
      </w:r>
      <w:r w:rsidRPr="003730B5">
        <w:t xml:space="preserve">stavebním spoření, tj. smlouvy uzavřené před </w:t>
      </w:r>
      <w:r w:rsidR="00552598" w:rsidRPr="003730B5">
        <w:t>i </w:t>
      </w:r>
      <w:r w:rsidRPr="003730B5">
        <w:t xml:space="preserve">po datu nabytí účinnosti tohoto zákona, na </w:t>
      </w:r>
      <w:r w:rsidR="00552598" w:rsidRPr="003730B5">
        <w:t>5 </w:t>
      </w:r>
      <w:r w:rsidRPr="003730B5">
        <w:t xml:space="preserve">% </w:t>
      </w:r>
      <w:r w:rsidR="00552598" w:rsidRPr="003730B5">
        <w:t>z </w:t>
      </w:r>
      <w:r w:rsidRPr="003730B5">
        <w:t xml:space="preserve">naspořené částky v daném roce, max. </w:t>
      </w:r>
      <w:r w:rsidR="00552598" w:rsidRPr="003730B5">
        <w:t>1 </w:t>
      </w:r>
      <w:r w:rsidRPr="003730B5">
        <w:t xml:space="preserve">000 Kč na </w:t>
      </w:r>
      <w:r w:rsidR="00552598" w:rsidRPr="003730B5">
        <w:t>1 </w:t>
      </w:r>
      <w:r w:rsidRPr="003730B5">
        <w:t xml:space="preserve">účastníka. Dopad na saldo státního rozpočtu se projeví poprvé </w:t>
      </w:r>
      <w:r w:rsidR="00552598" w:rsidRPr="003730B5">
        <w:t>v </w:t>
      </w:r>
      <w:r w:rsidRPr="003730B5">
        <w:t xml:space="preserve">roce 2025. </w:t>
      </w:r>
    </w:p>
    <w:p w14:paraId="377F5D78" w14:textId="547AC2FF" w:rsidR="00427F33" w:rsidRPr="003730B5" w:rsidRDefault="00427F33" w:rsidP="00D16775">
      <w:pPr>
        <w:pStyle w:val="Odstavecseseznamem"/>
        <w:widowControl w:val="0"/>
        <w:numPr>
          <w:ilvl w:val="0"/>
          <w:numId w:val="44"/>
        </w:numPr>
        <w:spacing w:after="120"/>
      </w:pPr>
      <w:r w:rsidRPr="003730B5">
        <w:t xml:space="preserve">Posílení konkurence </w:t>
      </w:r>
      <w:r w:rsidR="00552598" w:rsidRPr="003730B5">
        <w:t>v </w:t>
      </w:r>
      <w:r w:rsidRPr="003730B5">
        <w:t xml:space="preserve">sektoru stavebního spoření umožněním vstupu nových poskytovatelů stavebního spoření bez nutnosti zakládat novou specializovanou banku, za současného neohrožení stability finančního trhu. Přijetí tzv. produktového pojetí mění situaci tak, že stavební spoření již nadále nebude poskytováno pouze stavebními spořitelnami, ale bude finančním produktem se zvláštními podmínkami, který však budou moci poskytovat </w:t>
      </w:r>
      <w:r w:rsidR="00552598" w:rsidRPr="003730B5">
        <w:t>i </w:t>
      </w:r>
      <w:r w:rsidRPr="003730B5">
        <w:t>také univerzální banky. To by také mělo umožnit poskytovat tento produkt nákladově efektivněji.</w:t>
      </w:r>
    </w:p>
    <w:p w14:paraId="3709EDB8" w14:textId="570C8221" w:rsidR="00427F33" w:rsidRPr="003730B5" w:rsidRDefault="00427F33" w:rsidP="00115AF3">
      <w:pPr>
        <w:widowControl w:val="0"/>
        <w:spacing w:after="120"/>
      </w:pPr>
      <w:r w:rsidRPr="003730B5">
        <w:t xml:space="preserve">Vzhledem </w:t>
      </w:r>
      <w:r w:rsidR="00552598" w:rsidRPr="003730B5">
        <w:t>k </w:t>
      </w:r>
      <w:r w:rsidRPr="003730B5">
        <w:t xml:space="preserve">100% vlastnictví stávajících stavebních spořitelen bankovními skupinami by tyto mohly využít prostor ke snížení souvisejících nákladů vzhledem </w:t>
      </w:r>
      <w:r w:rsidR="00552598" w:rsidRPr="003730B5">
        <w:t>k </w:t>
      </w:r>
      <w:r w:rsidRPr="003730B5">
        <w:t xml:space="preserve">úsporám </w:t>
      </w:r>
      <w:r w:rsidR="00552598" w:rsidRPr="003730B5">
        <w:t>z </w:t>
      </w:r>
      <w:r w:rsidRPr="003730B5">
        <w:t xml:space="preserve">rozsahu a zefektivnění činností. Snížení nákladovosti by následně mohlo umožnit zvýšení úročení či snížení poplatků, </w:t>
      </w:r>
      <w:r w:rsidR="00552598" w:rsidRPr="003730B5">
        <w:t>a </w:t>
      </w:r>
      <w:r w:rsidRPr="003730B5">
        <w:t xml:space="preserve">tedy zvýšení atraktivity stavebního spoření bez ohledu na výši státní podpory. Pro úplnost je potřeba zdůraznit, že stavební spoření jako takové zůstává zachováno, </w:t>
      </w:r>
      <w:r w:rsidR="00552598" w:rsidRPr="003730B5">
        <w:t>a </w:t>
      </w:r>
      <w:r w:rsidRPr="003730B5">
        <w:t>to včetně možnosti poskytovat úvěry na financování bytových potřeb, včetně úprav nemovitostí vedoucích k energetickým úsporám.</w:t>
      </w:r>
    </w:p>
    <w:p w14:paraId="40A0FE10" w14:textId="2C1D64F8" w:rsidR="00E253CB" w:rsidRPr="003730B5" w:rsidRDefault="00F24C8A" w:rsidP="00E253CB">
      <w:pPr>
        <w:pStyle w:val="Nadpis2"/>
        <w:keepNext w:val="0"/>
        <w:widowControl w:val="0"/>
        <w:numPr>
          <w:ilvl w:val="3"/>
          <w:numId w:val="28"/>
        </w:numPr>
        <w:shd w:val="clear" w:color="auto" w:fill="FFFFFF"/>
        <w:tabs>
          <w:tab w:val="left" w:pos="567"/>
        </w:tabs>
        <w:jc w:val="both"/>
        <w:rPr>
          <w:i/>
          <w:sz w:val="24"/>
        </w:rPr>
      </w:pPr>
      <w:r w:rsidRPr="003730B5">
        <w:rPr>
          <w:i/>
          <w:sz w:val="24"/>
        </w:rPr>
        <w:t xml:space="preserve">Změna v oblasti fondu kulturních </w:t>
      </w:r>
      <w:r w:rsidR="007C6C1D" w:rsidRPr="003730B5">
        <w:rPr>
          <w:i/>
          <w:sz w:val="24"/>
        </w:rPr>
        <w:t>a </w:t>
      </w:r>
      <w:r w:rsidRPr="003730B5">
        <w:rPr>
          <w:i/>
          <w:sz w:val="24"/>
        </w:rPr>
        <w:t xml:space="preserve">sociálních potřeb </w:t>
      </w:r>
      <w:r w:rsidR="007C6C1D" w:rsidRPr="003730B5">
        <w:rPr>
          <w:i/>
          <w:sz w:val="24"/>
        </w:rPr>
        <w:t>a </w:t>
      </w:r>
      <w:r w:rsidRPr="003730B5">
        <w:rPr>
          <w:i/>
          <w:sz w:val="24"/>
        </w:rPr>
        <w:t>jemu obdobných fondů</w:t>
      </w:r>
    </w:p>
    <w:p w14:paraId="7B3F8A72" w14:textId="17F76A29" w:rsidR="00E253CB" w:rsidRPr="003730B5" w:rsidRDefault="00E253CB" w:rsidP="00E253CB">
      <w:pPr>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p w14:paraId="54E5246B" w14:textId="457F9791" w:rsidR="00F24C8A" w:rsidRPr="003730B5" w:rsidRDefault="007C6C1D" w:rsidP="00E253CB">
      <w:pPr>
        <w:widowControl w:val="0"/>
        <w:spacing w:after="120"/>
      </w:pPr>
      <w:r w:rsidRPr="003730B5">
        <w:t>V </w:t>
      </w:r>
      <w:r w:rsidR="00F24C8A" w:rsidRPr="003730B5">
        <w:t xml:space="preserve">současné době je objem prostředků na </w:t>
      </w:r>
      <w:r w:rsidR="00F667C9" w:rsidRPr="003730B5">
        <w:t>f</w:t>
      </w:r>
      <w:r w:rsidR="00F24C8A" w:rsidRPr="003730B5">
        <w:t xml:space="preserve">ond kulturních </w:t>
      </w:r>
      <w:r w:rsidRPr="003730B5">
        <w:t>a </w:t>
      </w:r>
      <w:r w:rsidR="00F24C8A" w:rsidRPr="003730B5">
        <w:t xml:space="preserve">sociálních potřeb (FKSP) stanoven ve výši </w:t>
      </w:r>
      <w:r w:rsidRPr="003730B5">
        <w:t>2 </w:t>
      </w:r>
      <w:r w:rsidR="00F24C8A" w:rsidRPr="003730B5">
        <w:t xml:space="preserve">% </w:t>
      </w:r>
      <w:r w:rsidRPr="003730B5">
        <w:t>z </w:t>
      </w:r>
      <w:r w:rsidR="00F24C8A" w:rsidRPr="003730B5">
        <w:t xml:space="preserve">objemu prostředků na platy, což pro rok 2023 jen </w:t>
      </w:r>
      <w:r w:rsidRPr="003730B5">
        <w:t>v </w:t>
      </w:r>
      <w:r w:rsidR="00F24C8A" w:rsidRPr="003730B5">
        <w:t xml:space="preserve">regulovaných organizačních složkách státu </w:t>
      </w:r>
      <w:r w:rsidRPr="003730B5">
        <w:t>a </w:t>
      </w:r>
      <w:r w:rsidR="00F24C8A" w:rsidRPr="003730B5">
        <w:t>příspěvkových organizacích činí 5,</w:t>
      </w:r>
      <w:r w:rsidRPr="003730B5">
        <w:t>2 </w:t>
      </w:r>
      <w:r w:rsidR="00F24C8A" w:rsidRPr="003730B5">
        <w:t xml:space="preserve">mld. Kč. Pravidla pro využití FKSP jsou nejasně </w:t>
      </w:r>
      <w:r w:rsidRPr="003730B5">
        <w:t>a </w:t>
      </w:r>
      <w:r w:rsidR="00F24C8A" w:rsidRPr="003730B5">
        <w:t xml:space="preserve">složitě upravena ve vyhlášce </w:t>
      </w:r>
      <w:r w:rsidRPr="003730B5">
        <w:t>o </w:t>
      </w:r>
      <w:r w:rsidR="00F24C8A" w:rsidRPr="003730B5">
        <w:t xml:space="preserve">fondu kulturních </w:t>
      </w:r>
      <w:r w:rsidRPr="003730B5">
        <w:t>a </w:t>
      </w:r>
      <w:r w:rsidR="00F24C8A" w:rsidRPr="003730B5">
        <w:t xml:space="preserve">sociálních potřeb. Vyhláška poměrně kazuisticky </w:t>
      </w:r>
      <w:r w:rsidRPr="003730B5">
        <w:t>a </w:t>
      </w:r>
      <w:r w:rsidR="00F24C8A" w:rsidRPr="003730B5">
        <w:t xml:space="preserve">podrobně stanovuje, jakým způsobem lze prostředků </w:t>
      </w:r>
      <w:r w:rsidRPr="003730B5">
        <w:t>z </w:t>
      </w:r>
      <w:r w:rsidR="00F24C8A" w:rsidRPr="003730B5">
        <w:t xml:space="preserve">fondu kulturních </w:t>
      </w:r>
      <w:r w:rsidRPr="003730B5">
        <w:t>a </w:t>
      </w:r>
      <w:r w:rsidR="00F24C8A" w:rsidRPr="003730B5">
        <w:t xml:space="preserve">sociálních potřeb využít, </w:t>
      </w:r>
      <w:r w:rsidRPr="003730B5">
        <w:t>z </w:t>
      </w:r>
      <w:r w:rsidR="00F24C8A" w:rsidRPr="003730B5">
        <w:t>čehož pramení jistá dávka rigidity</w:t>
      </w:r>
      <w:r w:rsidR="00C22741" w:rsidRPr="003730B5">
        <w:t xml:space="preserve">, která v konečném důsledku vede k tomu, že tyto prostředky není možné využít na </w:t>
      </w:r>
      <w:r w:rsidR="00F24C8A" w:rsidRPr="003730B5">
        <w:t xml:space="preserve">některé aktivity, </w:t>
      </w:r>
      <w:r w:rsidR="00C22741" w:rsidRPr="003730B5">
        <w:t>které</w:t>
      </w:r>
      <w:r w:rsidR="00F24C8A" w:rsidRPr="003730B5">
        <w:t xml:space="preserve"> svou povahou naplňují smysl kulturního, sociálního, sportovního, zdravotního či podobného využití </w:t>
      </w:r>
      <w:r w:rsidRPr="003730B5">
        <w:t>a </w:t>
      </w:r>
      <w:r w:rsidR="00F24C8A" w:rsidRPr="003730B5">
        <w:t>rozvoje</w:t>
      </w:r>
      <w:r w:rsidR="00C22741" w:rsidRPr="003730B5">
        <w:t>.</w:t>
      </w:r>
    </w:p>
    <w:p w14:paraId="0C944127" w14:textId="629A4F68" w:rsidR="00E253CB" w:rsidRPr="003730B5" w:rsidRDefault="00E253CB" w:rsidP="00E253CB">
      <w:pPr>
        <w:widowControl w:val="0"/>
        <w:spacing w:after="120"/>
        <w:rPr>
          <w:u w:val="single"/>
        </w:rPr>
      </w:pPr>
      <w:r w:rsidRPr="003730B5">
        <w:rPr>
          <w:u w:val="single"/>
        </w:rPr>
        <w:t>Navržené řešení:</w:t>
      </w:r>
    </w:p>
    <w:p w14:paraId="3E0ADE7B" w14:textId="298219F8" w:rsidR="005D7B6F" w:rsidRPr="003730B5" w:rsidRDefault="00F24C8A" w:rsidP="00E253CB">
      <w:pPr>
        <w:widowControl w:val="0"/>
        <w:spacing w:after="120"/>
      </w:pPr>
      <w:r w:rsidRPr="003730B5">
        <w:t xml:space="preserve">Snížení prostředků na FKSP </w:t>
      </w:r>
      <w:r w:rsidR="007C6C1D" w:rsidRPr="003730B5">
        <w:t>o </w:t>
      </w:r>
      <w:r w:rsidRPr="003730B5">
        <w:t xml:space="preserve">polovinu </w:t>
      </w:r>
      <w:r w:rsidR="007C6C1D" w:rsidRPr="003730B5">
        <w:t>z 2 </w:t>
      </w:r>
      <w:r w:rsidRPr="003730B5">
        <w:t xml:space="preserve">% na </w:t>
      </w:r>
      <w:r w:rsidR="007C6C1D" w:rsidRPr="003730B5">
        <w:t>1 </w:t>
      </w:r>
      <w:r w:rsidRPr="003730B5">
        <w:t>%. Polovina té</w:t>
      </w:r>
      <w:r w:rsidR="00D03256" w:rsidRPr="003730B5">
        <w:t>to částky by měla být určena na </w:t>
      </w:r>
      <w:r w:rsidRPr="003730B5">
        <w:t xml:space="preserve">přispívání zaměstnavatele na produkty spoření na stáří. </w:t>
      </w:r>
    </w:p>
    <w:p w14:paraId="2E941C95" w14:textId="219BE162" w:rsidR="00E253CB" w:rsidRPr="003730B5" w:rsidRDefault="00F24C8A" w:rsidP="00E253CB">
      <w:pPr>
        <w:widowControl w:val="0"/>
        <w:spacing w:after="120"/>
      </w:pPr>
      <w:r w:rsidRPr="003730B5">
        <w:t xml:space="preserve">Zrušení vyhlášky </w:t>
      </w:r>
      <w:r w:rsidR="007C6C1D" w:rsidRPr="003730B5">
        <w:t>č. </w:t>
      </w:r>
      <w:r w:rsidR="00C22741" w:rsidRPr="003730B5">
        <w:t xml:space="preserve">114/2002 Sb., </w:t>
      </w:r>
      <w:r w:rsidR="007C6C1D" w:rsidRPr="003730B5">
        <w:t>o </w:t>
      </w:r>
      <w:r w:rsidRPr="003730B5">
        <w:t xml:space="preserve">fondu kulturních </w:t>
      </w:r>
      <w:r w:rsidR="007C6C1D" w:rsidRPr="003730B5">
        <w:t>a </w:t>
      </w:r>
      <w:r w:rsidRPr="003730B5">
        <w:t>sociálních potřeb</w:t>
      </w:r>
      <w:r w:rsidR="008950CA" w:rsidRPr="003730B5">
        <w:t xml:space="preserve">, ve znění pozdějších předpisů (dále též „vyhláška </w:t>
      </w:r>
      <w:r w:rsidR="00D03256" w:rsidRPr="003730B5">
        <w:t>o </w:t>
      </w:r>
      <w:r w:rsidR="008950CA" w:rsidRPr="003730B5">
        <w:t>FKSP“)</w:t>
      </w:r>
      <w:r w:rsidRPr="003730B5">
        <w:t xml:space="preserve">. </w:t>
      </w:r>
      <w:r w:rsidR="00C22741" w:rsidRPr="003730B5">
        <w:t xml:space="preserve">Způsob čerpání fondu kulturních </w:t>
      </w:r>
      <w:r w:rsidR="007C6C1D" w:rsidRPr="003730B5">
        <w:t>a </w:t>
      </w:r>
      <w:r w:rsidR="00C22741" w:rsidRPr="003730B5">
        <w:t xml:space="preserve">sociálních potřeb se do budoucna stanoví pouze v kolektivní smlouvě, </w:t>
      </w:r>
      <w:r w:rsidR="007C6C1D" w:rsidRPr="003730B5">
        <w:t>v </w:t>
      </w:r>
      <w:r w:rsidR="00C22741" w:rsidRPr="003730B5">
        <w:t xml:space="preserve">kolektivní dohodě nebo ve vnitřním předpisu. </w:t>
      </w:r>
      <w:r w:rsidRPr="003730B5">
        <w:t xml:space="preserve">Ke snížení limitu ve stejném poměru dojde </w:t>
      </w:r>
      <w:r w:rsidR="007C6C1D" w:rsidRPr="003730B5">
        <w:t>i u </w:t>
      </w:r>
      <w:r w:rsidRPr="003730B5">
        <w:t xml:space="preserve">obdobných fondů stanovených </w:t>
      </w:r>
      <w:r w:rsidRPr="003730B5">
        <w:lastRenderedPageBreak/>
        <w:t>zákonem, aby byla zachována symetrie těchto institutů.</w:t>
      </w:r>
    </w:p>
    <w:p w14:paraId="01B42E7F" w14:textId="6BBA5D4A" w:rsidR="009A45C8" w:rsidRPr="003730B5" w:rsidRDefault="00332DF9" w:rsidP="009A45C8">
      <w:pPr>
        <w:pStyle w:val="Nadpis2"/>
        <w:keepNext w:val="0"/>
        <w:widowControl w:val="0"/>
        <w:numPr>
          <w:ilvl w:val="3"/>
          <w:numId w:val="28"/>
        </w:numPr>
        <w:shd w:val="clear" w:color="auto" w:fill="FFFFFF"/>
        <w:tabs>
          <w:tab w:val="left" w:pos="567"/>
        </w:tabs>
        <w:jc w:val="both"/>
        <w:rPr>
          <w:i/>
          <w:sz w:val="24"/>
        </w:rPr>
      </w:pPr>
      <w:r w:rsidRPr="003730B5">
        <w:rPr>
          <w:i/>
          <w:sz w:val="24"/>
        </w:rPr>
        <w:t xml:space="preserve">Úprava </w:t>
      </w:r>
      <w:r w:rsidR="0059309B" w:rsidRPr="003730B5">
        <w:rPr>
          <w:i/>
          <w:sz w:val="24"/>
        </w:rPr>
        <w:t>pravidel rozpočtové zodpovědnosti</w:t>
      </w:r>
    </w:p>
    <w:p w14:paraId="78685FDA" w14:textId="77777777" w:rsidR="009A45C8" w:rsidRPr="003730B5" w:rsidRDefault="009A45C8" w:rsidP="009A45C8">
      <w:pPr>
        <w:widowControl w:val="0"/>
        <w:spacing w:after="120"/>
        <w:rPr>
          <w:u w:val="single"/>
        </w:rPr>
      </w:pPr>
      <w:r w:rsidRPr="003730B5">
        <w:rPr>
          <w:u w:val="single"/>
        </w:rPr>
        <w:t>Popis a zhodnocení současného stavu:</w:t>
      </w:r>
    </w:p>
    <w:p w14:paraId="1CD77B94" w14:textId="77777777" w:rsidR="00D37A9A" w:rsidRPr="003730B5" w:rsidRDefault="00D37A9A" w:rsidP="00A24C00">
      <w:pPr>
        <w:widowControl w:val="0"/>
        <w:spacing w:after="120"/>
      </w:pPr>
      <w:r w:rsidRPr="003730B5">
        <w:t>V roce 2020 došlo ke dvěma novelám zákona o pravidlech rozpočtové odpovědnosti. Obě novely měly za cíl rozvolnění fiskálních pravidel v době epidemie. Nicméně zejména druhá novela umožnila stanovování výdajových rámců na základě poměrně vysokých strukturálních deficitů a vedla ke značnému nárůstu korekční složky, která by za stávající úpravy v podstatě ztratila jako součást fiskálního pravidla svůj význam.</w:t>
      </w:r>
    </w:p>
    <w:p w14:paraId="5732245C" w14:textId="41A19828" w:rsidR="009A45C8" w:rsidRPr="003730B5" w:rsidRDefault="00534ED9" w:rsidP="009A45C8">
      <w:pPr>
        <w:widowControl w:val="0"/>
        <w:spacing w:after="120"/>
      </w:pPr>
      <w:r w:rsidRPr="003730B5">
        <w:t>V </w:t>
      </w:r>
      <w:r w:rsidR="009A45C8" w:rsidRPr="003730B5">
        <w:t xml:space="preserve">současnosti se do hodnoty dluhu </w:t>
      </w:r>
      <w:r w:rsidRPr="003730B5">
        <w:t>v </w:t>
      </w:r>
      <w:r w:rsidR="009A45C8" w:rsidRPr="003730B5">
        <w:t>rámci dluhového pravidla pro územní samosprávné celky (</w:t>
      </w:r>
      <w:r w:rsidRPr="003730B5">
        <w:t>§ </w:t>
      </w:r>
      <w:r w:rsidR="009A45C8" w:rsidRPr="003730B5">
        <w:t xml:space="preserve">17 zákona) započítávají stavy na syntetických účtech 281, 282, 283, 289, 322, 326, 362, 451, 452, 453, 456 </w:t>
      </w:r>
      <w:r w:rsidRPr="003730B5">
        <w:t>a </w:t>
      </w:r>
      <w:r w:rsidR="009A45C8" w:rsidRPr="003730B5">
        <w:t xml:space="preserve">457, které vymezuje vyhláška </w:t>
      </w:r>
      <w:r w:rsidRPr="003730B5">
        <w:t>č. </w:t>
      </w:r>
      <w:r w:rsidR="009A45C8" w:rsidRPr="003730B5">
        <w:t xml:space="preserve">410/2009 Sb., kterou se provádějí některá ustanovení zákona </w:t>
      </w:r>
      <w:r w:rsidRPr="003730B5">
        <w:t>č. </w:t>
      </w:r>
      <w:r w:rsidR="009A45C8" w:rsidRPr="003730B5">
        <w:t xml:space="preserve">563/1991 Sb., </w:t>
      </w:r>
      <w:r w:rsidRPr="003730B5">
        <w:t>o </w:t>
      </w:r>
      <w:r w:rsidR="009A45C8" w:rsidRPr="003730B5">
        <w:t xml:space="preserve">účetnictví, ve znění pozdějších předpisů, pro některé vybrané účetní jednotky, ve znění pozdějších předpisů. Současné vymezení dluhu </w:t>
      </w:r>
      <w:r w:rsidRPr="003730B5">
        <w:t>v </w:t>
      </w:r>
      <w:r w:rsidR="009A45C8" w:rsidRPr="003730B5">
        <w:t xml:space="preserve">rámci pravidla rozpočtové odpovědnosti pro územní samosprávné celky je nevyhovující, jelikož dochází </w:t>
      </w:r>
      <w:r w:rsidRPr="003730B5">
        <w:t>k </w:t>
      </w:r>
      <w:r w:rsidR="009A45C8" w:rsidRPr="003730B5">
        <w:t>podstatnému zkreslování vykazovaného dluhu na úrovni samospráv (</w:t>
      </w:r>
      <w:r w:rsidR="009A45C8" w:rsidRPr="003730B5">
        <w:rPr>
          <w:i/>
        </w:rPr>
        <w:t xml:space="preserve">např. obec Turovice, jedna </w:t>
      </w:r>
      <w:r w:rsidRPr="003730B5">
        <w:rPr>
          <w:i/>
        </w:rPr>
        <w:t>z </w:t>
      </w:r>
      <w:r w:rsidR="009A45C8" w:rsidRPr="003730B5">
        <w:rPr>
          <w:i/>
        </w:rPr>
        <w:t>nejzadluženějších obcí České republiky, vykazuje ostatní dlouhodobé závazky (syntetický účet 459) ve výši 70,</w:t>
      </w:r>
      <w:r w:rsidRPr="003730B5">
        <w:rPr>
          <w:i/>
        </w:rPr>
        <w:t>9 </w:t>
      </w:r>
      <w:r w:rsidR="009A45C8" w:rsidRPr="003730B5">
        <w:rPr>
          <w:i/>
        </w:rPr>
        <w:t xml:space="preserve">mil. Kč, avšak </w:t>
      </w:r>
      <w:r w:rsidRPr="003730B5">
        <w:rPr>
          <w:i/>
        </w:rPr>
        <w:t>v </w:t>
      </w:r>
      <w:r w:rsidR="009A45C8" w:rsidRPr="003730B5">
        <w:rPr>
          <w:i/>
        </w:rPr>
        <w:t xml:space="preserve">rámci pravidla rozpočtové odpovědnosti vykazuje dluh ve výši </w:t>
      </w:r>
      <w:r w:rsidRPr="003730B5">
        <w:rPr>
          <w:i/>
        </w:rPr>
        <w:t>0 </w:t>
      </w:r>
      <w:r w:rsidR="009A45C8" w:rsidRPr="003730B5">
        <w:rPr>
          <w:i/>
        </w:rPr>
        <w:t>Kč</w:t>
      </w:r>
      <w:r w:rsidR="009A45C8" w:rsidRPr="003730B5">
        <w:t xml:space="preserve">). </w:t>
      </w:r>
      <w:r w:rsidRPr="003730B5">
        <w:t>Z </w:t>
      </w:r>
      <w:r w:rsidR="009A45C8" w:rsidRPr="003730B5">
        <w:t>tohoto důvodu je výsledná hodnota dluhového pravidla významně zkreslená a jeho vypovídací schopnost diskutabilní.</w:t>
      </w:r>
    </w:p>
    <w:p w14:paraId="39A9B90F" w14:textId="77777777" w:rsidR="009A45C8" w:rsidRPr="003730B5" w:rsidRDefault="009A45C8" w:rsidP="009A45C8">
      <w:pPr>
        <w:widowControl w:val="0"/>
        <w:spacing w:after="120"/>
        <w:rPr>
          <w:u w:val="single"/>
        </w:rPr>
      </w:pPr>
      <w:r w:rsidRPr="003730B5">
        <w:rPr>
          <w:u w:val="single"/>
        </w:rPr>
        <w:t>Navržené řešení:</w:t>
      </w:r>
    </w:p>
    <w:p w14:paraId="1420BD80" w14:textId="1D8EBF81" w:rsidR="00D37A9A" w:rsidRPr="003730B5" w:rsidRDefault="00D37A9A" w:rsidP="00D37A9A">
      <w:pPr>
        <w:widowControl w:val="0"/>
        <w:spacing w:after="120"/>
      </w:pPr>
      <w:r w:rsidRPr="003730B5">
        <w:t>Navrhuje se úrovňově zpřísnit výdajové rámce státního rozpočtu a státních fondů, aby byl reflektován dopad konsolidačního balíčku. Aktuální nastavení zákona ve své minimalistické verzi počítá s návratem k aktuálně platnému střednědobému rozpočtovému cíli odpovídajícímu strukturálnímu deficitu 0,75 % HDP v roce 2031, v případě zpřísnění střednědobého rozpočtového cíle pak v roce 2032. Návrh deklaruje politický závazek vlády konsolidovat veřejné finance mnohem rychleji, než požaduje současný stav, a tento závazek zároveň přímo promítá do právního řádu České republiky. Doba k dosažení střednědobého rozpočtového cíle se zkrátí nejméně o tři roky. Rovněž nechává pro období relevantní k využití prostředků z Nástroje pro oživení a odolnost vládě možnost větší flexibility, což umožní nabízené prostředky efektivněji využít, s následně přísnější trajektorií oproti současnému stavu. Návrh rovněž propojuje fiskální pravidlo stanovení celkových výdajů sektoru veřejných institucí s přímo použitelným předpisem Evropské unie upravujícím posílení dohledu nad stavy rozpočtů a nad hospodářskými politikami a posílení koordinace hospodářských politik. Tím se ze zákona odstraňují již neaktuální hodnoty pro střednědobý rozpočtový cíl, které byly platné v době schvalování původní úpravy zákona.</w:t>
      </w:r>
    </w:p>
    <w:p w14:paraId="15F9E095" w14:textId="337F5976" w:rsidR="009A45C8" w:rsidRPr="003730B5" w:rsidRDefault="00D37A9A" w:rsidP="009A45C8">
      <w:pPr>
        <w:widowControl w:val="0"/>
        <w:spacing w:after="120"/>
      </w:pPr>
      <w:r w:rsidRPr="003730B5">
        <w:t>Dále se n</w:t>
      </w:r>
      <w:r w:rsidR="0032713E" w:rsidRPr="003730B5">
        <w:t xml:space="preserve">avrhuje upravit způsob vyčíslování dluhu obcí </w:t>
      </w:r>
      <w:r w:rsidR="00534ED9" w:rsidRPr="003730B5">
        <w:t>a </w:t>
      </w:r>
      <w:r w:rsidR="0032713E" w:rsidRPr="003730B5">
        <w:t xml:space="preserve">krajů tak, aby bylo možné lépe interpretovat stav jejich financí, což bude mít dopad mj. do hodnocení potřebnosti dotací nebo jiných forem státní podpory. </w:t>
      </w:r>
      <w:r w:rsidR="00534ED9" w:rsidRPr="003730B5">
        <w:t>V </w:t>
      </w:r>
      <w:r w:rsidR="009A45C8" w:rsidRPr="003730B5">
        <w:t xml:space="preserve">rámci zpřesňování dluhového pravidla pro územní samosprávné celky se navrhuje do definice dluhu zahrnout ostatní dlouhodobé závazky (syntetický účet 459), neboť jeho zahrnutí je nezbytné pro vyčíslení skutečného dluhu územního samosprávného celku. Ostatní dlouhodobé závazky obsahují dluhy </w:t>
      </w:r>
      <w:r w:rsidR="00534ED9" w:rsidRPr="003730B5">
        <w:t>s </w:t>
      </w:r>
      <w:r w:rsidR="009A45C8" w:rsidRPr="003730B5">
        <w:t xml:space="preserve">dobou splatnosti delší než </w:t>
      </w:r>
      <w:r w:rsidR="00534ED9" w:rsidRPr="003730B5">
        <w:t>1 </w:t>
      </w:r>
      <w:r w:rsidR="009A45C8" w:rsidRPr="003730B5">
        <w:t xml:space="preserve">rok, pokud nejsou specifikovány nebo zahrnuty </w:t>
      </w:r>
      <w:r w:rsidR="00534ED9" w:rsidRPr="003730B5">
        <w:t>v </w:t>
      </w:r>
      <w:r w:rsidR="009A45C8" w:rsidRPr="003730B5">
        <w:t xml:space="preserve">jiných dlouhodobých dluzích (účtová skupina 45). Jedná se např. </w:t>
      </w:r>
      <w:r w:rsidR="00534ED9" w:rsidRPr="003730B5">
        <w:t>o </w:t>
      </w:r>
      <w:r w:rsidR="009A45C8" w:rsidRPr="003730B5">
        <w:t xml:space="preserve">dodavatelsko-odběratelské úvěry </w:t>
      </w:r>
      <w:r w:rsidR="00534ED9" w:rsidRPr="003730B5">
        <w:t>s </w:t>
      </w:r>
      <w:r w:rsidR="009A45C8" w:rsidRPr="003730B5">
        <w:t xml:space="preserve">dobou splatnosti delší než </w:t>
      </w:r>
      <w:r w:rsidR="00534ED9" w:rsidRPr="003730B5">
        <w:t>1 </w:t>
      </w:r>
      <w:r w:rsidR="009A45C8" w:rsidRPr="003730B5">
        <w:t xml:space="preserve">rok (tedy včetně financování EPC projektů). Dále jsou zde vykazovány odvody za porušení rozpočtové kázně vůči finanční správě </w:t>
      </w:r>
      <w:r w:rsidR="00534ED9" w:rsidRPr="003730B5">
        <w:t>s </w:t>
      </w:r>
      <w:r w:rsidR="009A45C8" w:rsidRPr="003730B5">
        <w:t xml:space="preserve">dobou splatnosti delší než </w:t>
      </w:r>
      <w:r w:rsidR="00534ED9" w:rsidRPr="003730B5">
        <w:t>1 </w:t>
      </w:r>
      <w:r w:rsidR="009A45C8" w:rsidRPr="003730B5">
        <w:t xml:space="preserve">rok (splátky na základě splátkového kalendáře). Nově navrhované vymezení závazků naopak nezahrnuje dlouhodobé přijaté zálohy na transfery, dlouhodobé závazky </w:t>
      </w:r>
      <w:r w:rsidR="00534ED9" w:rsidRPr="003730B5">
        <w:t>z </w:t>
      </w:r>
      <w:r w:rsidR="009A45C8" w:rsidRPr="003730B5">
        <w:t xml:space="preserve">titulu poskytnutí transferu </w:t>
      </w:r>
      <w:r w:rsidR="00534ED9" w:rsidRPr="003730B5">
        <w:t>a </w:t>
      </w:r>
      <w:r w:rsidR="009A45C8" w:rsidRPr="003730B5">
        <w:t xml:space="preserve">dlouhodobé závazky například </w:t>
      </w:r>
      <w:r w:rsidR="00534ED9" w:rsidRPr="003730B5">
        <w:lastRenderedPageBreak/>
        <w:t>z </w:t>
      </w:r>
      <w:r w:rsidR="009A45C8" w:rsidRPr="003730B5">
        <w:t xml:space="preserve">titulu přijatých jistot </w:t>
      </w:r>
      <w:r w:rsidR="00534ED9" w:rsidRPr="003730B5">
        <w:t>u </w:t>
      </w:r>
      <w:r w:rsidR="009A45C8" w:rsidRPr="003730B5">
        <w:t xml:space="preserve">nájemního bydlení. </w:t>
      </w:r>
    </w:p>
    <w:p w14:paraId="6BA8BDED" w14:textId="585899A6" w:rsidR="00CA6201" w:rsidRPr="003730B5" w:rsidRDefault="00CA6201" w:rsidP="00CA6201">
      <w:pPr>
        <w:widowControl w:val="0"/>
        <w:spacing w:after="120"/>
        <w:rPr>
          <w:b/>
          <w:i/>
          <w:u w:val="single"/>
        </w:rPr>
      </w:pPr>
      <w:r w:rsidRPr="003730B5">
        <w:rPr>
          <w:b/>
          <w:i/>
          <w:u w:val="single"/>
        </w:rPr>
        <w:t xml:space="preserve">Gesce Ministerstva práce </w:t>
      </w:r>
      <w:r w:rsidR="00C862B4" w:rsidRPr="003730B5">
        <w:rPr>
          <w:b/>
          <w:i/>
          <w:u w:val="single"/>
        </w:rPr>
        <w:t>a </w:t>
      </w:r>
      <w:r w:rsidRPr="003730B5">
        <w:rPr>
          <w:b/>
          <w:i/>
          <w:u w:val="single"/>
        </w:rPr>
        <w:t>sociálních věcí:</w:t>
      </w:r>
    </w:p>
    <w:p w14:paraId="21D5C8FB" w14:textId="45868833" w:rsidR="00E253CB" w:rsidRPr="003730B5" w:rsidRDefault="00C36F36" w:rsidP="00CA6201">
      <w:pPr>
        <w:pStyle w:val="Nadpis2"/>
        <w:widowControl w:val="0"/>
        <w:numPr>
          <w:ilvl w:val="3"/>
          <w:numId w:val="28"/>
        </w:numPr>
        <w:shd w:val="clear" w:color="auto" w:fill="FFFFFF"/>
        <w:tabs>
          <w:tab w:val="left" w:pos="567"/>
        </w:tabs>
        <w:jc w:val="both"/>
        <w:rPr>
          <w:i/>
          <w:sz w:val="24"/>
        </w:rPr>
      </w:pPr>
      <w:r w:rsidRPr="003730B5">
        <w:rPr>
          <w:i/>
          <w:sz w:val="24"/>
        </w:rPr>
        <w:t>Úprava</w:t>
      </w:r>
      <w:r w:rsidR="00CA6201" w:rsidRPr="003730B5">
        <w:rPr>
          <w:i/>
          <w:sz w:val="24"/>
        </w:rPr>
        <w:t xml:space="preserve"> sazby nemocenského pojištění pro zaměstnance</w:t>
      </w:r>
    </w:p>
    <w:p w14:paraId="218C0AF2" w14:textId="287D6AD4" w:rsidR="00E253CB" w:rsidRPr="003730B5" w:rsidRDefault="00E253CB" w:rsidP="00E253CB">
      <w:pPr>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p w14:paraId="60C1F1FD" w14:textId="59481DBF" w:rsidR="008E1D08" w:rsidRPr="003730B5" w:rsidRDefault="001E6BD7" w:rsidP="00CA6201">
      <w:pPr>
        <w:widowControl w:val="0"/>
        <w:spacing w:after="120"/>
      </w:pPr>
      <w:r w:rsidRPr="003730B5">
        <w:t>Do roku 2008 vyplácely dávku nemocenské od 1. dne nemoci orgány sociálního zabezpečení. Sazba nemocenského pojištění pro zaměstnavatele byla 3,</w:t>
      </w:r>
      <w:r w:rsidR="00C862B4" w:rsidRPr="003730B5">
        <w:t>3 </w:t>
      </w:r>
      <w:r w:rsidRPr="003730B5">
        <w:t>%, pro zaměstnance 1,</w:t>
      </w:r>
      <w:r w:rsidR="00C862B4" w:rsidRPr="003730B5">
        <w:t>1 </w:t>
      </w:r>
      <w:r w:rsidRPr="003730B5">
        <w:t xml:space="preserve">%. Legislativními změnami došlo k úpravě způsobu vyplácení tak, že zaměstnavatel začal vyplácet v prvních 14 dnech nemoci náhradu mzdy </w:t>
      </w:r>
      <w:r w:rsidR="00C862B4" w:rsidRPr="003730B5">
        <w:t>a </w:t>
      </w:r>
      <w:r w:rsidRPr="003730B5">
        <w:t>v souvislosti s tím se mu sazba snížila na 2,</w:t>
      </w:r>
      <w:r w:rsidR="00C862B4" w:rsidRPr="003730B5">
        <w:t>3 </w:t>
      </w:r>
      <w:r w:rsidRPr="003730B5">
        <w:t xml:space="preserve">%. V návaznosti na zavedení tzv. </w:t>
      </w:r>
      <w:r w:rsidRPr="003730B5">
        <w:rPr>
          <w:i/>
        </w:rPr>
        <w:t>superhrubé mzdy</w:t>
      </w:r>
      <w:r w:rsidRPr="003730B5">
        <w:t xml:space="preserve"> se přistoupilo ke snížení sazby </w:t>
      </w:r>
      <w:r w:rsidR="00C862B4" w:rsidRPr="003730B5">
        <w:t>u </w:t>
      </w:r>
      <w:r w:rsidRPr="003730B5">
        <w:t xml:space="preserve">zaměstnanců na </w:t>
      </w:r>
      <w:r w:rsidR="00C862B4" w:rsidRPr="003730B5">
        <w:t>0 </w:t>
      </w:r>
      <w:r w:rsidRPr="003730B5">
        <w:t xml:space="preserve">%. </w:t>
      </w:r>
      <w:r w:rsidR="00CA6201" w:rsidRPr="003730B5">
        <w:t xml:space="preserve">Snížení sazby nemocenského pojištění pro zaměstnance </w:t>
      </w:r>
      <w:r w:rsidR="00C862B4" w:rsidRPr="003730B5">
        <w:t>v </w:t>
      </w:r>
      <w:r w:rsidR="00CA6201" w:rsidRPr="003730B5">
        <w:t>roce 2009</w:t>
      </w:r>
      <w:r w:rsidR="00C862B4" w:rsidRPr="003730B5">
        <w:t> </w:t>
      </w:r>
      <w:r w:rsidR="00CA6201" w:rsidRPr="003730B5">
        <w:t>vedlo k</w:t>
      </w:r>
      <w:r w:rsidRPr="003730B5">
        <w:t> </w:t>
      </w:r>
      <w:r w:rsidR="00CA6201" w:rsidRPr="003730B5">
        <w:t xml:space="preserve">nerovnováze systému nemocenského pojištění. Sazba nemocenského pojištění placená zaměstnavateli se </w:t>
      </w:r>
      <w:r w:rsidR="00C862B4" w:rsidRPr="003730B5">
        <w:t>v </w:t>
      </w:r>
      <w:r w:rsidR="00CA6201" w:rsidRPr="003730B5">
        <w:t xml:space="preserve">roce 2019 snížila </w:t>
      </w:r>
      <w:r w:rsidR="00C862B4" w:rsidRPr="003730B5">
        <w:t>z </w:t>
      </w:r>
      <w:r w:rsidR="00CA6201" w:rsidRPr="003730B5">
        <w:t>2,</w:t>
      </w:r>
      <w:r w:rsidR="00C862B4" w:rsidRPr="003730B5">
        <w:t>3 </w:t>
      </w:r>
      <w:r w:rsidR="00CA6201" w:rsidRPr="003730B5">
        <w:t>% vyměřovacího základu na 2,</w:t>
      </w:r>
      <w:r w:rsidR="00C862B4" w:rsidRPr="003730B5">
        <w:t>1 </w:t>
      </w:r>
      <w:r w:rsidR="00CA6201" w:rsidRPr="003730B5">
        <w:t xml:space="preserve">% jako kompenzace za zrušení karenční doby. Díky tomuto kroku </w:t>
      </w:r>
      <w:r w:rsidR="00C862B4" w:rsidRPr="003730B5">
        <w:t>a </w:t>
      </w:r>
      <w:r w:rsidR="00CA6201" w:rsidRPr="003730B5">
        <w:t xml:space="preserve">zavedení dalších dávek nemocenského pojištění (např. zavedení </w:t>
      </w:r>
      <w:r w:rsidR="00C862B4" w:rsidRPr="003730B5">
        <w:t>a </w:t>
      </w:r>
      <w:r w:rsidR="00CA6201" w:rsidRPr="003730B5">
        <w:t>poté prodloužení otcovské či zavedení pečovatelské dovolené) vykazuje od</w:t>
      </w:r>
      <w:r w:rsidR="00C862B4" w:rsidRPr="003730B5">
        <w:t> </w:t>
      </w:r>
      <w:r w:rsidR="00CA6201" w:rsidRPr="003730B5">
        <w:t>roku 2019 účet nemocenského pojištění záporné saldo, v</w:t>
      </w:r>
      <w:r w:rsidR="00AC2F32" w:rsidRPr="003730B5">
        <w:t> </w:t>
      </w:r>
      <w:r w:rsidR="00CA6201" w:rsidRPr="003730B5">
        <w:t>roce</w:t>
      </w:r>
      <w:r w:rsidR="00AC2F32" w:rsidRPr="003730B5">
        <w:t xml:space="preserve"> 2022</w:t>
      </w:r>
      <w:r w:rsidR="00CA6201" w:rsidRPr="003730B5">
        <w:t xml:space="preserve"> zhruba -</w:t>
      </w:r>
      <w:r w:rsidR="00C862B4" w:rsidRPr="003730B5">
        <w:t>8 </w:t>
      </w:r>
      <w:r w:rsidR="00CA6201" w:rsidRPr="003730B5">
        <w:t xml:space="preserve">mld. Kč. </w:t>
      </w:r>
    </w:p>
    <w:p w14:paraId="71837BE2" w14:textId="77777777" w:rsidR="00E253CB" w:rsidRPr="003730B5" w:rsidRDefault="00E253CB" w:rsidP="00E253CB">
      <w:pPr>
        <w:widowControl w:val="0"/>
        <w:spacing w:after="120"/>
        <w:rPr>
          <w:u w:val="single"/>
        </w:rPr>
      </w:pPr>
      <w:r w:rsidRPr="003730B5">
        <w:rPr>
          <w:u w:val="single"/>
        </w:rPr>
        <w:t>Navržené řešení:</w:t>
      </w:r>
    </w:p>
    <w:p w14:paraId="679EDDB7" w14:textId="0D6CB1BF" w:rsidR="005B326B" w:rsidRPr="003730B5" w:rsidRDefault="00CA6201" w:rsidP="005B326B">
      <w:pPr>
        <w:widowControl w:val="0"/>
        <w:spacing w:after="120"/>
        <w:rPr>
          <w:rFonts w:ascii="Tahoma" w:hAnsi="Tahoma" w:cs="Tahoma"/>
          <w:color w:val="FF0000"/>
          <w:sz w:val="19"/>
          <w:szCs w:val="19"/>
        </w:rPr>
      </w:pPr>
      <w:r w:rsidRPr="003730B5">
        <w:t>Znovuzavedení nemocenského pojištění zaměstnanců ve snížené výši 0,</w:t>
      </w:r>
      <w:r w:rsidR="00C862B4" w:rsidRPr="003730B5">
        <w:t>6 </w:t>
      </w:r>
      <w:r w:rsidRPr="003730B5">
        <w:t>%.</w:t>
      </w:r>
      <w:r w:rsidR="00AC2F32" w:rsidRPr="003730B5">
        <w:t xml:space="preserve"> Zavedením tohoto opatření se očekává vyrovnání bilance účtu nemocenského pojištění. </w:t>
      </w:r>
    </w:p>
    <w:tbl>
      <w:tblPr>
        <w:tblpPr w:leftFromText="141" w:rightFromText="141" w:vertAnchor="text" w:horzAnchor="margin" w:tblpXSpec="center" w:tblpY="4"/>
        <w:tblW w:w="9073" w:type="dxa"/>
        <w:tblCellMar>
          <w:left w:w="70" w:type="dxa"/>
          <w:right w:w="70" w:type="dxa"/>
        </w:tblCellMar>
        <w:tblLook w:val="04A0" w:firstRow="1" w:lastRow="0" w:firstColumn="1" w:lastColumn="0" w:noHBand="0" w:noVBand="1"/>
      </w:tblPr>
      <w:tblGrid>
        <w:gridCol w:w="2637"/>
        <w:gridCol w:w="1333"/>
        <w:gridCol w:w="1984"/>
        <w:gridCol w:w="1843"/>
        <w:gridCol w:w="1276"/>
      </w:tblGrid>
      <w:tr w:rsidR="00C862B4" w:rsidRPr="003730B5" w14:paraId="77B894E6" w14:textId="77777777" w:rsidTr="00C862B4">
        <w:trPr>
          <w:trHeight w:val="252"/>
        </w:trPr>
        <w:tc>
          <w:tcPr>
            <w:tcW w:w="263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4ACA0C7" w14:textId="547FF9FA" w:rsidR="005B326B" w:rsidRPr="003730B5" w:rsidRDefault="005B326B" w:rsidP="00C862B4">
            <w:pPr>
              <w:jc w:val="left"/>
              <w:rPr>
                <w:b/>
                <w:bCs/>
                <w:color w:val="000000"/>
                <w:sz w:val="20"/>
                <w:szCs w:val="19"/>
              </w:rPr>
            </w:pPr>
            <w:r w:rsidRPr="003730B5">
              <w:rPr>
                <w:b/>
                <w:bCs/>
                <w:color w:val="000000"/>
                <w:sz w:val="20"/>
                <w:szCs w:val="19"/>
              </w:rPr>
              <w:t>Sazby nemocenského pojištění (</w:t>
            </w:r>
            <w:r w:rsidR="00C862B4" w:rsidRPr="003730B5">
              <w:rPr>
                <w:b/>
                <w:bCs/>
                <w:color w:val="000000"/>
                <w:sz w:val="20"/>
                <w:szCs w:val="19"/>
              </w:rPr>
              <w:t>v </w:t>
            </w:r>
            <w:r w:rsidRPr="003730B5">
              <w:rPr>
                <w:b/>
                <w:bCs/>
                <w:color w:val="000000"/>
                <w:sz w:val="20"/>
                <w:szCs w:val="19"/>
              </w:rPr>
              <w:t>%)</w:t>
            </w:r>
          </w:p>
        </w:tc>
        <w:tc>
          <w:tcPr>
            <w:tcW w:w="1333"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7DA0D053" w14:textId="77777777" w:rsidR="005B326B" w:rsidRPr="003730B5" w:rsidRDefault="005B326B" w:rsidP="005B326B">
            <w:pPr>
              <w:jc w:val="center"/>
              <w:rPr>
                <w:b/>
                <w:bCs/>
                <w:color w:val="000000"/>
                <w:sz w:val="20"/>
                <w:szCs w:val="19"/>
              </w:rPr>
            </w:pPr>
            <w:r w:rsidRPr="003730B5">
              <w:rPr>
                <w:b/>
                <w:bCs/>
                <w:color w:val="000000"/>
                <w:sz w:val="20"/>
                <w:szCs w:val="19"/>
              </w:rPr>
              <w:t>do 2008</w:t>
            </w:r>
          </w:p>
        </w:tc>
        <w:tc>
          <w:tcPr>
            <w:tcW w:w="1984"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1D64FEC9" w14:textId="77777777" w:rsidR="005B326B" w:rsidRPr="003730B5" w:rsidRDefault="005B326B" w:rsidP="005B326B">
            <w:pPr>
              <w:jc w:val="center"/>
              <w:rPr>
                <w:b/>
                <w:bCs/>
                <w:color w:val="000000"/>
                <w:sz w:val="20"/>
                <w:szCs w:val="19"/>
              </w:rPr>
            </w:pPr>
            <w:r w:rsidRPr="003730B5">
              <w:rPr>
                <w:b/>
                <w:bCs/>
                <w:color w:val="000000"/>
                <w:sz w:val="20"/>
                <w:szCs w:val="19"/>
              </w:rPr>
              <w:t>2009 - 30. 6. 2019</w:t>
            </w:r>
          </w:p>
        </w:tc>
        <w:tc>
          <w:tcPr>
            <w:tcW w:w="1843"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468F1799" w14:textId="77777777" w:rsidR="005B326B" w:rsidRPr="003730B5" w:rsidRDefault="005B326B" w:rsidP="005B326B">
            <w:pPr>
              <w:jc w:val="center"/>
              <w:rPr>
                <w:b/>
                <w:bCs/>
                <w:color w:val="000000"/>
                <w:sz w:val="20"/>
                <w:szCs w:val="19"/>
              </w:rPr>
            </w:pPr>
            <w:r w:rsidRPr="003730B5">
              <w:rPr>
                <w:b/>
                <w:bCs/>
                <w:color w:val="000000"/>
                <w:sz w:val="20"/>
                <w:szCs w:val="19"/>
              </w:rPr>
              <w:t>od 1. 7. 2019</w:t>
            </w:r>
          </w:p>
        </w:tc>
        <w:tc>
          <w:tcPr>
            <w:tcW w:w="1276" w:type="dxa"/>
            <w:tcBorders>
              <w:top w:val="single" w:sz="4" w:space="0" w:color="auto"/>
              <w:left w:val="nil"/>
              <w:bottom w:val="single" w:sz="4" w:space="0" w:color="auto"/>
              <w:right w:val="single" w:sz="4" w:space="0" w:color="auto"/>
            </w:tcBorders>
            <w:shd w:val="clear" w:color="auto" w:fill="DBE5F1" w:themeFill="accent1" w:themeFillTint="33"/>
          </w:tcPr>
          <w:p w14:paraId="7A89135B" w14:textId="77777777" w:rsidR="005B326B" w:rsidRPr="003730B5" w:rsidRDefault="005B326B" w:rsidP="005B326B">
            <w:pPr>
              <w:jc w:val="center"/>
              <w:rPr>
                <w:b/>
                <w:bCs/>
                <w:sz w:val="20"/>
                <w:szCs w:val="19"/>
              </w:rPr>
            </w:pPr>
            <w:r w:rsidRPr="003730B5">
              <w:rPr>
                <w:b/>
                <w:bCs/>
                <w:sz w:val="20"/>
                <w:szCs w:val="19"/>
              </w:rPr>
              <w:t>od 2024</w:t>
            </w:r>
          </w:p>
        </w:tc>
      </w:tr>
      <w:tr w:rsidR="005B326B" w:rsidRPr="003730B5" w14:paraId="1DD3F947" w14:textId="77777777" w:rsidTr="00C862B4">
        <w:trPr>
          <w:trHeight w:val="252"/>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7F352BB8" w14:textId="77777777" w:rsidR="005B326B" w:rsidRPr="003730B5" w:rsidRDefault="005B326B" w:rsidP="00C862B4">
            <w:pPr>
              <w:jc w:val="left"/>
              <w:rPr>
                <w:color w:val="000000"/>
                <w:sz w:val="20"/>
                <w:szCs w:val="19"/>
              </w:rPr>
            </w:pPr>
            <w:r w:rsidRPr="003730B5">
              <w:rPr>
                <w:color w:val="000000"/>
                <w:sz w:val="20"/>
                <w:szCs w:val="19"/>
              </w:rPr>
              <w:t>Zaměstnavatel</w:t>
            </w:r>
          </w:p>
        </w:tc>
        <w:tc>
          <w:tcPr>
            <w:tcW w:w="1333" w:type="dxa"/>
            <w:tcBorders>
              <w:top w:val="nil"/>
              <w:left w:val="nil"/>
              <w:bottom w:val="single" w:sz="4" w:space="0" w:color="auto"/>
              <w:right w:val="single" w:sz="4" w:space="0" w:color="auto"/>
            </w:tcBorders>
            <w:shd w:val="clear" w:color="auto" w:fill="auto"/>
            <w:noWrap/>
            <w:hideMark/>
          </w:tcPr>
          <w:p w14:paraId="35DB2EE6" w14:textId="77777777" w:rsidR="005B326B" w:rsidRPr="003730B5" w:rsidRDefault="005B326B" w:rsidP="005B326B">
            <w:pPr>
              <w:jc w:val="center"/>
              <w:rPr>
                <w:color w:val="000000"/>
                <w:sz w:val="20"/>
                <w:szCs w:val="19"/>
              </w:rPr>
            </w:pPr>
            <w:r w:rsidRPr="003730B5">
              <w:rPr>
                <w:color w:val="000000"/>
                <w:sz w:val="20"/>
                <w:szCs w:val="19"/>
              </w:rPr>
              <w:t>3,3</w:t>
            </w:r>
          </w:p>
        </w:tc>
        <w:tc>
          <w:tcPr>
            <w:tcW w:w="1984" w:type="dxa"/>
            <w:tcBorders>
              <w:top w:val="nil"/>
              <w:left w:val="nil"/>
              <w:bottom w:val="single" w:sz="4" w:space="0" w:color="auto"/>
              <w:right w:val="single" w:sz="4" w:space="0" w:color="auto"/>
            </w:tcBorders>
            <w:shd w:val="clear" w:color="auto" w:fill="auto"/>
            <w:noWrap/>
            <w:hideMark/>
          </w:tcPr>
          <w:p w14:paraId="34A30D8A" w14:textId="77777777" w:rsidR="005B326B" w:rsidRPr="003730B5" w:rsidRDefault="005B326B" w:rsidP="005B326B">
            <w:pPr>
              <w:jc w:val="center"/>
              <w:rPr>
                <w:color w:val="000000"/>
                <w:sz w:val="20"/>
                <w:szCs w:val="19"/>
              </w:rPr>
            </w:pPr>
            <w:r w:rsidRPr="003730B5">
              <w:rPr>
                <w:color w:val="000000"/>
                <w:sz w:val="20"/>
                <w:szCs w:val="19"/>
              </w:rPr>
              <w:t>2,3</w:t>
            </w:r>
          </w:p>
        </w:tc>
        <w:tc>
          <w:tcPr>
            <w:tcW w:w="1843" w:type="dxa"/>
            <w:tcBorders>
              <w:top w:val="nil"/>
              <w:left w:val="nil"/>
              <w:bottom w:val="single" w:sz="4" w:space="0" w:color="auto"/>
              <w:right w:val="single" w:sz="4" w:space="0" w:color="auto"/>
            </w:tcBorders>
            <w:shd w:val="clear" w:color="auto" w:fill="auto"/>
            <w:noWrap/>
            <w:hideMark/>
          </w:tcPr>
          <w:p w14:paraId="6E4B34C2" w14:textId="77777777" w:rsidR="005B326B" w:rsidRPr="003730B5" w:rsidRDefault="005B326B" w:rsidP="005B326B">
            <w:pPr>
              <w:jc w:val="center"/>
              <w:rPr>
                <w:color w:val="000000"/>
                <w:sz w:val="20"/>
                <w:szCs w:val="19"/>
              </w:rPr>
            </w:pPr>
            <w:r w:rsidRPr="003730B5">
              <w:rPr>
                <w:color w:val="000000"/>
                <w:sz w:val="20"/>
                <w:szCs w:val="19"/>
              </w:rPr>
              <w:t>2,1</w:t>
            </w:r>
          </w:p>
        </w:tc>
        <w:tc>
          <w:tcPr>
            <w:tcW w:w="1276" w:type="dxa"/>
            <w:tcBorders>
              <w:top w:val="nil"/>
              <w:left w:val="nil"/>
              <w:bottom w:val="single" w:sz="4" w:space="0" w:color="auto"/>
              <w:right w:val="single" w:sz="4" w:space="0" w:color="auto"/>
            </w:tcBorders>
          </w:tcPr>
          <w:p w14:paraId="5633D735" w14:textId="77777777" w:rsidR="005B326B" w:rsidRPr="003730B5" w:rsidRDefault="005B326B" w:rsidP="005B326B">
            <w:pPr>
              <w:jc w:val="center"/>
              <w:rPr>
                <w:sz w:val="20"/>
                <w:szCs w:val="19"/>
              </w:rPr>
            </w:pPr>
            <w:r w:rsidRPr="003730B5">
              <w:rPr>
                <w:sz w:val="20"/>
                <w:szCs w:val="19"/>
              </w:rPr>
              <w:t>2,1</w:t>
            </w:r>
          </w:p>
        </w:tc>
      </w:tr>
      <w:tr w:rsidR="005B326B" w:rsidRPr="003730B5" w14:paraId="7FB02847" w14:textId="77777777" w:rsidTr="00C862B4">
        <w:trPr>
          <w:trHeight w:val="252"/>
        </w:trPr>
        <w:tc>
          <w:tcPr>
            <w:tcW w:w="2637" w:type="dxa"/>
            <w:tcBorders>
              <w:top w:val="nil"/>
              <w:left w:val="single" w:sz="4" w:space="0" w:color="auto"/>
              <w:bottom w:val="single" w:sz="4" w:space="0" w:color="auto"/>
              <w:right w:val="single" w:sz="4" w:space="0" w:color="auto"/>
            </w:tcBorders>
            <w:shd w:val="clear" w:color="auto" w:fill="auto"/>
            <w:noWrap/>
            <w:vAlign w:val="center"/>
            <w:hideMark/>
          </w:tcPr>
          <w:p w14:paraId="680ED748" w14:textId="77777777" w:rsidR="005B326B" w:rsidRPr="003730B5" w:rsidRDefault="005B326B" w:rsidP="00C862B4">
            <w:pPr>
              <w:jc w:val="left"/>
              <w:rPr>
                <w:color w:val="000000"/>
                <w:sz w:val="20"/>
                <w:szCs w:val="19"/>
              </w:rPr>
            </w:pPr>
            <w:r w:rsidRPr="003730B5">
              <w:rPr>
                <w:color w:val="000000"/>
                <w:sz w:val="20"/>
                <w:szCs w:val="19"/>
              </w:rPr>
              <w:t>Zaměstnanec</w:t>
            </w:r>
          </w:p>
        </w:tc>
        <w:tc>
          <w:tcPr>
            <w:tcW w:w="1333" w:type="dxa"/>
            <w:tcBorders>
              <w:top w:val="nil"/>
              <w:left w:val="nil"/>
              <w:bottom w:val="single" w:sz="4" w:space="0" w:color="auto"/>
              <w:right w:val="single" w:sz="4" w:space="0" w:color="auto"/>
            </w:tcBorders>
            <w:shd w:val="clear" w:color="auto" w:fill="auto"/>
            <w:noWrap/>
            <w:hideMark/>
          </w:tcPr>
          <w:p w14:paraId="1C65D1BB" w14:textId="77777777" w:rsidR="005B326B" w:rsidRPr="003730B5" w:rsidRDefault="005B326B" w:rsidP="005B326B">
            <w:pPr>
              <w:jc w:val="center"/>
              <w:rPr>
                <w:color w:val="000000"/>
                <w:sz w:val="20"/>
                <w:szCs w:val="19"/>
              </w:rPr>
            </w:pPr>
            <w:r w:rsidRPr="003730B5">
              <w:rPr>
                <w:color w:val="000000"/>
                <w:sz w:val="20"/>
                <w:szCs w:val="19"/>
              </w:rPr>
              <w:t>1,1</w:t>
            </w:r>
          </w:p>
        </w:tc>
        <w:tc>
          <w:tcPr>
            <w:tcW w:w="1984" w:type="dxa"/>
            <w:tcBorders>
              <w:top w:val="nil"/>
              <w:left w:val="nil"/>
              <w:bottom w:val="single" w:sz="4" w:space="0" w:color="auto"/>
              <w:right w:val="single" w:sz="4" w:space="0" w:color="auto"/>
            </w:tcBorders>
            <w:shd w:val="clear" w:color="auto" w:fill="auto"/>
            <w:noWrap/>
            <w:hideMark/>
          </w:tcPr>
          <w:p w14:paraId="092BADFB" w14:textId="77777777" w:rsidR="005B326B" w:rsidRPr="003730B5" w:rsidRDefault="005B326B" w:rsidP="005B326B">
            <w:pPr>
              <w:jc w:val="center"/>
              <w:rPr>
                <w:color w:val="000000"/>
                <w:sz w:val="20"/>
                <w:szCs w:val="19"/>
              </w:rPr>
            </w:pPr>
            <w:r w:rsidRPr="003730B5">
              <w:rPr>
                <w:color w:val="000000"/>
                <w:sz w:val="20"/>
                <w:szCs w:val="19"/>
              </w:rPr>
              <w:t>0</w:t>
            </w:r>
          </w:p>
        </w:tc>
        <w:tc>
          <w:tcPr>
            <w:tcW w:w="1843" w:type="dxa"/>
            <w:tcBorders>
              <w:top w:val="nil"/>
              <w:left w:val="nil"/>
              <w:bottom w:val="single" w:sz="4" w:space="0" w:color="auto"/>
              <w:right w:val="single" w:sz="4" w:space="0" w:color="auto"/>
            </w:tcBorders>
            <w:shd w:val="clear" w:color="auto" w:fill="auto"/>
            <w:noWrap/>
            <w:hideMark/>
          </w:tcPr>
          <w:p w14:paraId="6BBE2EC1" w14:textId="77777777" w:rsidR="005B326B" w:rsidRPr="003730B5" w:rsidRDefault="005B326B" w:rsidP="005B326B">
            <w:pPr>
              <w:jc w:val="center"/>
              <w:rPr>
                <w:color w:val="000000"/>
                <w:sz w:val="20"/>
                <w:szCs w:val="19"/>
              </w:rPr>
            </w:pPr>
            <w:r w:rsidRPr="003730B5">
              <w:rPr>
                <w:color w:val="000000"/>
                <w:sz w:val="20"/>
                <w:szCs w:val="19"/>
              </w:rPr>
              <w:t>0</w:t>
            </w:r>
          </w:p>
        </w:tc>
        <w:tc>
          <w:tcPr>
            <w:tcW w:w="1276" w:type="dxa"/>
            <w:tcBorders>
              <w:top w:val="nil"/>
              <w:left w:val="nil"/>
              <w:bottom w:val="single" w:sz="4" w:space="0" w:color="auto"/>
              <w:right w:val="single" w:sz="4" w:space="0" w:color="auto"/>
            </w:tcBorders>
          </w:tcPr>
          <w:p w14:paraId="7A148145" w14:textId="5D6B60C5" w:rsidR="005B326B" w:rsidRPr="003730B5" w:rsidRDefault="005B326B" w:rsidP="005B326B">
            <w:pPr>
              <w:jc w:val="center"/>
              <w:rPr>
                <w:b/>
                <w:sz w:val="20"/>
                <w:szCs w:val="19"/>
              </w:rPr>
            </w:pPr>
            <w:r w:rsidRPr="003730B5">
              <w:rPr>
                <w:b/>
                <w:sz w:val="20"/>
                <w:szCs w:val="19"/>
              </w:rPr>
              <w:t>0,6</w:t>
            </w:r>
          </w:p>
        </w:tc>
      </w:tr>
    </w:tbl>
    <w:p w14:paraId="4FC85B6D" w14:textId="58E4B1A1" w:rsidR="005B326B" w:rsidRPr="003730B5" w:rsidRDefault="005B326B" w:rsidP="005B326B">
      <w:pPr>
        <w:widowControl w:val="0"/>
        <w:spacing w:before="120" w:after="120"/>
      </w:pPr>
      <w:r w:rsidRPr="003730B5">
        <w:rPr>
          <w:i/>
        </w:rPr>
        <w:t>Modelový příklad:</w:t>
      </w:r>
      <w:r w:rsidRPr="003730B5">
        <w:t xml:space="preserve"> </w:t>
      </w:r>
      <w:r w:rsidRPr="003730B5">
        <w:rPr>
          <w:i/>
        </w:rPr>
        <w:t xml:space="preserve">Průměrná hrubá mzda za rok 2022 dle </w:t>
      </w:r>
      <w:r w:rsidR="002D4821" w:rsidRPr="003730B5">
        <w:rPr>
          <w:i/>
        </w:rPr>
        <w:t xml:space="preserve">Českého statistického úřadu </w:t>
      </w:r>
      <w:r w:rsidRPr="003730B5">
        <w:rPr>
          <w:i/>
        </w:rPr>
        <w:t>činí 40 353 Kč měsíčně, dopady na čistý příjem takového zaměstnance jsou 242 Kč měsíčně (0,</w:t>
      </w:r>
      <w:r w:rsidR="00C862B4" w:rsidRPr="003730B5">
        <w:rPr>
          <w:i/>
        </w:rPr>
        <w:t>6 </w:t>
      </w:r>
      <w:r w:rsidRPr="003730B5">
        <w:rPr>
          <w:i/>
        </w:rPr>
        <w:t>%).</w:t>
      </w:r>
      <w:r w:rsidRPr="003730B5">
        <w:t xml:space="preserve"> </w:t>
      </w:r>
    </w:p>
    <w:p w14:paraId="13AB1B7C" w14:textId="295C14C8" w:rsidR="00E253CB" w:rsidRPr="003730B5" w:rsidRDefault="00554791" w:rsidP="00805C42">
      <w:pPr>
        <w:pStyle w:val="Nadpis2"/>
        <w:widowControl w:val="0"/>
        <w:numPr>
          <w:ilvl w:val="3"/>
          <w:numId w:val="28"/>
        </w:numPr>
        <w:shd w:val="clear" w:color="auto" w:fill="FFFFFF"/>
        <w:tabs>
          <w:tab w:val="left" w:pos="567"/>
        </w:tabs>
        <w:jc w:val="both"/>
        <w:rPr>
          <w:i/>
          <w:sz w:val="24"/>
        </w:rPr>
      </w:pPr>
      <w:r w:rsidRPr="003730B5">
        <w:rPr>
          <w:i/>
          <w:sz w:val="24"/>
        </w:rPr>
        <w:t>Úprava odvodové zátěže osob samostatně výdělečně činných</w:t>
      </w:r>
    </w:p>
    <w:p w14:paraId="264A1EB8" w14:textId="4C00FD2F" w:rsidR="00E253CB" w:rsidRPr="003730B5" w:rsidRDefault="00E253CB" w:rsidP="00E253CB">
      <w:pPr>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p w14:paraId="26C6EFB4" w14:textId="25E4A06F" w:rsidR="00F8306A" w:rsidRPr="003730B5" w:rsidRDefault="00F8306A" w:rsidP="00F8306A">
      <w:pPr>
        <w:widowControl w:val="0"/>
        <w:spacing w:after="120"/>
      </w:pPr>
      <w:r w:rsidRPr="003730B5">
        <w:t xml:space="preserve">Odvodová zátěž osob samostatně výdělečně činných je obecně výrazně menší než </w:t>
      </w:r>
      <w:r w:rsidR="00E712DE" w:rsidRPr="003730B5">
        <w:t>u </w:t>
      </w:r>
      <w:r w:rsidRPr="003730B5">
        <w:t xml:space="preserve">druhé základní formy výdělku (zaměstnání). Významná část těchto osob neplatí díky nastaveným parametrům daň z příjmů (případně mají daňový bonus) </w:t>
      </w:r>
      <w:r w:rsidR="00E712DE" w:rsidRPr="003730B5">
        <w:t>a </w:t>
      </w:r>
      <w:r w:rsidRPr="003730B5">
        <w:t xml:space="preserve">veřejnoprávní pojistná platí z minimálních základů (to se mimo jiné projevuje tím, že celoživotní </w:t>
      </w:r>
      <w:r w:rsidR="00554791" w:rsidRPr="003730B5">
        <w:t>osoby samostatně výdělečně činné</w:t>
      </w:r>
      <w:r w:rsidRPr="003730B5">
        <w:t xml:space="preserve"> mají důchody v podprůměrných výších </w:t>
      </w:r>
      <w:r w:rsidR="00E712DE" w:rsidRPr="003730B5">
        <w:t>a </w:t>
      </w:r>
      <w:r w:rsidRPr="003730B5">
        <w:t>často získávají k důchodu dodatečné nároky na státní sociální podporu).</w:t>
      </w:r>
    </w:p>
    <w:p w14:paraId="1EC0A897" w14:textId="77777777" w:rsidR="00E253CB" w:rsidRPr="003730B5" w:rsidRDefault="00E253CB" w:rsidP="00E253CB">
      <w:pPr>
        <w:widowControl w:val="0"/>
        <w:spacing w:after="120"/>
        <w:rPr>
          <w:u w:val="single"/>
        </w:rPr>
      </w:pPr>
      <w:r w:rsidRPr="003730B5">
        <w:rPr>
          <w:u w:val="single"/>
        </w:rPr>
        <w:t>Navržené řešení:</w:t>
      </w:r>
    </w:p>
    <w:p w14:paraId="601074AE" w14:textId="423E34B7" w:rsidR="00E253CB" w:rsidRPr="003730B5" w:rsidRDefault="00F8306A" w:rsidP="00F8306A">
      <w:pPr>
        <w:widowControl w:val="0"/>
        <w:spacing w:after="120"/>
      </w:pPr>
      <w:r w:rsidRPr="003730B5">
        <w:t xml:space="preserve">Zvýšení odvodové zátěže </w:t>
      </w:r>
      <w:r w:rsidR="00571C59" w:rsidRPr="003730B5">
        <w:t>osob samostatně výdělečně činných.</w:t>
      </w:r>
      <w:r w:rsidR="00554791" w:rsidRPr="003730B5">
        <w:t xml:space="preserve"> </w:t>
      </w:r>
      <w:r w:rsidRPr="003730B5">
        <w:t>Konkrétně se navrhuje zvýšit v</w:t>
      </w:r>
      <w:r w:rsidR="00571C59" w:rsidRPr="003730B5">
        <w:t> </w:t>
      </w:r>
      <w:r w:rsidRPr="003730B5">
        <w:t xml:space="preserve">letech 2024-2026 minimální vyměřovací základ pojistného na sociální pojištění </w:t>
      </w:r>
      <w:r w:rsidR="00571C59" w:rsidRPr="003730B5">
        <w:t>osob samostatně výdělečně činných</w:t>
      </w:r>
      <w:r w:rsidRPr="003730B5">
        <w:t xml:space="preserve"> </w:t>
      </w:r>
      <w:r w:rsidR="00E712DE" w:rsidRPr="003730B5">
        <w:t>z </w:t>
      </w:r>
      <w:r w:rsidRPr="003730B5">
        <w:t xml:space="preserve">25 % na 40 % průměrné mzdy, tj. </w:t>
      </w:r>
      <w:r w:rsidR="00E712DE" w:rsidRPr="003730B5">
        <w:t>o 5 </w:t>
      </w:r>
      <w:r w:rsidRPr="003730B5">
        <w:t xml:space="preserve">procentních bodů ročně, </w:t>
      </w:r>
      <w:r w:rsidR="00E712DE" w:rsidRPr="003730B5">
        <w:t>a </w:t>
      </w:r>
      <w:r w:rsidRPr="003730B5">
        <w:t xml:space="preserve">tím přiblížit minimální vyměřovací základ na úroveň minimální mzdy. Zároveň se navrhuje, aby </w:t>
      </w:r>
      <w:r w:rsidR="00571C59" w:rsidRPr="003730B5">
        <w:t>osoby samostatně výdělečně činné</w:t>
      </w:r>
      <w:r w:rsidRPr="003730B5">
        <w:t xml:space="preserve"> platily pojistné nejméně </w:t>
      </w:r>
      <w:r w:rsidR="00E712DE" w:rsidRPr="003730B5">
        <w:t>z </w:t>
      </w:r>
      <w:r w:rsidRPr="003730B5">
        <w:t>55 % namísto současných 50</w:t>
      </w:r>
      <w:r w:rsidR="00571C59" w:rsidRPr="003730B5">
        <w:t> </w:t>
      </w:r>
      <w:r w:rsidRPr="003730B5">
        <w:t>% základu daně.</w:t>
      </w:r>
      <w:r w:rsidR="002F0FF8" w:rsidRPr="003730B5">
        <w:t xml:space="preserve"> Těmito kroky se nejen částečně přiblíží odvodová zátěž, ale také se zvýší budoucí sociální zabezpečení těchto osob ve stáří.</w:t>
      </w:r>
    </w:p>
    <w:p w14:paraId="6A1E8BF9" w14:textId="6540F0B8" w:rsidR="00CA6201" w:rsidRPr="003730B5" w:rsidRDefault="007A29B5" w:rsidP="007A29B5">
      <w:pPr>
        <w:pStyle w:val="Nadpis2"/>
        <w:widowControl w:val="0"/>
        <w:numPr>
          <w:ilvl w:val="3"/>
          <w:numId w:val="28"/>
        </w:numPr>
        <w:shd w:val="clear" w:color="auto" w:fill="FFFFFF"/>
        <w:tabs>
          <w:tab w:val="left" w:pos="567"/>
        </w:tabs>
        <w:jc w:val="both"/>
        <w:rPr>
          <w:i/>
          <w:sz w:val="24"/>
        </w:rPr>
      </w:pPr>
      <w:r w:rsidRPr="003730B5">
        <w:rPr>
          <w:i/>
          <w:sz w:val="24"/>
        </w:rPr>
        <w:t xml:space="preserve">Zastropování úlev </w:t>
      </w:r>
      <w:r w:rsidR="00E712DE" w:rsidRPr="003730B5">
        <w:rPr>
          <w:i/>
          <w:sz w:val="24"/>
        </w:rPr>
        <w:t>z </w:t>
      </w:r>
      <w:r w:rsidRPr="003730B5">
        <w:rPr>
          <w:i/>
          <w:sz w:val="24"/>
        </w:rPr>
        <w:t xml:space="preserve">odvodů pro dohody </w:t>
      </w:r>
      <w:r w:rsidR="00E712DE" w:rsidRPr="003730B5">
        <w:rPr>
          <w:i/>
          <w:sz w:val="24"/>
        </w:rPr>
        <w:t>o </w:t>
      </w:r>
      <w:r w:rsidRPr="003730B5">
        <w:rPr>
          <w:i/>
          <w:sz w:val="24"/>
        </w:rPr>
        <w:t>provedení práce</w:t>
      </w:r>
    </w:p>
    <w:p w14:paraId="30ECCDA3" w14:textId="77777777" w:rsidR="00CA6201" w:rsidRPr="003730B5" w:rsidRDefault="00CA6201" w:rsidP="00CA6201">
      <w:pPr>
        <w:widowControl w:val="0"/>
        <w:spacing w:after="120"/>
        <w:rPr>
          <w:u w:val="single"/>
        </w:rPr>
      </w:pPr>
      <w:r w:rsidRPr="003730B5">
        <w:rPr>
          <w:u w:val="single"/>
        </w:rPr>
        <w:t>Popis a zhodnocení současného stavu:</w:t>
      </w:r>
    </w:p>
    <w:p w14:paraId="0799BB90" w14:textId="74DE116B" w:rsidR="00CA6201" w:rsidRPr="003730B5" w:rsidRDefault="00E712DE" w:rsidP="007A29B5">
      <w:pPr>
        <w:widowControl w:val="0"/>
        <w:spacing w:after="120"/>
      </w:pPr>
      <w:r w:rsidRPr="003730B5">
        <w:lastRenderedPageBreak/>
        <w:t>V </w:t>
      </w:r>
      <w:r w:rsidR="007A29B5" w:rsidRPr="003730B5">
        <w:t xml:space="preserve">současné době jsou dohody </w:t>
      </w:r>
      <w:r w:rsidRPr="003730B5">
        <w:t>o </w:t>
      </w:r>
      <w:r w:rsidR="007A29B5" w:rsidRPr="003730B5">
        <w:t xml:space="preserve">provedení práce </w:t>
      </w:r>
      <w:r w:rsidR="00A87414" w:rsidRPr="003730B5">
        <w:t xml:space="preserve">(dále též „DPP“) </w:t>
      </w:r>
      <w:r w:rsidR="007A29B5" w:rsidRPr="003730B5">
        <w:t xml:space="preserve">namísto příležitostného zaměstnání jediným a častým zdrojem příjmu některých zaměstnanců. Příčinou je především výjimka v oblasti sociálního </w:t>
      </w:r>
      <w:r w:rsidRPr="003730B5">
        <w:t>a </w:t>
      </w:r>
      <w:r w:rsidR="007A29B5" w:rsidRPr="003730B5">
        <w:t xml:space="preserve">zdravotního pojistného, kdy </w:t>
      </w:r>
      <w:r w:rsidRPr="003730B5">
        <w:t>z </w:t>
      </w:r>
      <w:r w:rsidR="007A29B5" w:rsidRPr="003730B5">
        <w:t xml:space="preserve">dohod do 10 000 Kč </w:t>
      </w:r>
      <w:r w:rsidRPr="003730B5">
        <w:t>u </w:t>
      </w:r>
      <w:r w:rsidR="007A29B5" w:rsidRPr="003730B5">
        <w:t xml:space="preserve">jednoho zaměstnavatele se neplatí pojistné, což odpovídá ztrátě příjmů státního rozpočtu </w:t>
      </w:r>
      <w:r w:rsidRPr="003730B5">
        <w:t>v </w:t>
      </w:r>
      <w:r w:rsidR="007A29B5" w:rsidRPr="003730B5">
        <w:t>sociálním pojištění okolo 15 mld. Kč (</w:t>
      </w:r>
      <w:r w:rsidRPr="003730B5">
        <w:t>v </w:t>
      </w:r>
      <w:r w:rsidR="007A29B5" w:rsidRPr="003730B5">
        <w:t xml:space="preserve">roce 2021). Lze být tímto způsobem zaměstnán </w:t>
      </w:r>
      <w:r w:rsidRPr="003730B5">
        <w:t>u </w:t>
      </w:r>
      <w:r w:rsidR="007A29B5" w:rsidRPr="003730B5">
        <w:t xml:space="preserve">více zaměstnavatelů najednou (kumulace dohod). Následně se tedy neplatí pojistné odvody </w:t>
      </w:r>
      <w:r w:rsidRPr="003730B5">
        <w:t>i z </w:t>
      </w:r>
      <w:r w:rsidR="007A29B5" w:rsidRPr="003730B5">
        <w:t xml:space="preserve">poměrně velkých měsíčních příjmů. Dané osoby nejsou díky tomu důchodově pojištěné, tj. po skončení práceschopnosti nemají buď vůbec nárok na starobní důchod, anebo je tento důchod velmi malý, což se odráží </w:t>
      </w:r>
      <w:r w:rsidRPr="003730B5">
        <w:t>v </w:t>
      </w:r>
      <w:r w:rsidR="007A29B5" w:rsidRPr="003730B5">
        <w:t>čerpání dávek státní sociální podpory.</w:t>
      </w:r>
    </w:p>
    <w:p w14:paraId="2FBD3285" w14:textId="77777777" w:rsidR="00CA6201" w:rsidRPr="003730B5" w:rsidRDefault="00CA6201" w:rsidP="00CA6201">
      <w:pPr>
        <w:widowControl w:val="0"/>
        <w:spacing w:after="120"/>
        <w:rPr>
          <w:u w:val="single"/>
        </w:rPr>
      </w:pPr>
      <w:r w:rsidRPr="003730B5">
        <w:rPr>
          <w:u w:val="single"/>
        </w:rPr>
        <w:t>Navržené řešení:</w:t>
      </w:r>
    </w:p>
    <w:p w14:paraId="31011EDB" w14:textId="3E87B881" w:rsidR="007A29B5" w:rsidRPr="003730B5" w:rsidRDefault="007A29B5" w:rsidP="007A29B5">
      <w:pPr>
        <w:widowControl w:val="0"/>
        <w:spacing w:after="120"/>
      </w:pPr>
      <w:r w:rsidRPr="003730B5">
        <w:t xml:space="preserve">Nově se stanoví dva limity pro vznik účasti na pojištění zaměstnance, který pracuje na základě </w:t>
      </w:r>
      <w:r w:rsidR="009531D6" w:rsidRPr="003730B5">
        <w:t xml:space="preserve">dohody </w:t>
      </w:r>
      <w:r w:rsidR="00E712DE" w:rsidRPr="003730B5">
        <w:t>o </w:t>
      </w:r>
      <w:r w:rsidR="009531D6" w:rsidRPr="003730B5">
        <w:t>provedení práce</w:t>
      </w:r>
      <w:r w:rsidRPr="003730B5">
        <w:t xml:space="preserve"> (</w:t>
      </w:r>
      <w:r w:rsidR="00E712DE" w:rsidRPr="003730B5">
        <w:t>a </w:t>
      </w:r>
      <w:r w:rsidRPr="003730B5">
        <w:t xml:space="preserve">tím </w:t>
      </w:r>
      <w:r w:rsidR="00E712DE" w:rsidRPr="003730B5">
        <w:t>i </w:t>
      </w:r>
      <w:r w:rsidRPr="003730B5">
        <w:t>limity pro placení pojistného na sociální zabezpečení):</w:t>
      </w:r>
    </w:p>
    <w:p w14:paraId="13097FF1" w14:textId="52DC9CE6" w:rsidR="007A29B5" w:rsidRPr="003730B5" w:rsidRDefault="007A29B5" w:rsidP="00D16775">
      <w:pPr>
        <w:pStyle w:val="Odstavecseseznamem"/>
        <w:widowControl w:val="0"/>
        <w:numPr>
          <w:ilvl w:val="0"/>
          <w:numId w:val="31"/>
        </w:numPr>
        <w:spacing w:after="120"/>
      </w:pPr>
      <w:r w:rsidRPr="003730B5">
        <w:t xml:space="preserve">první limit bude stanoven pro </w:t>
      </w:r>
      <w:r w:rsidR="009531D6" w:rsidRPr="003730B5">
        <w:t xml:space="preserve">dohodu </w:t>
      </w:r>
      <w:r w:rsidR="00E712DE" w:rsidRPr="003730B5">
        <w:t>o </w:t>
      </w:r>
      <w:r w:rsidR="009531D6" w:rsidRPr="003730B5">
        <w:t>provedení práce</w:t>
      </w:r>
      <w:r w:rsidRPr="003730B5">
        <w:t xml:space="preserve"> </w:t>
      </w:r>
      <w:r w:rsidR="00E712DE" w:rsidRPr="003730B5">
        <w:t>u </w:t>
      </w:r>
      <w:r w:rsidRPr="003730B5">
        <w:t xml:space="preserve">jednoho zaměstnavatele, </w:t>
      </w:r>
      <w:r w:rsidR="00E712DE" w:rsidRPr="003730B5">
        <w:t>a </w:t>
      </w:r>
      <w:r w:rsidRPr="003730B5">
        <w:t>to ve výši 25 % průměrné mzdy a</w:t>
      </w:r>
    </w:p>
    <w:p w14:paraId="6E7E05DB" w14:textId="413E48D8" w:rsidR="007A29B5" w:rsidRPr="003730B5" w:rsidRDefault="007A29B5" w:rsidP="00D16775">
      <w:pPr>
        <w:pStyle w:val="Odstavecseseznamem"/>
        <w:widowControl w:val="0"/>
        <w:numPr>
          <w:ilvl w:val="0"/>
          <w:numId w:val="31"/>
        </w:numPr>
        <w:spacing w:after="120"/>
      </w:pPr>
      <w:r w:rsidRPr="003730B5">
        <w:t xml:space="preserve">druhý limit (vyšší) bude stanoven pro vznik účasti na pojištění při souběhu více </w:t>
      </w:r>
      <w:r w:rsidR="009531D6" w:rsidRPr="003730B5">
        <w:t xml:space="preserve">dohod </w:t>
      </w:r>
      <w:r w:rsidR="00E712DE" w:rsidRPr="003730B5">
        <w:t>o </w:t>
      </w:r>
      <w:r w:rsidR="009531D6" w:rsidRPr="003730B5">
        <w:t>provedení práce</w:t>
      </w:r>
      <w:r w:rsidRPr="003730B5">
        <w:t xml:space="preserve"> </w:t>
      </w:r>
      <w:r w:rsidR="00E712DE" w:rsidRPr="003730B5">
        <w:t>u </w:t>
      </w:r>
      <w:r w:rsidRPr="003730B5">
        <w:t xml:space="preserve">více zaměstnavatelů, </w:t>
      </w:r>
      <w:r w:rsidR="00E712DE" w:rsidRPr="003730B5">
        <w:t>a </w:t>
      </w:r>
      <w:r w:rsidRPr="003730B5">
        <w:t xml:space="preserve">to ve výši 40 % průměrné mzdy. </w:t>
      </w:r>
    </w:p>
    <w:p w14:paraId="73B3A36F" w14:textId="4DB824B4" w:rsidR="007A29B5" w:rsidRPr="003730B5" w:rsidRDefault="007A29B5" w:rsidP="007A29B5">
      <w:pPr>
        <w:widowControl w:val="0"/>
        <w:spacing w:after="120"/>
      </w:pPr>
      <w:r w:rsidRPr="003730B5">
        <w:t xml:space="preserve">Pokud zaměstnanec překročí jeden či druhý limit, bude již odvedeno také pojistné. Aby opatření mohlo být kontrolováno, bude zavedena evidence všech </w:t>
      </w:r>
      <w:r w:rsidR="009531D6" w:rsidRPr="003730B5">
        <w:t xml:space="preserve">dohod </w:t>
      </w:r>
      <w:r w:rsidR="00E712DE" w:rsidRPr="003730B5">
        <w:t>o </w:t>
      </w:r>
      <w:r w:rsidR="009531D6" w:rsidRPr="003730B5">
        <w:t>provedení práce</w:t>
      </w:r>
      <w:r w:rsidRPr="003730B5">
        <w:t xml:space="preserve"> </w:t>
      </w:r>
      <w:r w:rsidR="00E712DE" w:rsidRPr="003730B5">
        <w:t>a </w:t>
      </w:r>
      <w:r w:rsidRPr="003730B5">
        <w:t>příjmů z</w:t>
      </w:r>
      <w:r w:rsidR="009531D6" w:rsidRPr="003730B5">
        <w:t> </w:t>
      </w:r>
      <w:r w:rsidRPr="003730B5">
        <w:t>těchto dohod.</w:t>
      </w:r>
    </w:p>
    <w:p w14:paraId="4A68A6FA" w14:textId="3EA62C9A" w:rsidR="00786BD4" w:rsidRPr="003730B5" w:rsidRDefault="00786BD4" w:rsidP="00786BD4">
      <w:pPr>
        <w:pStyle w:val="Nadpis2"/>
        <w:widowControl w:val="0"/>
        <w:numPr>
          <w:ilvl w:val="3"/>
          <w:numId w:val="28"/>
        </w:numPr>
        <w:shd w:val="clear" w:color="auto" w:fill="FFFFFF"/>
        <w:tabs>
          <w:tab w:val="left" w:pos="567"/>
        </w:tabs>
        <w:jc w:val="both"/>
        <w:rPr>
          <w:i/>
          <w:sz w:val="24"/>
        </w:rPr>
      </w:pPr>
      <w:r w:rsidRPr="003730B5">
        <w:rPr>
          <w:i/>
          <w:sz w:val="24"/>
        </w:rPr>
        <w:t xml:space="preserve">Změna podmínek vyplácení podpory </w:t>
      </w:r>
      <w:r w:rsidR="00E712DE" w:rsidRPr="003730B5">
        <w:rPr>
          <w:i/>
          <w:sz w:val="24"/>
        </w:rPr>
        <w:t>v </w:t>
      </w:r>
      <w:r w:rsidRPr="003730B5">
        <w:rPr>
          <w:i/>
          <w:sz w:val="24"/>
        </w:rPr>
        <w:t>nezaměstnanosti</w:t>
      </w:r>
    </w:p>
    <w:p w14:paraId="2BDAB12B" w14:textId="77777777" w:rsidR="00786BD4" w:rsidRPr="003730B5" w:rsidRDefault="00786BD4" w:rsidP="00786BD4">
      <w:pPr>
        <w:widowControl w:val="0"/>
        <w:spacing w:after="120"/>
        <w:rPr>
          <w:u w:val="single"/>
        </w:rPr>
      </w:pPr>
      <w:r w:rsidRPr="003730B5">
        <w:rPr>
          <w:u w:val="single"/>
        </w:rPr>
        <w:t>Popis a zhodnocení současného stavu:</w:t>
      </w:r>
    </w:p>
    <w:p w14:paraId="60EFC586" w14:textId="11E62782" w:rsidR="00786BD4" w:rsidRPr="003730B5" w:rsidRDefault="00E712DE" w:rsidP="00786BD4">
      <w:pPr>
        <w:widowControl w:val="0"/>
        <w:spacing w:after="120"/>
      </w:pPr>
      <w:r w:rsidRPr="003730B5">
        <w:t>S </w:t>
      </w:r>
      <w:r w:rsidR="00786BD4" w:rsidRPr="003730B5">
        <w:t xml:space="preserve">ohledem na setrvale nízkou nezaměstnanost v České republice lze situaci na trhu práce popsat taktéž tím, že </w:t>
      </w:r>
      <w:r w:rsidRPr="003730B5">
        <w:t>v </w:t>
      </w:r>
      <w:r w:rsidR="00786BD4" w:rsidRPr="003730B5">
        <w:t xml:space="preserve">tuzemsku existuje jen minimální dlouhodobá nezaměstnanost. </w:t>
      </w:r>
      <w:r w:rsidRPr="003730B5">
        <w:t>Z </w:t>
      </w:r>
      <w:r w:rsidR="00786BD4" w:rsidRPr="003730B5">
        <w:t>tohoto důvodu není únosná existence robustní podpory v nezaměstnanosti ve stávající podobě.</w:t>
      </w:r>
    </w:p>
    <w:p w14:paraId="3EA50F8F" w14:textId="77777777" w:rsidR="00786BD4" w:rsidRPr="003730B5" w:rsidRDefault="00786BD4" w:rsidP="00786BD4">
      <w:pPr>
        <w:widowControl w:val="0"/>
        <w:spacing w:after="120"/>
        <w:rPr>
          <w:u w:val="single"/>
        </w:rPr>
      </w:pPr>
      <w:r w:rsidRPr="003730B5">
        <w:rPr>
          <w:u w:val="single"/>
        </w:rPr>
        <w:t>Navržené řešení:</w:t>
      </w:r>
    </w:p>
    <w:p w14:paraId="035B3B66" w14:textId="480200F3" w:rsidR="00786BD4" w:rsidRPr="003730B5" w:rsidRDefault="00786BD4" w:rsidP="00786BD4">
      <w:pPr>
        <w:widowControl w:val="0"/>
        <w:spacing w:after="120"/>
      </w:pPr>
      <w:r w:rsidRPr="003730B5">
        <w:t xml:space="preserve">Zpřísnění podmínek pro přiznání nároku </w:t>
      </w:r>
      <w:r w:rsidR="00E712DE" w:rsidRPr="003730B5">
        <w:t>v </w:t>
      </w:r>
      <w:r w:rsidRPr="003730B5">
        <w:t xml:space="preserve">případě opakované evidence (nezaměstnanosti), </w:t>
      </w:r>
      <w:r w:rsidR="00E712DE" w:rsidRPr="003730B5">
        <w:t>a </w:t>
      </w:r>
      <w:r w:rsidRPr="003730B5">
        <w:t xml:space="preserve">to prodloužením doby důchodového pojištění nezbytného pro přiznání nároku </w:t>
      </w:r>
      <w:r w:rsidR="00E712DE" w:rsidRPr="003730B5">
        <w:t>v </w:t>
      </w:r>
      <w:r w:rsidRPr="003730B5">
        <w:t>případě opakované evidence.</w:t>
      </w:r>
      <w:r w:rsidR="00607084" w:rsidRPr="003730B5">
        <w:t xml:space="preserve"> </w:t>
      </w:r>
      <w:r w:rsidRPr="003730B5">
        <w:t xml:space="preserve">Nepřihlížení </w:t>
      </w:r>
      <w:r w:rsidR="00E712DE" w:rsidRPr="003730B5">
        <w:t>k </w:t>
      </w:r>
      <w:r w:rsidRPr="003730B5">
        <w:t xml:space="preserve">vážným důvodům </w:t>
      </w:r>
      <w:r w:rsidR="00E712DE" w:rsidRPr="003730B5">
        <w:t>v </w:t>
      </w:r>
      <w:r w:rsidRPr="003730B5">
        <w:t>případě dobrovolné nezaměstnanosti (ukončení pracovního poměru dohodou nebo výpovědí na straně zaměstnance).</w:t>
      </w:r>
    </w:p>
    <w:p w14:paraId="5BE3A153" w14:textId="3636888D" w:rsidR="00B64C7C" w:rsidRPr="003730B5" w:rsidRDefault="00ED739B" w:rsidP="00B64C7C">
      <w:pPr>
        <w:pStyle w:val="Nadpis2"/>
        <w:widowControl w:val="0"/>
        <w:numPr>
          <w:ilvl w:val="3"/>
          <w:numId w:val="28"/>
        </w:numPr>
        <w:shd w:val="clear" w:color="auto" w:fill="FFFFFF"/>
        <w:tabs>
          <w:tab w:val="left" w:pos="567"/>
        </w:tabs>
        <w:jc w:val="both"/>
        <w:rPr>
          <w:i/>
          <w:sz w:val="24"/>
        </w:rPr>
      </w:pPr>
      <w:r w:rsidRPr="003730B5">
        <w:rPr>
          <w:i/>
          <w:sz w:val="24"/>
        </w:rPr>
        <w:t>Snížení platu ústavních činitelů</w:t>
      </w:r>
    </w:p>
    <w:p w14:paraId="46B0E556" w14:textId="77777777" w:rsidR="00B64C7C" w:rsidRPr="003730B5" w:rsidRDefault="00B64C7C" w:rsidP="00B64C7C">
      <w:pPr>
        <w:widowControl w:val="0"/>
        <w:spacing w:after="120"/>
        <w:rPr>
          <w:u w:val="single"/>
        </w:rPr>
      </w:pPr>
      <w:r w:rsidRPr="003730B5">
        <w:rPr>
          <w:u w:val="single"/>
        </w:rPr>
        <w:t>Popis a zhodnocení současného stavu:</w:t>
      </w:r>
    </w:p>
    <w:p w14:paraId="0887A75C" w14:textId="3A5ED324" w:rsidR="00B15589" w:rsidRPr="003730B5" w:rsidRDefault="00B15589" w:rsidP="00B15589">
      <w:pPr>
        <w:widowControl w:val="0"/>
        <w:spacing w:after="120"/>
      </w:pPr>
      <w:r w:rsidRPr="003730B5">
        <w:t xml:space="preserve">Výše platu představitelů státní moci, soudců </w:t>
      </w:r>
      <w:r w:rsidR="00CA40A9" w:rsidRPr="003730B5">
        <w:t>i </w:t>
      </w:r>
      <w:r w:rsidRPr="003730B5">
        <w:t xml:space="preserve">státních zástupců se určuje jako součin platové základny </w:t>
      </w:r>
      <w:r w:rsidR="00CA40A9" w:rsidRPr="003730B5">
        <w:t>a </w:t>
      </w:r>
      <w:r w:rsidRPr="003730B5">
        <w:t xml:space="preserve">platového koeficientu stanoveného </w:t>
      </w:r>
      <w:r w:rsidR="00CA40A9" w:rsidRPr="003730B5">
        <w:t>v </w:t>
      </w:r>
      <w:r w:rsidRPr="003730B5">
        <w:t xml:space="preserve">závislosti na odpovědnosti </w:t>
      </w:r>
      <w:r w:rsidR="00CA40A9" w:rsidRPr="003730B5">
        <w:t>a </w:t>
      </w:r>
      <w:r w:rsidRPr="003730B5">
        <w:t xml:space="preserve">náročnosti vykonávané funkce. Na souhrnnou výši platů představitelů státní moci má tak vliv především platová základna, na jejímž základě se platy určují </w:t>
      </w:r>
      <w:r w:rsidR="00CA40A9" w:rsidRPr="003730B5">
        <w:t>a </w:t>
      </w:r>
      <w:r w:rsidRPr="003730B5">
        <w:t xml:space="preserve">představuje zároveň veličinu, jejíž výše může být měněna, aniž by byly narušeny relace odpovědnosti </w:t>
      </w:r>
      <w:r w:rsidR="00CA40A9" w:rsidRPr="003730B5">
        <w:t>a </w:t>
      </w:r>
      <w:r w:rsidRPr="003730B5">
        <w:t>náročnosti vykonávaných funkcí navzájem.</w:t>
      </w:r>
    </w:p>
    <w:p w14:paraId="0B5AFB92" w14:textId="29CE45ED" w:rsidR="00B64C7C" w:rsidRPr="003730B5" w:rsidRDefault="00B15589" w:rsidP="00B15589">
      <w:pPr>
        <w:widowControl w:val="0"/>
        <w:spacing w:after="120"/>
      </w:pPr>
      <w:r w:rsidRPr="003730B5">
        <w:t xml:space="preserve">Od 1. </w:t>
      </w:r>
      <w:r w:rsidR="00D6156C" w:rsidRPr="003730B5">
        <w:t xml:space="preserve">1. </w:t>
      </w:r>
      <w:r w:rsidRPr="003730B5">
        <w:t xml:space="preserve">2021 byla výše platových základen představitelů, soudců </w:t>
      </w:r>
      <w:r w:rsidR="00CA40A9" w:rsidRPr="003730B5">
        <w:t>a </w:t>
      </w:r>
      <w:r w:rsidRPr="003730B5">
        <w:t xml:space="preserve">státních zástupců stanovena ve výši platné pro rok 2020. Tímto opatřením se sledovalo především zajištění úspor státního rozpočtu ve světle tehdy probíhající epidemie COVID-19. Od 1. </w:t>
      </w:r>
      <w:r w:rsidR="00D6156C" w:rsidRPr="003730B5">
        <w:t>1.</w:t>
      </w:r>
      <w:r w:rsidRPr="003730B5">
        <w:t xml:space="preserve"> 2022 došlo k</w:t>
      </w:r>
      <w:r w:rsidR="0082018C" w:rsidRPr="003730B5">
        <w:t> </w:t>
      </w:r>
      <w:r w:rsidRPr="003730B5">
        <w:t xml:space="preserve">reaktivaci automatického určování výše platové základny, ovšem již </w:t>
      </w:r>
      <w:r w:rsidR="00CA40A9" w:rsidRPr="003730B5">
        <w:t>v </w:t>
      </w:r>
      <w:r w:rsidRPr="003730B5">
        <w:t>průběhu roku 2022 v</w:t>
      </w:r>
      <w:r w:rsidR="0082018C" w:rsidRPr="003730B5">
        <w:t> </w:t>
      </w:r>
      <w:r w:rsidRPr="003730B5">
        <w:t xml:space="preserve">důsledku ruské invaze na Ukrajinu vyvstala potřeba řešit tíživou makroekonomickou situaci </w:t>
      </w:r>
      <w:r w:rsidR="00CA40A9" w:rsidRPr="003730B5">
        <w:t>a </w:t>
      </w:r>
      <w:r w:rsidRPr="003730B5">
        <w:t>prohlubující se deficity veřejných rozpočtů.</w:t>
      </w:r>
    </w:p>
    <w:p w14:paraId="3C71D606" w14:textId="77777777" w:rsidR="00B64C7C" w:rsidRPr="003730B5" w:rsidRDefault="00B64C7C" w:rsidP="00B64C7C">
      <w:pPr>
        <w:widowControl w:val="0"/>
        <w:spacing w:after="120"/>
        <w:rPr>
          <w:u w:val="single"/>
        </w:rPr>
      </w:pPr>
      <w:r w:rsidRPr="003730B5">
        <w:rPr>
          <w:u w:val="single"/>
        </w:rPr>
        <w:lastRenderedPageBreak/>
        <w:t>Navržené řešení:</w:t>
      </w:r>
    </w:p>
    <w:p w14:paraId="373731A7" w14:textId="0F22B9C9" w:rsidR="005A61D3" w:rsidRPr="003730B5" w:rsidRDefault="005A61D3" w:rsidP="0082018C">
      <w:pPr>
        <w:widowControl w:val="0"/>
        <w:spacing w:after="120"/>
      </w:pPr>
      <w:r w:rsidRPr="003730B5">
        <w:t>V letech 2022 a 2023 již došlo k realizaci několika opatření s cílem stabilizovat veřejné rozpočty. V souvislosti s těmito kroky se navrhuje trvalé snížení platových základen na výdajové straně státního rozpočtu. Ačkoli vyvolaná úspora není v celkovém objemu prostředků v tomto kontextu významná, představuje akt sounáležitosti s ostatními skupinami osob, jejichž příjmy z dávek důchodového pojištění byly dosavadními úspornými opatřeními postiženy. Míra platové restrikce odpovídá zafixování platových základen pro rok 2024 ve stávající výši s tím, že v dalších letech už bude jejich vývoj podle obecného mechanismu výpočtu natrvalo probíhat s tímto snížením.</w:t>
      </w:r>
    </w:p>
    <w:p w14:paraId="2870D46A" w14:textId="5CA42F70" w:rsidR="0082018C" w:rsidRPr="003730B5" w:rsidRDefault="0082018C" w:rsidP="0082018C">
      <w:pPr>
        <w:widowControl w:val="0"/>
        <w:spacing w:after="120"/>
      </w:pPr>
      <w:r w:rsidRPr="003730B5">
        <w:t xml:space="preserve">Do budoucna je hlediska zachování jednotnosti systému odměňování za výkon funkce žádoucí, aby relace mezi jednotlivými platovými základnami zůstaly neměnné. </w:t>
      </w:r>
      <w:r w:rsidR="00CA40A9" w:rsidRPr="003730B5">
        <w:t>Z </w:t>
      </w:r>
      <w:r w:rsidRPr="003730B5">
        <w:t xml:space="preserve">tohoto důvodu se navrhuje administrativně-technická úprava spočívající </w:t>
      </w:r>
      <w:r w:rsidR="00CA40A9" w:rsidRPr="003730B5">
        <w:t>v </w:t>
      </w:r>
      <w:r w:rsidRPr="003730B5">
        <w:t xml:space="preserve">provázání platových základen představitelů </w:t>
      </w:r>
      <w:r w:rsidR="00CA40A9" w:rsidRPr="003730B5">
        <w:t>a </w:t>
      </w:r>
      <w:r w:rsidRPr="003730B5">
        <w:t xml:space="preserve">soudců skrze pevně stanovený poměr (0,833), který zároveň ponechává současnou míru zvýhodnění </w:t>
      </w:r>
      <w:r w:rsidR="00CA40A9" w:rsidRPr="003730B5">
        <w:t>v </w:t>
      </w:r>
      <w:r w:rsidRPr="003730B5">
        <w:t xml:space="preserve">případě soudců. </w:t>
      </w:r>
      <w:r w:rsidR="00CA40A9" w:rsidRPr="003730B5">
        <w:t>V </w:t>
      </w:r>
      <w:r w:rsidRPr="003730B5">
        <w:t xml:space="preserve">podstatě jde </w:t>
      </w:r>
      <w:r w:rsidR="00CA40A9" w:rsidRPr="003730B5">
        <w:t>o </w:t>
      </w:r>
      <w:r w:rsidRPr="003730B5">
        <w:t xml:space="preserve">použití stejného mechanismu, jako </w:t>
      </w:r>
      <w:r w:rsidR="00CA40A9" w:rsidRPr="003730B5">
        <w:t>v </w:t>
      </w:r>
      <w:r w:rsidRPr="003730B5">
        <w:t>případě určování platové základny pro státní zástupce.</w:t>
      </w:r>
    </w:p>
    <w:p w14:paraId="0B4D5F25" w14:textId="423E1D26" w:rsidR="0082018C" w:rsidRPr="003730B5" w:rsidRDefault="0082018C" w:rsidP="0082018C">
      <w:pPr>
        <w:widowControl w:val="0"/>
        <w:spacing w:after="120"/>
      </w:pPr>
      <w:r w:rsidRPr="003730B5">
        <w:t xml:space="preserve">Pokud by </w:t>
      </w:r>
      <w:r w:rsidR="00CA40A9" w:rsidRPr="003730B5">
        <w:t>k </w:t>
      </w:r>
      <w:r w:rsidRPr="003730B5">
        <w:t xml:space="preserve">úpravě výpočtu platových základen nedošlo, kopíroval by jejich vývoj od 1. </w:t>
      </w:r>
      <w:r w:rsidR="00D6156C" w:rsidRPr="003730B5">
        <w:t>1.</w:t>
      </w:r>
      <w:r w:rsidRPr="003730B5">
        <w:t xml:space="preserve"> 2024 výši průměrné mzdy </w:t>
      </w:r>
      <w:r w:rsidR="00CA40A9" w:rsidRPr="003730B5">
        <w:t>v </w:t>
      </w:r>
      <w:r w:rsidRPr="003730B5">
        <w:t>roce 2022, což by znamenalo navýšení platových základen o</w:t>
      </w:r>
      <w:r w:rsidR="00ED739B" w:rsidRPr="003730B5">
        <w:t> </w:t>
      </w:r>
      <w:r w:rsidRPr="003730B5">
        <w:t>6,46</w:t>
      </w:r>
      <w:r w:rsidR="00ED739B" w:rsidRPr="003730B5">
        <w:t> </w:t>
      </w:r>
      <w:r w:rsidRPr="003730B5">
        <w:t xml:space="preserve">%, jak vyplývá </w:t>
      </w:r>
      <w:r w:rsidR="00CA40A9" w:rsidRPr="003730B5">
        <w:t>z </w:t>
      </w:r>
      <w:r w:rsidRPr="003730B5">
        <w:t xml:space="preserve">aktuálně dostupných dat Českého statistického úřadu. </w:t>
      </w:r>
      <w:r w:rsidR="00CA40A9" w:rsidRPr="003730B5">
        <w:t>S </w:t>
      </w:r>
      <w:r w:rsidRPr="003730B5">
        <w:t xml:space="preserve">ohledem na potřebu celospolečenské reakce na nepříznivou rozpočtovou situaci </w:t>
      </w:r>
      <w:r w:rsidR="00CA40A9" w:rsidRPr="003730B5">
        <w:t>a </w:t>
      </w:r>
      <w:r w:rsidRPr="003730B5">
        <w:t xml:space="preserve">všeobecnou politickou shodu na vhodnosti realizace platových restrikcí </w:t>
      </w:r>
      <w:r w:rsidR="00CA40A9" w:rsidRPr="003730B5">
        <w:t>v </w:t>
      </w:r>
      <w:r w:rsidRPr="003730B5">
        <w:t xml:space="preserve">případě platu poskytovaného za výkon funkce podle zákona </w:t>
      </w:r>
      <w:r w:rsidR="00CA40A9" w:rsidRPr="003730B5">
        <w:t>č. </w:t>
      </w:r>
      <w:r w:rsidR="00DB0259" w:rsidRPr="003730B5">
        <w:t>236/1995 Sb.</w:t>
      </w:r>
      <w:r w:rsidR="005A61D3" w:rsidRPr="003730B5">
        <w:t>,</w:t>
      </w:r>
      <w:r w:rsidRPr="003730B5">
        <w:t xml:space="preserve"> je nezbytné růst platových základen trvale snížit.</w:t>
      </w:r>
    </w:p>
    <w:p w14:paraId="62808223" w14:textId="1A312689" w:rsidR="00957240" w:rsidRPr="003730B5" w:rsidRDefault="00957240" w:rsidP="00DB0259">
      <w:pPr>
        <w:keepNext/>
        <w:widowControl w:val="0"/>
        <w:spacing w:after="120"/>
        <w:rPr>
          <w:b/>
          <w:i/>
          <w:u w:val="single"/>
        </w:rPr>
      </w:pPr>
      <w:r w:rsidRPr="003730B5">
        <w:rPr>
          <w:b/>
          <w:i/>
          <w:u w:val="single"/>
        </w:rPr>
        <w:t xml:space="preserve">Gesce Ministerstva průmyslu </w:t>
      </w:r>
      <w:r w:rsidR="00C862B4" w:rsidRPr="003730B5">
        <w:rPr>
          <w:b/>
          <w:i/>
          <w:u w:val="single"/>
        </w:rPr>
        <w:t>a </w:t>
      </w:r>
      <w:r w:rsidRPr="003730B5">
        <w:rPr>
          <w:b/>
          <w:i/>
          <w:u w:val="single"/>
        </w:rPr>
        <w:t>obchodu:</w:t>
      </w:r>
    </w:p>
    <w:p w14:paraId="3EFB5676" w14:textId="0C1CAA2B" w:rsidR="00E253CB" w:rsidRPr="003730B5" w:rsidRDefault="00957240" w:rsidP="00805C42">
      <w:pPr>
        <w:pStyle w:val="Nadpis2"/>
        <w:widowControl w:val="0"/>
        <w:numPr>
          <w:ilvl w:val="3"/>
          <w:numId w:val="28"/>
        </w:numPr>
        <w:shd w:val="clear" w:color="auto" w:fill="FFFFFF"/>
        <w:tabs>
          <w:tab w:val="left" w:pos="567"/>
        </w:tabs>
        <w:jc w:val="both"/>
        <w:rPr>
          <w:i/>
          <w:sz w:val="24"/>
        </w:rPr>
      </w:pPr>
      <w:r w:rsidRPr="003730B5">
        <w:rPr>
          <w:i/>
          <w:sz w:val="24"/>
        </w:rPr>
        <w:t>Zvýšení úhrad za dobývání nerostů</w:t>
      </w:r>
    </w:p>
    <w:p w14:paraId="4B30C7E8" w14:textId="65684C6D" w:rsidR="00E253CB" w:rsidRPr="003730B5" w:rsidRDefault="00E253CB" w:rsidP="00E253CB">
      <w:pPr>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p w14:paraId="2971DD5C" w14:textId="28DE8814" w:rsidR="00E253CB" w:rsidRPr="003730B5" w:rsidRDefault="00BB3CA7" w:rsidP="00BB3CA7">
      <w:pPr>
        <w:widowControl w:val="0"/>
        <w:spacing w:after="120"/>
      </w:pPr>
      <w:r w:rsidRPr="003730B5">
        <w:t xml:space="preserve">Stát je výhradním vlastníkem ložisek nerostů </w:t>
      </w:r>
      <w:r w:rsidR="00C862B4" w:rsidRPr="003730B5">
        <w:t>a </w:t>
      </w:r>
      <w:r w:rsidRPr="003730B5">
        <w:t xml:space="preserve">surovin, jejichž těžbu umožňuje soukromým společnostem za zákonem stanovené povinné peněžité plnění označené jako „úhrada“. Sazby </w:t>
      </w:r>
      <w:r w:rsidRPr="003730B5">
        <w:rPr>
          <w:i/>
        </w:rPr>
        <w:t xml:space="preserve">úhrady </w:t>
      </w:r>
      <w:r w:rsidR="00C862B4" w:rsidRPr="003730B5">
        <w:rPr>
          <w:i/>
        </w:rPr>
        <w:t>z </w:t>
      </w:r>
      <w:r w:rsidRPr="003730B5">
        <w:rPr>
          <w:i/>
        </w:rPr>
        <w:t xml:space="preserve">vydobytých nerostů </w:t>
      </w:r>
      <w:r w:rsidRPr="003730B5">
        <w:t xml:space="preserve">stanovuje vláda svým nařízením, podle kterého mohou tyto sazby činit nejvýše částku odpovídající 10 % referenční ceny za jednotku množství pro jednotlivé druhy vydobytých nerostů. Druhým povinným peněžitým plněním je </w:t>
      </w:r>
      <w:r w:rsidRPr="003730B5">
        <w:rPr>
          <w:i/>
        </w:rPr>
        <w:t xml:space="preserve">úhrada </w:t>
      </w:r>
      <w:r w:rsidR="00C862B4" w:rsidRPr="003730B5">
        <w:rPr>
          <w:i/>
        </w:rPr>
        <w:t>z </w:t>
      </w:r>
      <w:r w:rsidRPr="003730B5">
        <w:rPr>
          <w:i/>
        </w:rPr>
        <w:t>dobývacího prostoru</w:t>
      </w:r>
      <w:r w:rsidRPr="003730B5">
        <w:t xml:space="preserve">, která se vypočítává jako součin plochy dobývacího prostoru </w:t>
      </w:r>
      <w:r w:rsidR="00C862B4" w:rsidRPr="003730B5">
        <w:t>a </w:t>
      </w:r>
      <w:r w:rsidRPr="003730B5">
        <w:t xml:space="preserve">daného koeficientu. Naposledy se tato úhrada zvyšovala </w:t>
      </w:r>
      <w:r w:rsidR="00C862B4" w:rsidRPr="003730B5">
        <w:t>v </w:t>
      </w:r>
      <w:r w:rsidRPr="003730B5">
        <w:t xml:space="preserve">roce 2017, přičemž sazba </w:t>
      </w:r>
      <w:r w:rsidR="00C862B4" w:rsidRPr="003730B5">
        <w:t>u </w:t>
      </w:r>
      <w:r w:rsidRPr="003730B5">
        <w:t xml:space="preserve">černého uhlí byla stanovena jako nulová. </w:t>
      </w:r>
      <w:r w:rsidR="00C862B4" w:rsidRPr="003730B5">
        <w:t>K </w:t>
      </w:r>
      <w:r w:rsidRPr="003730B5">
        <w:t>navýšení úhrady se vláda zavázala</w:t>
      </w:r>
      <w:r w:rsidR="004A08D2" w:rsidRPr="003730B5">
        <w:t xml:space="preserve"> ve svém programovém prohlášení: „</w:t>
      </w:r>
      <w:r w:rsidR="004A08D2" w:rsidRPr="003730B5">
        <w:rPr>
          <w:i/>
        </w:rPr>
        <w:t xml:space="preserve">Obce, kraje </w:t>
      </w:r>
      <w:r w:rsidR="00E712DE" w:rsidRPr="003730B5">
        <w:rPr>
          <w:i/>
        </w:rPr>
        <w:t>i </w:t>
      </w:r>
      <w:r w:rsidR="004A08D2" w:rsidRPr="003730B5">
        <w:rPr>
          <w:i/>
        </w:rPr>
        <w:t xml:space="preserve">stát získají díky zdanění těžby více peněz </w:t>
      </w:r>
      <w:r w:rsidR="00E712DE" w:rsidRPr="003730B5">
        <w:rPr>
          <w:i/>
        </w:rPr>
        <w:t>z </w:t>
      </w:r>
      <w:r w:rsidR="004A08D2" w:rsidRPr="003730B5">
        <w:rPr>
          <w:i/>
        </w:rPr>
        <w:t xml:space="preserve">dobývání nerostných surovin na svém území. Pamatovat budeme </w:t>
      </w:r>
      <w:r w:rsidR="00E712DE" w:rsidRPr="003730B5">
        <w:rPr>
          <w:i/>
        </w:rPr>
        <w:t>i </w:t>
      </w:r>
      <w:r w:rsidR="004A08D2" w:rsidRPr="003730B5">
        <w:rPr>
          <w:i/>
        </w:rPr>
        <w:t>na přilehlé obce</w:t>
      </w:r>
      <w:r w:rsidR="009A06DA" w:rsidRPr="003730B5">
        <w:rPr>
          <w:i/>
        </w:rPr>
        <w:t>.</w:t>
      </w:r>
      <w:r w:rsidR="004A08D2" w:rsidRPr="003730B5">
        <w:t>“.</w:t>
      </w:r>
    </w:p>
    <w:p w14:paraId="1045D03E" w14:textId="77777777" w:rsidR="00E253CB" w:rsidRPr="003730B5" w:rsidRDefault="00E253CB" w:rsidP="00E253CB">
      <w:pPr>
        <w:widowControl w:val="0"/>
        <w:spacing w:after="120"/>
        <w:rPr>
          <w:u w:val="single"/>
        </w:rPr>
      </w:pPr>
      <w:r w:rsidRPr="003730B5">
        <w:rPr>
          <w:u w:val="single"/>
        </w:rPr>
        <w:t>Navržené řešení:</w:t>
      </w:r>
    </w:p>
    <w:p w14:paraId="7C1340A4" w14:textId="77777777" w:rsidR="008D5BC0" w:rsidRPr="003730B5" w:rsidRDefault="00C862B4" w:rsidP="00E253CB">
      <w:pPr>
        <w:widowControl w:val="0"/>
        <w:spacing w:after="120"/>
        <w:rPr>
          <w:rFonts w:eastAsia="Calibri"/>
          <w:lang w:eastAsia="en-US"/>
        </w:rPr>
      </w:pPr>
      <w:r w:rsidRPr="003730B5">
        <w:t>V </w:t>
      </w:r>
      <w:r w:rsidR="00BB3CA7" w:rsidRPr="003730B5">
        <w:t xml:space="preserve">souladu </w:t>
      </w:r>
      <w:r w:rsidRPr="003730B5">
        <w:t>s </w:t>
      </w:r>
      <w:r w:rsidR="00BB3CA7" w:rsidRPr="003730B5">
        <w:t xml:space="preserve">programovým prohlášením vlády se navrhuje navýšení úhrad za dobývání nerostů. </w:t>
      </w:r>
      <w:r w:rsidR="00347451" w:rsidRPr="003730B5">
        <w:t xml:space="preserve">To bude realizováno jednak novelou horního zákona, která je součástí tohoto návrhu, </w:t>
      </w:r>
      <w:r w:rsidR="00E712DE" w:rsidRPr="003730B5">
        <w:t>a </w:t>
      </w:r>
      <w:r w:rsidR="00347451" w:rsidRPr="003730B5">
        <w:t xml:space="preserve">jednak novelou nařízení vlády </w:t>
      </w:r>
      <w:r w:rsidR="00E712DE" w:rsidRPr="003730B5">
        <w:t>č. </w:t>
      </w:r>
      <w:r w:rsidR="00347451" w:rsidRPr="003730B5">
        <w:t xml:space="preserve">98/2016 Sb., </w:t>
      </w:r>
      <w:r w:rsidR="00E712DE" w:rsidRPr="003730B5">
        <w:t>o </w:t>
      </w:r>
      <w:r w:rsidR="00347451" w:rsidRPr="003730B5">
        <w:t>sazbách úhrady.</w:t>
      </w:r>
      <w:r w:rsidR="00F76691" w:rsidRPr="003730B5">
        <w:t xml:space="preserve"> V důsledku toho </w:t>
      </w:r>
      <w:r w:rsidR="00F76691" w:rsidRPr="003730B5">
        <w:rPr>
          <w:rFonts w:eastAsia="Calibri"/>
          <w:lang w:eastAsia="en-US"/>
        </w:rPr>
        <w:t>dojde ke zvýšení příjmů obcí a krajů, mírnému zvýšení příjmů státního rozpočtu a ke změně způsobu rozdělení výnosu z úhrad z vydobytých nerostů.</w:t>
      </w:r>
      <w:bookmarkStart w:id="4" w:name="_Hlk134708444"/>
      <w:r w:rsidR="008D5BC0" w:rsidRPr="003730B5">
        <w:rPr>
          <w:rFonts w:eastAsia="Calibri"/>
          <w:lang w:eastAsia="en-US"/>
        </w:rPr>
        <w:t xml:space="preserve"> </w:t>
      </w:r>
    </w:p>
    <w:p w14:paraId="012ECE18" w14:textId="7FC9CEE6" w:rsidR="008D5BC0" w:rsidRPr="003730B5" w:rsidRDefault="00F76691" w:rsidP="00E253CB">
      <w:pPr>
        <w:widowControl w:val="0"/>
        <w:spacing w:after="120"/>
        <w:rPr>
          <w:rFonts w:eastAsia="Calibri"/>
          <w:lang w:eastAsia="en-US"/>
        </w:rPr>
      </w:pPr>
      <w:r w:rsidRPr="003730B5">
        <w:rPr>
          <w:rFonts w:eastAsia="Calibri"/>
          <w:lang w:eastAsia="en-US"/>
        </w:rPr>
        <w:t xml:space="preserve">Dojde k navýšení sazby </w:t>
      </w:r>
      <w:r w:rsidRPr="003730B5">
        <w:rPr>
          <w:rFonts w:eastAsia="Calibri"/>
          <w:i/>
          <w:lang w:eastAsia="en-US"/>
        </w:rPr>
        <w:t>úhrady z dobývacího prostoru</w:t>
      </w:r>
      <w:r w:rsidRPr="003730B5">
        <w:rPr>
          <w:rFonts w:eastAsia="Calibri"/>
          <w:lang w:eastAsia="en-US"/>
        </w:rPr>
        <w:t xml:space="preserve">, ve kterém je povolena hornická činnost, z částky 1 000 Kč/ha na částku 1 500 Kč/ha. </w:t>
      </w:r>
      <w:bookmarkEnd w:id="4"/>
    </w:p>
    <w:p w14:paraId="569025F8" w14:textId="4B7A60C4" w:rsidR="00F76691" w:rsidRPr="003730B5" w:rsidRDefault="00F76691" w:rsidP="00E253CB">
      <w:pPr>
        <w:widowControl w:val="0"/>
        <w:spacing w:after="120"/>
        <w:rPr>
          <w:rFonts w:eastAsia="Calibri"/>
          <w:lang w:eastAsia="en-US"/>
        </w:rPr>
      </w:pPr>
      <w:r w:rsidRPr="003730B5">
        <w:rPr>
          <w:rFonts w:eastAsia="Calibri"/>
          <w:lang w:eastAsia="en-US"/>
        </w:rPr>
        <w:t xml:space="preserve">V návaznosti na </w:t>
      </w:r>
      <w:r w:rsidR="008D5BC0" w:rsidRPr="003730B5">
        <w:rPr>
          <w:rFonts w:eastAsia="Calibri"/>
          <w:lang w:eastAsia="en-US"/>
        </w:rPr>
        <w:t>výše uvedené</w:t>
      </w:r>
      <w:r w:rsidRPr="003730B5">
        <w:rPr>
          <w:rFonts w:eastAsia="Calibri"/>
          <w:lang w:eastAsia="en-US"/>
        </w:rPr>
        <w:t xml:space="preserve"> dojde ke změně rozpočtového určení výnosu </w:t>
      </w:r>
      <w:r w:rsidR="00552598" w:rsidRPr="003730B5">
        <w:rPr>
          <w:rFonts w:eastAsia="Calibri"/>
          <w:lang w:eastAsia="en-US"/>
        </w:rPr>
        <w:t>z </w:t>
      </w:r>
      <w:r w:rsidRPr="003730B5">
        <w:rPr>
          <w:rFonts w:eastAsia="Calibri"/>
          <w:lang w:eastAsia="en-US"/>
        </w:rPr>
        <w:t>úhrady</w:t>
      </w:r>
      <w:r w:rsidR="008D5BC0" w:rsidRPr="003730B5">
        <w:rPr>
          <w:rFonts w:eastAsia="Calibri"/>
          <w:lang w:eastAsia="en-US"/>
        </w:rPr>
        <w:t xml:space="preserve"> z vydobytého nerostu</w:t>
      </w:r>
      <w:r w:rsidRPr="003730B5">
        <w:rPr>
          <w:rFonts w:eastAsia="Calibri"/>
          <w:lang w:eastAsia="en-US"/>
        </w:rPr>
        <w:t xml:space="preserve">. Zatímco v současné době je celý výnos </w:t>
      </w:r>
      <w:r w:rsidR="00E712DE" w:rsidRPr="003730B5">
        <w:rPr>
          <w:rFonts w:eastAsia="Calibri"/>
          <w:lang w:eastAsia="en-US"/>
        </w:rPr>
        <w:t>z </w:t>
      </w:r>
      <w:r w:rsidRPr="003730B5">
        <w:rPr>
          <w:rFonts w:eastAsia="Calibri"/>
          <w:lang w:eastAsia="en-US"/>
        </w:rPr>
        <w:t xml:space="preserve">úhrady příjmem rozpočtů obcí, tak navržené navýšení výnosu </w:t>
      </w:r>
      <w:r w:rsidR="00E712DE" w:rsidRPr="003730B5">
        <w:rPr>
          <w:rFonts w:eastAsia="Calibri"/>
          <w:lang w:eastAsia="en-US"/>
        </w:rPr>
        <w:t>z </w:t>
      </w:r>
      <w:r w:rsidRPr="003730B5">
        <w:rPr>
          <w:rFonts w:eastAsia="Calibri"/>
          <w:lang w:eastAsia="en-US"/>
        </w:rPr>
        <w:t xml:space="preserve">úhrady </w:t>
      </w:r>
      <w:r w:rsidR="00E712DE" w:rsidRPr="003730B5">
        <w:rPr>
          <w:rFonts w:eastAsia="Calibri"/>
          <w:lang w:eastAsia="en-US"/>
        </w:rPr>
        <w:t>z </w:t>
      </w:r>
      <w:r w:rsidRPr="003730B5">
        <w:rPr>
          <w:rFonts w:eastAsia="Calibri"/>
          <w:lang w:eastAsia="en-US"/>
        </w:rPr>
        <w:t xml:space="preserve">vydobytého nerostu bude rozděleno mezi obce </w:t>
      </w:r>
      <w:r w:rsidR="00E712DE" w:rsidRPr="003730B5">
        <w:rPr>
          <w:rFonts w:eastAsia="Calibri"/>
          <w:lang w:eastAsia="en-US"/>
        </w:rPr>
        <w:lastRenderedPageBreak/>
        <w:t>a </w:t>
      </w:r>
      <w:r w:rsidRPr="003730B5">
        <w:rPr>
          <w:rFonts w:eastAsia="Calibri"/>
          <w:lang w:eastAsia="en-US"/>
        </w:rPr>
        <w:t xml:space="preserve">kraje, na jejichž území dochází </w:t>
      </w:r>
      <w:r w:rsidR="00E712DE" w:rsidRPr="003730B5">
        <w:rPr>
          <w:rFonts w:eastAsia="Calibri"/>
          <w:lang w:eastAsia="en-US"/>
        </w:rPr>
        <w:t>k </w:t>
      </w:r>
      <w:r w:rsidRPr="003730B5">
        <w:rPr>
          <w:rFonts w:eastAsia="Calibri"/>
          <w:lang w:eastAsia="en-US"/>
        </w:rPr>
        <w:t>dobývání vyhrazeného nerostu.</w:t>
      </w:r>
    </w:p>
    <w:p w14:paraId="5AEC04C4" w14:textId="48561132" w:rsidR="004A08D2" w:rsidRPr="003730B5" w:rsidRDefault="004A08D2" w:rsidP="00E253CB">
      <w:pPr>
        <w:widowControl w:val="0"/>
        <w:spacing w:after="120"/>
      </w:pPr>
      <w:r w:rsidRPr="003730B5">
        <w:t xml:space="preserve">Dále bude doplněno účelové určení úhrady </w:t>
      </w:r>
      <w:r w:rsidR="00E712DE" w:rsidRPr="003730B5">
        <w:t>z </w:t>
      </w:r>
      <w:r w:rsidRPr="003730B5">
        <w:t>vydobytých nerostů pro kraje, podle které</w:t>
      </w:r>
      <w:r w:rsidR="009A06DA" w:rsidRPr="003730B5">
        <w:t>ho</w:t>
      </w:r>
      <w:r w:rsidRPr="003730B5">
        <w:t xml:space="preserve"> kraje mohou výnos použít pouze </w:t>
      </w:r>
      <w:r w:rsidR="00E712DE" w:rsidRPr="003730B5">
        <w:t>k </w:t>
      </w:r>
      <w:r w:rsidRPr="003730B5">
        <w:t xml:space="preserve">odstranění škod způsobených </w:t>
      </w:r>
      <w:r w:rsidR="00E712DE" w:rsidRPr="003730B5">
        <w:t>v </w:t>
      </w:r>
      <w:r w:rsidRPr="003730B5">
        <w:t xml:space="preserve">důsledku dobývání ložisek vyhrazených </w:t>
      </w:r>
      <w:r w:rsidR="00E712DE" w:rsidRPr="003730B5">
        <w:t>i </w:t>
      </w:r>
      <w:r w:rsidRPr="003730B5">
        <w:t xml:space="preserve">nevyhrazených nerostů </w:t>
      </w:r>
      <w:r w:rsidR="00E712DE" w:rsidRPr="003730B5">
        <w:t>a </w:t>
      </w:r>
      <w:r w:rsidRPr="003730B5">
        <w:t xml:space="preserve">jejich přepravou </w:t>
      </w:r>
      <w:r w:rsidR="00E712DE" w:rsidRPr="003730B5">
        <w:t>a </w:t>
      </w:r>
      <w:r w:rsidRPr="003730B5">
        <w:t xml:space="preserve">na revitalizaci pozemků, </w:t>
      </w:r>
      <w:r w:rsidR="00E712DE" w:rsidRPr="003730B5">
        <w:t>a </w:t>
      </w:r>
      <w:r w:rsidRPr="003730B5">
        <w:t xml:space="preserve">to </w:t>
      </w:r>
      <w:r w:rsidR="00E712DE" w:rsidRPr="003730B5">
        <w:t>v </w:t>
      </w:r>
      <w:r w:rsidRPr="003730B5">
        <w:t xml:space="preserve">obcích nacházejících se mimo dobývací prostor. Jedná se </w:t>
      </w:r>
      <w:r w:rsidR="00E712DE" w:rsidRPr="003730B5">
        <w:t>o </w:t>
      </w:r>
      <w:r w:rsidRPr="003730B5">
        <w:t xml:space="preserve">obce, na jejichž katastrálním území je lokalizováno území dotčené probíhající těžbou nerostů </w:t>
      </w:r>
      <w:r w:rsidR="00E712DE" w:rsidRPr="003730B5">
        <w:t>s </w:t>
      </w:r>
      <w:r w:rsidRPr="003730B5">
        <w:t xml:space="preserve">prokazatelnými škodami např. na životním prostředí, zástavbě či místních komunikacích, které vznikly </w:t>
      </w:r>
      <w:r w:rsidR="00E712DE" w:rsidRPr="003730B5">
        <w:t>v </w:t>
      </w:r>
      <w:r w:rsidRPr="003730B5">
        <w:t xml:space="preserve">souvislosti </w:t>
      </w:r>
      <w:r w:rsidR="00E712DE" w:rsidRPr="003730B5">
        <w:t>s </w:t>
      </w:r>
      <w:r w:rsidRPr="003730B5">
        <w:t xml:space="preserve">činností těžebních organizací, avšak tyto obce nemají nárok na příjem </w:t>
      </w:r>
      <w:r w:rsidR="00E712DE" w:rsidRPr="003730B5">
        <w:t>z </w:t>
      </w:r>
      <w:r w:rsidRPr="003730B5">
        <w:t xml:space="preserve">výnosu úhrady </w:t>
      </w:r>
      <w:r w:rsidR="00E712DE" w:rsidRPr="003730B5">
        <w:t>z </w:t>
      </w:r>
      <w:r w:rsidRPr="003730B5">
        <w:t xml:space="preserve">dobývacího prostoru ani </w:t>
      </w:r>
      <w:r w:rsidR="00E712DE" w:rsidRPr="003730B5">
        <w:t>z </w:t>
      </w:r>
      <w:r w:rsidRPr="003730B5">
        <w:t xml:space="preserve">výnosu úhrady </w:t>
      </w:r>
      <w:r w:rsidR="00E712DE" w:rsidRPr="003730B5">
        <w:t>z </w:t>
      </w:r>
      <w:r w:rsidRPr="003730B5">
        <w:t xml:space="preserve">vydobytých nerostů. Navržené přerozdělení úhrad </w:t>
      </w:r>
      <w:r w:rsidR="00E712DE" w:rsidRPr="003730B5">
        <w:t>z </w:t>
      </w:r>
      <w:r w:rsidRPr="003730B5">
        <w:t xml:space="preserve">vydobytých nerostů tak bude plnit kompenzační funkci lépe </w:t>
      </w:r>
      <w:r w:rsidR="00E712DE" w:rsidRPr="003730B5">
        <w:t xml:space="preserve">než </w:t>
      </w:r>
      <w:r w:rsidRPr="003730B5">
        <w:t xml:space="preserve">současná právní úprava. </w:t>
      </w:r>
    </w:p>
    <w:p w14:paraId="1BAC4A09" w14:textId="1B6FE11A" w:rsidR="00E712DE" w:rsidRPr="003730B5" w:rsidRDefault="00E712DE" w:rsidP="00E253CB">
      <w:pPr>
        <w:widowControl w:val="0"/>
        <w:spacing w:after="120"/>
      </w:pPr>
      <w:r w:rsidRPr="003730B5">
        <w:t>Současně budou zahájeny práce na novele nařízení vlády č. 98/2016 Sb., o sazbách úhrady. Vyhrazené nerosty budou rozděleny do tří skupin, a k vypočtenému podílu sazby k referenční ceně bude připočteno 3, 2 a 1 %, a následně dojde k matematickému výpočtu navýšené sazby úhrady z vydobytého nerostu. 3 % b</w:t>
      </w:r>
      <w:r w:rsidR="009A06DA" w:rsidRPr="003730B5">
        <w:t>udou</w:t>
      </w:r>
      <w:r w:rsidRPr="003730B5">
        <w:t xml:space="preserve"> přičtena u uhlí povrchově dobývaného, 2 % b</w:t>
      </w:r>
      <w:r w:rsidR="009A06DA" w:rsidRPr="003730B5">
        <w:t>udou</w:t>
      </w:r>
      <w:r w:rsidRPr="003730B5">
        <w:t xml:space="preserve"> přičtena u uhlovodíků (ropa</w:t>
      </w:r>
      <w:r w:rsidR="009A06DA" w:rsidRPr="003730B5">
        <w:t>,</w:t>
      </w:r>
      <w:r w:rsidRPr="003730B5">
        <w:t xml:space="preserve"> zemní plyn)</w:t>
      </w:r>
      <w:r w:rsidR="009A06DA" w:rsidRPr="003730B5">
        <w:t>,</w:t>
      </w:r>
      <w:r w:rsidRPr="003730B5">
        <w:t xml:space="preserve"> stavebních surovin a některých ostatních nerostů, 1 % b</w:t>
      </w:r>
      <w:r w:rsidR="009A06DA" w:rsidRPr="003730B5">
        <w:t>ude</w:t>
      </w:r>
      <w:r w:rsidRPr="003730B5">
        <w:t xml:space="preserve"> přičteno např. u silikátových surovin. Tyto nerosty čelí často zahraniční konkurenci ze zemí, kde odvod za vydobytý nerost je pro tyto kategorie odpuštěn. Touto novelou bude zohledněno, že úprava silikátových surovin je zpravidla velmi energeticky náročná, a to ať se jedná o pouhou mechanickou úpravu (drcení, třídění, sušení, mletí, dodržování zrnitostních křivek), ale i další typy úprav, zejména chemického složení, výstupní vlhkosti, viskozity a dalších. Tyto procesy jsou náročné na spotřebu elektrické energie a plynu. Současně bude přičteno 1 % u černého uhlí dobývaného hlubinně.</w:t>
      </w:r>
    </w:p>
    <w:p w14:paraId="41EF0A91" w14:textId="7EC97286" w:rsidR="006A6740" w:rsidRPr="003730B5" w:rsidRDefault="006A6740" w:rsidP="006A6740">
      <w:pPr>
        <w:widowControl w:val="0"/>
        <w:spacing w:after="120"/>
        <w:rPr>
          <w:b/>
          <w:i/>
          <w:u w:val="single"/>
        </w:rPr>
      </w:pPr>
      <w:r w:rsidRPr="003730B5">
        <w:rPr>
          <w:b/>
          <w:i/>
          <w:u w:val="single"/>
        </w:rPr>
        <w:t>Gesce Ministerstva dopravy:</w:t>
      </w:r>
    </w:p>
    <w:p w14:paraId="56828F61" w14:textId="070830FA" w:rsidR="00D8720C" w:rsidRPr="003730B5" w:rsidRDefault="006A6740" w:rsidP="00805C42">
      <w:pPr>
        <w:pStyle w:val="Nadpis2"/>
        <w:widowControl w:val="0"/>
        <w:numPr>
          <w:ilvl w:val="3"/>
          <w:numId w:val="28"/>
        </w:numPr>
        <w:shd w:val="clear" w:color="auto" w:fill="FFFFFF"/>
        <w:tabs>
          <w:tab w:val="left" w:pos="567"/>
        </w:tabs>
        <w:jc w:val="both"/>
        <w:rPr>
          <w:i/>
          <w:sz w:val="24"/>
        </w:rPr>
      </w:pPr>
      <w:r w:rsidRPr="003730B5">
        <w:rPr>
          <w:i/>
          <w:sz w:val="24"/>
        </w:rPr>
        <w:t xml:space="preserve">Zvýšení ceny dálniční známky </w:t>
      </w:r>
      <w:r w:rsidR="00C862B4" w:rsidRPr="003730B5">
        <w:rPr>
          <w:i/>
          <w:sz w:val="24"/>
        </w:rPr>
        <w:t>a </w:t>
      </w:r>
      <w:r w:rsidRPr="003730B5">
        <w:rPr>
          <w:i/>
          <w:sz w:val="24"/>
        </w:rPr>
        <w:t>její pravidelná valorizace</w:t>
      </w:r>
    </w:p>
    <w:p w14:paraId="69C36848" w14:textId="77777777" w:rsidR="00D8720C" w:rsidRPr="003730B5" w:rsidRDefault="00D8720C" w:rsidP="00D8720C">
      <w:pPr>
        <w:widowControl w:val="0"/>
        <w:spacing w:after="120"/>
        <w:rPr>
          <w:u w:val="single"/>
        </w:rPr>
      </w:pPr>
      <w:r w:rsidRPr="003730B5">
        <w:rPr>
          <w:u w:val="single"/>
        </w:rPr>
        <w:t>Popis a zhodnocení současného stavu:</w:t>
      </w:r>
    </w:p>
    <w:p w14:paraId="08848F84" w14:textId="227A32A1" w:rsidR="00D8720C" w:rsidRPr="003730B5" w:rsidRDefault="006A6740" w:rsidP="00D8720C">
      <w:pPr>
        <w:widowControl w:val="0"/>
        <w:spacing w:after="120"/>
      </w:pPr>
      <w:r w:rsidRPr="003730B5">
        <w:t xml:space="preserve">Současná cena dálniční známky </w:t>
      </w:r>
      <w:r w:rsidR="00C862B4" w:rsidRPr="003730B5">
        <w:t>1 </w:t>
      </w:r>
      <w:r w:rsidRPr="003730B5">
        <w:t xml:space="preserve">500 Kč/rok je platná již od roku 2012 </w:t>
      </w:r>
      <w:r w:rsidR="00C862B4" w:rsidRPr="003730B5">
        <w:t>a v </w:t>
      </w:r>
      <w:r w:rsidRPr="003730B5">
        <w:t xml:space="preserve">důsledku vývoje cenové úrovně se propadla její reálná hodnota. Jelikož jsou sazby dálničních známek nastaveny fixní částkou </w:t>
      </w:r>
      <w:r w:rsidR="00C862B4" w:rsidRPr="003730B5">
        <w:t>a </w:t>
      </w:r>
      <w:r w:rsidRPr="003730B5">
        <w:t>vlivem růstu cenové hladiny jejich výše postupem času reálně klesá, je žádoucí jejich cenu pravidelně valorizovat. Valorizovan</w:t>
      </w:r>
      <w:r w:rsidR="00805C42" w:rsidRPr="003730B5">
        <w:t>á</w:t>
      </w:r>
      <w:r w:rsidRPr="003730B5">
        <w:t xml:space="preserve"> historická cena by dnes odpovídala hodnotě </w:t>
      </w:r>
      <w:r w:rsidR="00C862B4" w:rsidRPr="003730B5">
        <w:t>2 </w:t>
      </w:r>
      <w:r w:rsidRPr="003730B5">
        <w:t>300 Kč/rok.</w:t>
      </w:r>
    </w:p>
    <w:p w14:paraId="60826A02" w14:textId="1218DEBD" w:rsidR="00D8720C" w:rsidRPr="003730B5" w:rsidRDefault="00D8720C" w:rsidP="00D8720C">
      <w:pPr>
        <w:widowControl w:val="0"/>
        <w:spacing w:after="120"/>
        <w:rPr>
          <w:u w:val="single"/>
        </w:rPr>
      </w:pPr>
      <w:r w:rsidRPr="003730B5">
        <w:rPr>
          <w:u w:val="single"/>
        </w:rPr>
        <w:t>Navržené řešení:</w:t>
      </w:r>
    </w:p>
    <w:p w14:paraId="00CE466E" w14:textId="1F27DBB6" w:rsidR="00B02ECC" w:rsidRPr="003730B5" w:rsidRDefault="006A6740" w:rsidP="006A6740">
      <w:pPr>
        <w:widowControl w:val="0"/>
        <w:spacing w:after="120"/>
      </w:pPr>
      <w:r w:rsidRPr="003730B5">
        <w:t xml:space="preserve">Zvýšení ceny </w:t>
      </w:r>
      <w:r w:rsidR="00B02ECC" w:rsidRPr="003730B5">
        <w:t xml:space="preserve">roční </w:t>
      </w:r>
      <w:r w:rsidRPr="003730B5">
        <w:t xml:space="preserve">dálniční známky </w:t>
      </w:r>
      <w:r w:rsidR="00C862B4" w:rsidRPr="003730B5">
        <w:t>o </w:t>
      </w:r>
      <w:r w:rsidRPr="003730B5">
        <w:t xml:space="preserve">800 Kč </w:t>
      </w:r>
      <w:r w:rsidR="00C862B4" w:rsidRPr="003730B5">
        <w:t>z 1 </w:t>
      </w:r>
      <w:r w:rsidRPr="003730B5">
        <w:t xml:space="preserve">500 na </w:t>
      </w:r>
      <w:r w:rsidR="00C862B4" w:rsidRPr="003730B5">
        <w:t>2 </w:t>
      </w:r>
      <w:r w:rsidRPr="003730B5">
        <w:t xml:space="preserve">300 Kč/rok. </w:t>
      </w:r>
      <w:r w:rsidR="00B02ECC" w:rsidRPr="003730B5">
        <w:t xml:space="preserve">Od této částky se budou odvíjet </w:t>
      </w:r>
      <w:r w:rsidR="00811C11" w:rsidRPr="003730B5">
        <w:t>i </w:t>
      </w:r>
      <w:r w:rsidR="00B02ECC" w:rsidRPr="003730B5">
        <w:t xml:space="preserve">ceny dálničních známek hrazených na 30 kalendářních dnů, na 10 kalendářních dnů, na </w:t>
      </w:r>
      <w:r w:rsidR="00811C11" w:rsidRPr="003730B5">
        <w:t>1 </w:t>
      </w:r>
      <w:r w:rsidR="00B02ECC" w:rsidRPr="003730B5">
        <w:t xml:space="preserve">kalendářní den, stejně jako cena dálniční známky hrazené za užití zpoplatněných pozemních komunikací hybridními vozidly </w:t>
      </w:r>
      <w:r w:rsidR="00811C11" w:rsidRPr="003730B5">
        <w:t>a </w:t>
      </w:r>
      <w:r w:rsidR="00B02ECC" w:rsidRPr="003730B5">
        <w:t>vozidly poháněnými zemním plynem nebo biometanem.</w:t>
      </w:r>
    </w:p>
    <w:p w14:paraId="5F25C4A3" w14:textId="0989A6BD" w:rsidR="006A6740" w:rsidRPr="003730B5" w:rsidRDefault="006A6740" w:rsidP="006A6740">
      <w:pPr>
        <w:widowControl w:val="0"/>
        <w:spacing w:after="120"/>
      </w:pPr>
      <w:r w:rsidRPr="003730B5">
        <w:t xml:space="preserve">Zavedení nového pravidelného valorizačního schématu, které bude reflektovat výši inflace. Ke zvýšení ceny dálniční známky bude docházet při kumulativní valorizaci, která umožní zvýšení ceny dálniční známky vždy </w:t>
      </w:r>
      <w:r w:rsidR="00C862B4" w:rsidRPr="003730B5">
        <w:t>v </w:t>
      </w:r>
      <w:r w:rsidRPr="003730B5">
        <w:t>řádu celých stokorun.</w:t>
      </w:r>
      <w:r w:rsidR="00805C42" w:rsidRPr="003730B5">
        <w:t xml:space="preserve"> Tím dojde ke zvýšení příjmu Státního fondu dopravní infrastruktury, který financuje výstavbu, rekonstrukce </w:t>
      </w:r>
      <w:r w:rsidR="00C862B4" w:rsidRPr="003730B5">
        <w:t>a </w:t>
      </w:r>
      <w:r w:rsidR="00805C42" w:rsidRPr="003730B5">
        <w:t xml:space="preserve">údržbu dálnic </w:t>
      </w:r>
      <w:r w:rsidR="00C862B4" w:rsidRPr="003730B5">
        <w:t>a </w:t>
      </w:r>
      <w:r w:rsidR="00805C42" w:rsidRPr="003730B5">
        <w:t>silnic 1. třídy.</w:t>
      </w:r>
    </w:p>
    <w:p w14:paraId="0A4A88ED" w14:textId="271A1437" w:rsidR="009E35CE" w:rsidRPr="003730B5" w:rsidRDefault="009E35CE" w:rsidP="00805C42">
      <w:pPr>
        <w:keepNext/>
        <w:widowControl w:val="0"/>
        <w:spacing w:after="120"/>
        <w:rPr>
          <w:b/>
          <w:i/>
          <w:u w:val="single"/>
        </w:rPr>
      </w:pPr>
      <w:r w:rsidRPr="003730B5">
        <w:rPr>
          <w:b/>
          <w:i/>
          <w:u w:val="single"/>
        </w:rPr>
        <w:t xml:space="preserve">Gesce Ministerstva spravedlnosti </w:t>
      </w:r>
      <w:r w:rsidR="00C862B4" w:rsidRPr="003730B5">
        <w:rPr>
          <w:b/>
          <w:i/>
          <w:u w:val="single"/>
        </w:rPr>
        <w:t>a </w:t>
      </w:r>
      <w:r w:rsidRPr="003730B5">
        <w:rPr>
          <w:b/>
          <w:i/>
          <w:u w:val="single"/>
        </w:rPr>
        <w:t>Ministerstva financí:</w:t>
      </w:r>
    </w:p>
    <w:p w14:paraId="0D136463" w14:textId="32546475" w:rsidR="00D8720C" w:rsidRPr="003730B5" w:rsidRDefault="009E35CE" w:rsidP="00805C42">
      <w:pPr>
        <w:pStyle w:val="Nadpis2"/>
        <w:widowControl w:val="0"/>
        <w:numPr>
          <w:ilvl w:val="3"/>
          <w:numId w:val="28"/>
        </w:numPr>
        <w:shd w:val="clear" w:color="auto" w:fill="FFFFFF"/>
        <w:tabs>
          <w:tab w:val="left" w:pos="567"/>
        </w:tabs>
        <w:jc w:val="both"/>
        <w:rPr>
          <w:i/>
          <w:sz w:val="24"/>
        </w:rPr>
      </w:pPr>
      <w:r w:rsidRPr="003730B5">
        <w:rPr>
          <w:i/>
          <w:sz w:val="24"/>
        </w:rPr>
        <w:t>Integrace vymáhání pohledávek – justiční pohledávky</w:t>
      </w:r>
    </w:p>
    <w:p w14:paraId="3BFEF45F" w14:textId="77777777" w:rsidR="00D8720C" w:rsidRPr="003730B5" w:rsidRDefault="00D8720C" w:rsidP="00D8720C">
      <w:pPr>
        <w:widowControl w:val="0"/>
        <w:spacing w:after="120"/>
        <w:rPr>
          <w:u w:val="single"/>
        </w:rPr>
      </w:pPr>
      <w:r w:rsidRPr="003730B5">
        <w:rPr>
          <w:u w:val="single"/>
        </w:rPr>
        <w:t>Popis a zhodnocení současného stavu:</w:t>
      </w:r>
    </w:p>
    <w:p w14:paraId="3EF1A226" w14:textId="4D9BEB56" w:rsidR="00D8720C" w:rsidRPr="003730B5" w:rsidRDefault="002D722B" w:rsidP="00D8720C">
      <w:pPr>
        <w:widowControl w:val="0"/>
        <w:spacing w:after="120"/>
      </w:pPr>
      <w:r w:rsidRPr="003730B5">
        <w:t xml:space="preserve">Ve veřejné správě vznikají pohledávky, které je nutné vybírat </w:t>
      </w:r>
      <w:r w:rsidR="00C862B4" w:rsidRPr="003730B5">
        <w:t>a </w:t>
      </w:r>
      <w:r w:rsidRPr="003730B5">
        <w:t xml:space="preserve">vymáhat s čímž se pojí též </w:t>
      </w:r>
      <w:r w:rsidRPr="003730B5">
        <w:lastRenderedPageBreak/>
        <w:t xml:space="preserve">evidenční povinnost. Nejde jen </w:t>
      </w:r>
      <w:r w:rsidR="00C862B4" w:rsidRPr="003730B5">
        <w:t>o </w:t>
      </w:r>
      <w:r w:rsidRPr="003730B5">
        <w:t xml:space="preserve">striktně daňové pohledávky, ale </w:t>
      </w:r>
      <w:r w:rsidR="00C862B4" w:rsidRPr="003730B5">
        <w:t>i o </w:t>
      </w:r>
      <w:r w:rsidRPr="003730B5">
        <w:t xml:space="preserve">pokuty či plnění jiného druhu. Řada orgánů veřejné moci se musí zabývat otázkou postupu </w:t>
      </w:r>
      <w:r w:rsidR="00C862B4" w:rsidRPr="003730B5">
        <w:t>v </w:t>
      </w:r>
      <w:r w:rsidRPr="003730B5">
        <w:t xml:space="preserve">případech, kdy plnění vyvěrající </w:t>
      </w:r>
      <w:r w:rsidR="00C862B4" w:rsidRPr="003730B5">
        <w:t>z </w:t>
      </w:r>
      <w:r w:rsidRPr="003730B5">
        <w:t xml:space="preserve">těchto pohledávek není uhrazeno dobrovolně. Roztříštěnost této agendy vede ke zbytečným nákladům jak na straně veřejných rozpočtů (např. nutnost udržovat </w:t>
      </w:r>
      <w:r w:rsidR="00C862B4" w:rsidRPr="003730B5">
        <w:t>i </w:t>
      </w:r>
      <w:r w:rsidRPr="003730B5">
        <w:t xml:space="preserve">na úřadech, pro které jde </w:t>
      </w:r>
      <w:r w:rsidR="00C862B4" w:rsidRPr="003730B5">
        <w:t>o </w:t>
      </w:r>
      <w:r w:rsidRPr="003730B5">
        <w:t>okrajovou agendu, aparát, který danou agendou není plně vytížen)</w:t>
      </w:r>
      <w:r w:rsidR="007A481E" w:rsidRPr="003730B5">
        <w:t>, tak</w:t>
      </w:r>
      <w:r w:rsidRPr="003730B5">
        <w:t xml:space="preserve"> na straně dlužníků (nutnost strpět případné vymáhání od více orgánů najednou s násobnými exekučními náklady </w:t>
      </w:r>
      <w:r w:rsidR="00C862B4" w:rsidRPr="003730B5">
        <w:t>a </w:t>
      </w:r>
      <w:r w:rsidRPr="003730B5">
        <w:t xml:space="preserve">administrativní zátěží). </w:t>
      </w:r>
      <w:r w:rsidR="00C862B4" w:rsidRPr="003730B5">
        <w:t>U </w:t>
      </w:r>
      <w:r w:rsidRPr="003730B5">
        <w:t>části orgánů veřejné moci to pak vede k využívání služeb soudních exekutorů</w:t>
      </w:r>
      <w:r w:rsidR="007A481E" w:rsidRPr="003730B5">
        <w:t xml:space="preserve">, což opět zvyšuje náklady pro věřitele </w:t>
      </w:r>
      <w:r w:rsidR="00C862B4" w:rsidRPr="003730B5">
        <w:t>i </w:t>
      </w:r>
      <w:r w:rsidR="007A481E" w:rsidRPr="003730B5">
        <w:t>dlužníky.</w:t>
      </w:r>
    </w:p>
    <w:p w14:paraId="56E66A23" w14:textId="5448B175" w:rsidR="00D8720C" w:rsidRPr="003730B5" w:rsidRDefault="00D8720C" w:rsidP="00D8720C">
      <w:pPr>
        <w:widowControl w:val="0"/>
        <w:spacing w:after="120"/>
        <w:rPr>
          <w:u w:val="single"/>
        </w:rPr>
      </w:pPr>
      <w:r w:rsidRPr="003730B5">
        <w:rPr>
          <w:u w:val="single"/>
        </w:rPr>
        <w:t>Navržené řešení:</w:t>
      </w:r>
    </w:p>
    <w:p w14:paraId="75BADCC9" w14:textId="4AA7F178" w:rsidR="00B31746" w:rsidRPr="003730B5" w:rsidRDefault="007A481E" w:rsidP="007A481E">
      <w:pPr>
        <w:widowControl w:val="0"/>
        <w:spacing w:after="120"/>
      </w:pPr>
      <w:r w:rsidRPr="003730B5">
        <w:t xml:space="preserve">Integrace vybírání nebo vymáhání veřejnoprávních pohledávek na jednom místě. V krátkodobém horizontu je možné uvažovat </w:t>
      </w:r>
      <w:r w:rsidR="00C862B4" w:rsidRPr="003730B5">
        <w:t>o </w:t>
      </w:r>
      <w:r w:rsidRPr="003730B5">
        <w:t xml:space="preserve">rozšíření okruhu pohledávek spravovaných v rámci tzv. </w:t>
      </w:r>
      <w:r w:rsidRPr="003730B5">
        <w:rPr>
          <w:i/>
        </w:rPr>
        <w:t>dělené správy</w:t>
      </w:r>
      <w:r w:rsidRPr="003730B5">
        <w:t>. To znamená p</w:t>
      </w:r>
      <w:r w:rsidR="000816F7" w:rsidRPr="003730B5">
        <w:t xml:space="preserve">řevzetí tzv. </w:t>
      </w:r>
      <w:r w:rsidR="000816F7" w:rsidRPr="003730B5">
        <w:rPr>
          <w:i/>
        </w:rPr>
        <w:t>justičních pohledávek</w:t>
      </w:r>
      <w:r w:rsidR="000816F7" w:rsidRPr="003730B5">
        <w:t xml:space="preserve"> </w:t>
      </w:r>
      <w:r w:rsidRPr="003730B5">
        <w:t xml:space="preserve">orgány </w:t>
      </w:r>
      <w:r w:rsidR="000816F7" w:rsidRPr="003730B5">
        <w:t>Celní správ</w:t>
      </w:r>
      <w:r w:rsidRPr="003730B5">
        <w:t>y</w:t>
      </w:r>
      <w:r w:rsidR="000816F7" w:rsidRPr="003730B5">
        <w:t xml:space="preserve"> České republiky, kter</w:t>
      </w:r>
      <w:r w:rsidRPr="003730B5">
        <w:t>é</w:t>
      </w:r>
      <w:r w:rsidR="000816F7" w:rsidRPr="003730B5">
        <w:t xml:space="preserve"> již dnes spravuj</w:t>
      </w:r>
      <w:r w:rsidRPr="003730B5">
        <w:t>í</w:t>
      </w:r>
      <w:r w:rsidR="000816F7" w:rsidRPr="003730B5">
        <w:t xml:space="preserve"> </w:t>
      </w:r>
      <w:r w:rsidRPr="003730B5">
        <w:t xml:space="preserve">placení peněžitých plnění mající původ </w:t>
      </w:r>
      <w:r w:rsidR="00C862B4" w:rsidRPr="003730B5">
        <w:t>u </w:t>
      </w:r>
      <w:r w:rsidR="000816F7" w:rsidRPr="003730B5">
        <w:t xml:space="preserve">řady </w:t>
      </w:r>
      <w:r w:rsidRPr="003730B5">
        <w:t xml:space="preserve">orgánů veřejné moci (včetně obcí </w:t>
      </w:r>
      <w:r w:rsidR="00C862B4" w:rsidRPr="003730B5">
        <w:t>a </w:t>
      </w:r>
      <w:r w:rsidRPr="003730B5">
        <w:t>krajů)</w:t>
      </w:r>
      <w:r w:rsidR="000816F7" w:rsidRPr="003730B5">
        <w:t xml:space="preserve">. Agregace správy na jednom místě kromě úspor administrativních výdajů zvyšuje efektivitu vymáhání </w:t>
      </w:r>
      <w:r w:rsidR="00C862B4" w:rsidRPr="003730B5">
        <w:t>a </w:t>
      </w:r>
      <w:r w:rsidR="000816F7" w:rsidRPr="003730B5">
        <w:t>je rovněž přívětivější ve vztahu k</w:t>
      </w:r>
      <w:r w:rsidRPr="003730B5">
        <w:t> </w:t>
      </w:r>
      <w:r w:rsidR="000816F7" w:rsidRPr="003730B5">
        <w:t>dlužníkovi, který má jen jednoho věřitele.</w:t>
      </w:r>
      <w:r w:rsidRPr="003730B5">
        <w:t xml:space="preserve"> </w:t>
      </w:r>
      <w:r w:rsidR="005A63B8" w:rsidRPr="003730B5">
        <w:t xml:space="preserve">Na straně státního rozpočtu tak dojde díky zefektivnění k úspoře v podobě personálních </w:t>
      </w:r>
      <w:r w:rsidR="001E3580" w:rsidRPr="003730B5">
        <w:t>a </w:t>
      </w:r>
      <w:r w:rsidR="005A63B8" w:rsidRPr="003730B5">
        <w:t xml:space="preserve">souvisejících nákladů v rezortu Ministerstva spravedlnosti při současném dílčím navýšení personálních </w:t>
      </w:r>
      <w:r w:rsidR="001E3580" w:rsidRPr="003730B5">
        <w:t>a </w:t>
      </w:r>
      <w:r w:rsidR="005A63B8" w:rsidRPr="003730B5">
        <w:t>souvisejících nákladů v rezortu Ministerstva financí, pod které orgány Celní správy České republiky spadají.</w:t>
      </w:r>
    </w:p>
    <w:p w14:paraId="03CCC633" w14:textId="29AF5D6D" w:rsidR="000816F7" w:rsidRPr="003730B5" w:rsidRDefault="007A481E" w:rsidP="007A481E">
      <w:pPr>
        <w:widowControl w:val="0"/>
        <w:spacing w:after="120"/>
      </w:pPr>
      <w:r w:rsidRPr="003730B5">
        <w:t xml:space="preserve">Z dlouhodobého hlediska lze uvažovat </w:t>
      </w:r>
      <w:r w:rsidR="00C862B4" w:rsidRPr="003730B5">
        <w:t>i o </w:t>
      </w:r>
      <w:r w:rsidRPr="003730B5">
        <w:t xml:space="preserve">výraznější integraci, </w:t>
      </w:r>
      <w:r w:rsidR="00C862B4" w:rsidRPr="003730B5">
        <w:t>a </w:t>
      </w:r>
      <w:r w:rsidRPr="003730B5">
        <w:t xml:space="preserve">to jednak v rámci rezortu Ministerstva financí (tj. </w:t>
      </w:r>
      <w:r w:rsidR="00B31746" w:rsidRPr="003730B5">
        <w:t>sjednocení této agendy zajišťované nyní orgány</w:t>
      </w:r>
      <w:r w:rsidRPr="003730B5">
        <w:t xml:space="preserve"> Finanční správ</w:t>
      </w:r>
      <w:r w:rsidR="00B31746" w:rsidRPr="003730B5">
        <w:t xml:space="preserve">y České republiky </w:t>
      </w:r>
      <w:r w:rsidR="00C862B4" w:rsidRPr="003730B5">
        <w:t>a </w:t>
      </w:r>
      <w:r w:rsidR="00B31746" w:rsidRPr="003730B5">
        <w:t>orgány Celní správy České republiky</w:t>
      </w:r>
      <w:r w:rsidRPr="003730B5">
        <w:t>)</w:t>
      </w:r>
      <w:r w:rsidR="00B31746" w:rsidRPr="003730B5">
        <w:t xml:space="preserve"> </w:t>
      </w:r>
      <w:r w:rsidR="00C862B4" w:rsidRPr="003730B5">
        <w:t>a </w:t>
      </w:r>
      <w:r w:rsidR="00B31746" w:rsidRPr="003730B5">
        <w:t>jednak v rámci p</w:t>
      </w:r>
      <w:r w:rsidRPr="003730B5">
        <w:t xml:space="preserve">řevzetí této agendy </w:t>
      </w:r>
      <w:r w:rsidR="00C862B4" w:rsidRPr="003730B5">
        <w:t>i </w:t>
      </w:r>
      <w:r w:rsidRPr="003730B5">
        <w:t xml:space="preserve">od jiných </w:t>
      </w:r>
      <w:r w:rsidR="00B31746" w:rsidRPr="003730B5">
        <w:t>orgánů, které dosud provádějí inkaso povinných peněžitých plnění samostatně (orgány sociálního zabezpečení, zdravotní pojišťovny</w:t>
      </w:r>
      <w:r w:rsidR="000501C5" w:rsidRPr="003730B5">
        <w:t xml:space="preserve"> </w:t>
      </w:r>
      <w:r w:rsidR="00521904" w:rsidRPr="003730B5">
        <w:t>a </w:t>
      </w:r>
      <w:r w:rsidR="000501C5" w:rsidRPr="003730B5">
        <w:t>další</w:t>
      </w:r>
      <w:r w:rsidR="00B31746" w:rsidRPr="003730B5">
        <w:t>)</w:t>
      </w:r>
      <w:r w:rsidRPr="003730B5">
        <w:t>.</w:t>
      </w:r>
    </w:p>
    <w:p w14:paraId="05320D98" w14:textId="3266BAF6" w:rsidR="009E35CE" w:rsidRPr="003730B5" w:rsidRDefault="009E35CE" w:rsidP="007A481E">
      <w:pPr>
        <w:widowControl w:val="0"/>
        <w:spacing w:after="120"/>
        <w:rPr>
          <w:b/>
          <w:i/>
          <w:u w:val="single"/>
        </w:rPr>
      </w:pPr>
      <w:r w:rsidRPr="003730B5">
        <w:rPr>
          <w:b/>
          <w:i/>
          <w:u w:val="single"/>
        </w:rPr>
        <w:t xml:space="preserve">Gesce Ministerstva vnitra </w:t>
      </w:r>
      <w:r w:rsidR="00C862B4" w:rsidRPr="003730B5">
        <w:rPr>
          <w:b/>
          <w:i/>
          <w:u w:val="single"/>
        </w:rPr>
        <w:t>a </w:t>
      </w:r>
      <w:r w:rsidRPr="003730B5">
        <w:rPr>
          <w:b/>
          <w:i/>
          <w:u w:val="single"/>
        </w:rPr>
        <w:t>Ministerstva financí:</w:t>
      </w:r>
    </w:p>
    <w:p w14:paraId="354FB90B" w14:textId="6BAAF26C" w:rsidR="00D8720C" w:rsidRPr="003730B5" w:rsidRDefault="006351B6" w:rsidP="000816F7">
      <w:pPr>
        <w:pStyle w:val="Nadpis2"/>
        <w:widowControl w:val="0"/>
        <w:numPr>
          <w:ilvl w:val="3"/>
          <w:numId w:val="28"/>
        </w:numPr>
        <w:shd w:val="clear" w:color="auto" w:fill="FFFFFF"/>
        <w:tabs>
          <w:tab w:val="left" w:pos="567"/>
        </w:tabs>
        <w:jc w:val="both"/>
        <w:rPr>
          <w:i/>
          <w:sz w:val="24"/>
        </w:rPr>
      </w:pPr>
      <w:r w:rsidRPr="003730B5">
        <w:rPr>
          <w:i/>
          <w:sz w:val="24"/>
        </w:rPr>
        <w:t>Elektronizace příkazových bloků</w:t>
      </w:r>
    </w:p>
    <w:p w14:paraId="4E7AB3EF" w14:textId="77777777" w:rsidR="00D8720C" w:rsidRPr="003730B5" w:rsidRDefault="00D8720C" w:rsidP="00D8720C">
      <w:pPr>
        <w:widowControl w:val="0"/>
        <w:spacing w:after="120"/>
        <w:rPr>
          <w:u w:val="single"/>
        </w:rPr>
      </w:pPr>
      <w:r w:rsidRPr="003730B5">
        <w:rPr>
          <w:u w:val="single"/>
        </w:rPr>
        <w:t>Popis a zhodnocení současného stavu:</w:t>
      </w:r>
    </w:p>
    <w:p w14:paraId="5DC7FCAA" w14:textId="7ED989EF" w:rsidR="00991744" w:rsidRPr="003730B5" w:rsidRDefault="00991744" w:rsidP="00991744">
      <w:pPr>
        <w:widowControl w:val="0"/>
        <w:spacing w:after="120"/>
      </w:pPr>
      <w:r w:rsidRPr="003730B5">
        <w:t xml:space="preserve">Současný způsob vyplňování listinného příkazového bloku na místě přestupku </w:t>
      </w:r>
      <w:r w:rsidR="00C858DD" w:rsidRPr="003730B5">
        <w:t>a </w:t>
      </w:r>
      <w:r w:rsidRPr="003730B5">
        <w:t xml:space="preserve">následné přepisování údajů </w:t>
      </w:r>
      <w:r w:rsidR="00C858DD" w:rsidRPr="003730B5">
        <w:t>z </w:t>
      </w:r>
      <w:r w:rsidRPr="003730B5">
        <w:t xml:space="preserve">listinných příkazových bloků do informačních systémů Policie České republiky </w:t>
      </w:r>
      <w:r w:rsidR="00C858DD" w:rsidRPr="003730B5">
        <w:t>a </w:t>
      </w:r>
      <w:r w:rsidRPr="003730B5">
        <w:t xml:space="preserve">Celní správy České republiky je administrativně velmi zatěžující </w:t>
      </w:r>
      <w:r w:rsidR="00C858DD" w:rsidRPr="003730B5">
        <w:t>a </w:t>
      </w:r>
      <w:r w:rsidRPr="003730B5">
        <w:t xml:space="preserve">časově náročný. Listinné příkazové bloky neumožňují pro nedostatek místa </w:t>
      </w:r>
      <w:r w:rsidR="00C858DD" w:rsidRPr="003730B5">
        <w:t>v </w:t>
      </w:r>
      <w:r w:rsidRPr="003730B5">
        <w:t xml:space="preserve">tiskopisu vyplňovat všechny povinné údaje </w:t>
      </w:r>
      <w:r w:rsidR="00C858DD" w:rsidRPr="003730B5">
        <w:t>v </w:t>
      </w:r>
      <w:r w:rsidRPr="003730B5">
        <w:t xml:space="preserve">požadované kvalitě. </w:t>
      </w:r>
      <w:r w:rsidR="00C858DD" w:rsidRPr="003730B5">
        <w:t>S </w:t>
      </w:r>
      <w:r w:rsidRPr="003730B5">
        <w:t xml:space="preserve">vydáváním listinných tiskopisů příkazových bloků a jejich distribucí jsou spojeny zbytečné náklady hrazené ze státního rozpočtu. Zbytečné náklady jsou spojeny </w:t>
      </w:r>
      <w:r w:rsidR="00C858DD" w:rsidRPr="003730B5">
        <w:t>i s </w:t>
      </w:r>
      <w:r w:rsidR="000913CB" w:rsidRPr="003730B5">
        <w:t>předáním</w:t>
      </w:r>
      <w:r w:rsidRPr="003730B5">
        <w:t xml:space="preserve"> listinných příkazových bloků na peněžitou povinnost na místě nezaplacenou, které nebyly uhrazeny do dne splatnosti, Celní správě České republiky. Způsob předávání do kompetenční dělené správy představuje </w:t>
      </w:r>
      <w:r w:rsidR="00C858DD" w:rsidRPr="003730B5">
        <w:t>i </w:t>
      </w:r>
      <w:r w:rsidRPr="003730B5">
        <w:t xml:space="preserve">časovou prodlevu ode dne splatnosti pokuty </w:t>
      </w:r>
      <w:r w:rsidR="00C858DD" w:rsidRPr="003730B5">
        <w:t>k </w:t>
      </w:r>
      <w:r w:rsidRPr="003730B5">
        <w:t>zahájení jejího faktického vymáhání.</w:t>
      </w:r>
    </w:p>
    <w:p w14:paraId="1A50AA2C" w14:textId="5EC06901" w:rsidR="00991744" w:rsidRPr="003730B5" w:rsidRDefault="00991744" w:rsidP="00991744">
      <w:pPr>
        <w:widowControl w:val="0"/>
        <w:spacing w:after="120"/>
      </w:pPr>
      <w:r w:rsidRPr="003730B5">
        <w:t xml:space="preserve">Stávající právní úprava neumožňuje používat elektronické příkazové bloky. Aby bylo možné digitalizovat příkazní řízení na místě, je nezbytné legislativní zakotvení kompetence orgánů Policie České republiky </w:t>
      </w:r>
      <w:r w:rsidR="00C858DD" w:rsidRPr="003730B5">
        <w:t>a </w:t>
      </w:r>
      <w:r w:rsidRPr="003730B5">
        <w:t xml:space="preserve">orgánů Celní správy České republiky vydávat elektronický příkazový blok (vedle listinného příkazového bloku) </w:t>
      </w:r>
      <w:r w:rsidR="00C858DD" w:rsidRPr="003730B5">
        <w:t>a </w:t>
      </w:r>
      <w:r w:rsidRPr="003730B5">
        <w:t>způsobu jeho podepisování obviněným a oprávněnou úřední osobou.</w:t>
      </w:r>
    </w:p>
    <w:p w14:paraId="7A0B9035" w14:textId="69B3399C" w:rsidR="00D8720C" w:rsidRPr="003730B5" w:rsidRDefault="00D8720C" w:rsidP="00D8720C">
      <w:pPr>
        <w:widowControl w:val="0"/>
        <w:spacing w:after="120"/>
        <w:rPr>
          <w:u w:val="single"/>
        </w:rPr>
      </w:pPr>
      <w:r w:rsidRPr="003730B5">
        <w:rPr>
          <w:u w:val="single"/>
        </w:rPr>
        <w:t>Navržené řešení:</w:t>
      </w:r>
    </w:p>
    <w:p w14:paraId="3113FC05" w14:textId="190148C0" w:rsidR="00991744" w:rsidRPr="003730B5" w:rsidRDefault="00991744" w:rsidP="00991744">
      <w:pPr>
        <w:widowControl w:val="0"/>
        <w:spacing w:after="120"/>
      </w:pPr>
      <w:r w:rsidRPr="003730B5">
        <w:t xml:space="preserve">Hlavním cílem navrhované právní úpravy je zefektivnění příkazního řízení na místě </w:t>
      </w:r>
      <w:r w:rsidR="00C858DD" w:rsidRPr="003730B5">
        <w:t>v </w:t>
      </w:r>
      <w:r w:rsidRPr="003730B5">
        <w:t xml:space="preserve">rámci Policie České republiky </w:t>
      </w:r>
      <w:r w:rsidR="00C858DD" w:rsidRPr="003730B5">
        <w:t>a </w:t>
      </w:r>
      <w:r w:rsidRPr="003730B5">
        <w:t xml:space="preserve">Celní správy České republiky prostřednictvím jeho elektronizace. </w:t>
      </w:r>
      <w:r w:rsidRPr="003730B5">
        <w:lastRenderedPageBreak/>
        <w:t xml:space="preserve">Dílčími cíli, které jsou elektronizací příkazního řízení na místě </w:t>
      </w:r>
      <w:r w:rsidR="00C858DD" w:rsidRPr="003730B5">
        <w:t>v </w:t>
      </w:r>
      <w:r w:rsidRPr="003730B5">
        <w:t xml:space="preserve">rámci Policie České republiky </w:t>
      </w:r>
      <w:r w:rsidR="00C858DD" w:rsidRPr="003730B5">
        <w:t>a </w:t>
      </w:r>
      <w:r w:rsidRPr="003730B5">
        <w:t>Celní správy České republiky sledovány, jsou:</w:t>
      </w:r>
    </w:p>
    <w:p w14:paraId="66B8213C" w14:textId="2CCAA3CA" w:rsidR="00991744" w:rsidRPr="003730B5" w:rsidRDefault="00991744" w:rsidP="00D16775">
      <w:pPr>
        <w:pStyle w:val="Odstavecseseznamem"/>
        <w:widowControl w:val="0"/>
        <w:numPr>
          <w:ilvl w:val="0"/>
          <w:numId w:val="43"/>
        </w:numPr>
        <w:spacing w:after="120"/>
      </w:pPr>
      <w:r w:rsidRPr="003730B5">
        <w:t xml:space="preserve">Snížení nákladů na tisk </w:t>
      </w:r>
      <w:r w:rsidR="00C858DD" w:rsidRPr="003730B5">
        <w:t>a </w:t>
      </w:r>
      <w:r w:rsidRPr="003730B5">
        <w:t>distribuci listinných příkazových bloků, případně složenek na uhrazení uložené pokuty.</w:t>
      </w:r>
    </w:p>
    <w:p w14:paraId="40DFD755" w14:textId="3270864A" w:rsidR="00991744" w:rsidRPr="003730B5" w:rsidRDefault="00991744" w:rsidP="00D16775">
      <w:pPr>
        <w:pStyle w:val="Odstavecseseznamem"/>
        <w:widowControl w:val="0"/>
        <w:numPr>
          <w:ilvl w:val="0"/>
          <w:numId w:val="43"/>
        </w:numPr>
        <w:spacing w:after="120"/>
      </w:pPr>
      <w:r w:rsidRPr="003730B5">
        <w:t xml:space="preserve">Snížení nákladů spojených se zabezpečením </w:t>
      </w:r>
      <w:r w:rsidR="000913CB" w:rsidRPr="003730B5">
        <w:t>předání</w:t>
      </w:r>
      <w:r w:rsidRPr="003730B5">
        <w:t xml:space="preserve"> listinných příkazových bloků na peněžitou povinnost na místě nezaplacenou, které nebyly uhrazeny do dne splatnosti, Celní správě České republiky. </w:t>
      </w:r>
    </w:p>
    <w:p w14:paraId="6654BE3B" w14:textId="15EB5CDD" w:rsidR="00991744" w:rsidRPr="003730B5" w:rsidRDefault="00991744" w:rsidP="00D16775">
      <w:pPr>
        <w:pStyle w:val="Odstavecseseznamem"/>
        <w:widowControl w:val="0"/>
        <w:numPr>
          <w:ilvl w:val="0"/>
          <w:numId w:val="43"/>
        </w:numPr>
        <w:spacing w:after="120"/>
      </w:pPr>
      <w:r w:rsidRPr="003730B5">
        <w:t xml:space="preserve">Snížení administrativních nákladů </w:t>
      </w:r>
      <w:r w:rsidR="00C858DD" w:rsidRPr="003730B5">
        <w:t>a </w:t>
      </w:r>
      <w:r w:rsidRPr="003730B5">
        <w:t xml:space="preserve">efektivnější využívání lidských zdrojů </w:t>
      </w:r>
      <w:r w:rsidR="00C858DD" w:rsidRPr="003730B5">
        <w:t>v </w:t>
      </w:r>
      <w:r w:rsidRPr="003730B5">
        <w:t xml:space="preserve">rámci Policie České republiky </w:t>
      </w:r>
      <w:r w:rsidR="00C858DD" w:rsidRPr="003730B5">
        <w:t>a </w:t>
      </w:r>
      <w:r w:rsidRPr="003730B5">
        <w:t>Celní správy České republiky.</w:t>
      </w:r>
    </w:p>
    <w:p w14:paraId="139DCEBB" w14:textId="0B27F0A4" w:rsidR="00991744" w:rsidRPr="003730B5" w:rsidRDefault="00991744" w:rsidP="00D16775">
      <w:pPr>
        <w:pStyle w:val="Odstavecseseznamem"/>
        <w:widowControl w:val="0"/>
        <w:numPr>
          <w:ilvl w:val="0"/>
          <w:numId w:val="43"/>
        </w:numPr>
        <w:spacing w:after="120"/>
      </w:pPr>
      <w:r w:rsidRPr="003730B5">
        <w:t xml:space="preserve">Zrychlení </w:t>
      </w:r>
      <w:r w:rsidR="00C858DD" w:rsidRPr="003730B5">
        <w:t>a </w:t>
      </w:r>
      <w:r w:rsidRPr="003730B5">
        <w:t>zefektivnění předávání nedoplatků na pokutách do procesu vymáhání.</w:t>
      </w:r>
    </w:p>
    <w:p w14:paraId="1BB6046B" w14:textId="2019CDFE" w:rsidR="006351B6" w:rsidRPr="003730B5" w:rsidRDefault="00C862B4" w:rsidP="006351B6">
      <w:pPr>
        <w:widowControl w:val="0"/>
        <w:spacing w:after="120"/>
      </w:pPr>
      <w:r w:rsidRPr="003730B5">
        <w:t>S </w:t>
      </w:r>
      <w:r w:rsidR="006351B6" w:rsidRPr="003730B5">
        <w:t xml:space="preserve">tímto záměrem se pojí určité vstupní náklady (pořízení HW </w:t>
      </w:r>
      <w:r w:rsidRPr="003730B5">
        <w:t>a </w:t>
      </w:r>
      <w:r w:rsidR="006351B6" w:rsidRPr="003730B5">
        <w:t>SW)</w:t>
      </w:r>
      <w:r w:rsidR="000816F7" w:rsidRPr="003730B5">
        <w:t>, které nicméně budou vyváženy přínosy a úsporami</w:t>
      </w:r>
      <w:r w:rsidR="006351B6" w:rsidRPr="003730B5">
        <w:t>.</w:t>
      </w:r>
      <w:r w:rsidR="000816F7" w:rsidRPr="003730B5">
        <w:t xml:space="preserve"> </w:t>
      </w:r>
      <w:r w:rsidR="006351B6" w:rsidRPr="003730B5">
        <w:t>Kvůli nutnosti delší přípravy je možné spuštění nejdříve od ledna 2025.</w:t>
      </w:r>
    </w:p>
    <w:p w14:paraId="18848F32" w14:textId="0B3800F2" w:rsidR="00D76E2B" w:rsidRPr="003730B5" w:rsidRDefault="00760027" w:rsidP="009414EF">
      <w:pPr>
        <w:pStyle w:val="Nadpis2"/>
        <w:widowControl w:val="0"/>
        <w:numPr>
          <w:ilvl w:val="2"/>
          <w:numId w:val="28"/>
        </w:numPr>
        <w:shd w:val="clear" w:color="auto" w:fill="FFFFFF"/>
        <w:tabs>
          <w:tab w:val="left" w:pos="567"/>
        </w:tabs>
        <w:jc w:val="both"/>
        <w:rPr>
          <w:sz w:val="28"/>
        </w:rPr>
      </w:pPr>
      <w:r w:rsidRPr="003730B5">
        <w:rPr>
          <w:sz w:val="28"/>
        </w:rPr>
        <w:t>Konsolidační opatření</w:t>
      </w:r>
      <w:r w:rsidR="00930589" w:rsidRPr="003730B5">
        <w:rPr>
          <w:sz w:val="28"/>
        </w:rPr>
        <w:t xml:space="preserve"> realizovaná samostatně</w:t>
      </w:r>
    </w:p>
    <w:p w14:paraId="49C80EBB" w14:textId="4AC99ADA" w:rsidR="000236AC" w:rsidRPr="003730B5" w:rsidRDefault="005D3435" w:rsidP="008F2906">
      <w:pPr>
        <w:widowControl w:val="0"/>
        <w:spacing w:after="120"/>
      </w:pPr>
      <w:r w:rsidRPr="003730B5">
        <w:t>Součástí této kapitoly je přehled opatření, které jsou nedílnou součástí konsolidace veřejných financí, avšak nejsou součástí návrhu zákona buďto z důvodu, že jejich realizace nevyžaduje legislativní změnu, anebo jsou realizovány samostatně.</w:t>
      </w:r>
      <w:r w:rsidR="00C946BA" w:rsidRPr="003730B5">
        <w:t xml:space="preserve"> Součástí tohoto popisu nejsou </w:t>
      </w:r>
      <w:r w:rsidR="00B64C7C" w:rsidRPr="003730B5">
        <w:t xml:space="preserve">opatření, která jsou souhrnně označována jako </w:t>
      </w:r>
      <w:r w:rsidR="00C946BA" w:rsidRPr="003730B5">
        <w:t xml:space="preserve">tzv. </w:t>
      </w:r>
      <w:r w:rsidR="00C946BA" w:rsidRPr="003730B5">
        <w:rPr>
          <w:i/>
        </w:rPr>
        <w:t>důchodová reforma</w:t>
      </w:r>
      <w:r w:rsidR="00C946BA" w:rsidRPr="003730B5">
        <w:t>.</w:t>
      </w:r>
    </w:p>
    <w:p w14:paraId="6B093631" w14:textId="5591A2E0" w:rsidR="005D3435" w:rsidRPr="003730B5" w:rsidRDefault="00845AA1" w:rsidP="00FA6F01">
      <w:pPr>
        <w:pStyle w:val="Nadpis2"/>
        <w:widowControl w:val="0"/>
        <w:numPr>
          <w:ilvl w:val="3"/>
          <w:numId w:val="28"/>
        </w:numPr>
        <w:shd w:val="clear" w:color="auto" w:fill="FFFFFF"/>
        <w:tabs>
          <w:tab w:val="left" w:pos="567"/>
        </w:tabs>
        <w:jc w:val="both"/>
        <w:rPr>
          <w:i/>
          <w:sz w:val="24"/>
        </w:rPr>
      </w:pPr>
      <w:r w:rsidRPr="003730B5">
        <w:rPr>
          <w:i/>
          <w:sz w:val="24"/>
        </w:rPr>
        <w:t>Snížení národních dotací</w:t>
      </w:r>
    </w:p>
    <w:p w14:paraId="208D91D3" w14:textId="103AB39A" w:rsidR="00845AA1" w:rsidRPr="003730B5" w:rsidRDefault="00845AA1" w:rsidP="00FA6F01">
      <w:pPr>
        <w:keepNext/>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p w14:paraId="75AF9A3A" w14:textId="1E0E57D7" w:rsidR="00845AA1" w:rsidRPr="003730B5" w:rsidRDefault="00845AA1" w:rsidP="00845AA1">
      <w:pPr>
        <w:widowControl w:val="0"/>
        <w:spacing w:after="120"/>
      </w:pPr>
      <w:r w:rsidRPr="003730B5">
        <w:t xml:space="preserve">Současná situace je nesystémová </w:t>
      </w:r>
      <w:r w:rsidR="007C6C1D" w:rsidRPr="003730B5">
        <w:t>a </w:t>
      </w:r>
      <w:r w:rsidRPr="003730B5">
        <w:t xml:space="preserve">nepřehledná. Vytratil se původní záměr dotací snižovat regionální či jiné nerovnosti (sociální, zdravotní, vzdělávací aj.). Postupně se z národních dotačních titulů stal fenomén, který pokřivuje tržní prostředí zejména ve prospěch velkých firem. Počet národních dotačních titulů navíc neúměrně roste </w:t>
      </w:r>
      <w:r w:rsidR="007C6C1D" w:rsidRPr="003730B5">
        <w:t>a </w:t>
      </w:r>
      <w:r w:rsidRPr="003730B5">
        <w:t xml:space="preserve">s tím narůstá </w:t>
      </w:r>
      <w:r w:rsidR="007C6C1D" w:rsidRPr="003730B5">
        <w:t>i </w:t>
      </w:r>
      <w:r w:rsidRPr="003730B5">
        <w:t>nákladná administrativa na jejich poskytování, což dlouhodobě potvrzují výroční zprávy Nejvyššího kontrolního úřadu. Klesá také efektivnost využívání národních dotací, které v mnoha případech nežádoucím způsobem</w:t>
      </w:r>
      <w:r w:rsidR="00E253CB" w:rsidRPr="003730B5">
        <w:t xml:space="preserve"> udržují či vytvářejí</w:t>
      </w:r>
      <w:r w:rsidRPr="003730B5">
        <w:t xml:space="preserve"> projekty, které nejsou životaschopné </w:t>
      </w:r>
      <w:r w:rsidR="007C6C1D" w:rsidRPr="003730B5">
        <w:t>a </w:t>
      </w:r>
      <w:r w:rsidRPr="003730B5">
        <w:t>nemají reálný ekonomický smysl.</w:t>
      </w:r>
    </w:p>
    <w:p w14:paraId="4BC6E202" w14:textId="4C48D3D9" w:rsidR="00845AA1" w:rsidRPr="003730B5" w:rsidRDefault="00845AA1" w:rsidP="00845AA1">
      <w:pPr>
        <w:widowControl w:val="0"/>
        <w:spacing w:after="120"/>
        <w:rPr>
          <w:u w:val="single"/>
        </w:rPr>
      </w:pPr>
      <w:r w:rsidRPr="003730B5">
        <w:rPr>
          <w:u w:val="single"/>
        </w:rPr>
        <w:t>Navržené řešení:</w:t>
      </w:r>
    </w:p>
    <w:p w14:paraId="180C7A2E" w14:textId="59E9258D" w:rsidR="00845AA1" w:rsidRPr="003730B5" w:rsidRDefault="00845AA1" w:rsidP="00845AA1">
      <w:pPr>
        <w:widowControl w:val="0"/>
        <w:spacing w:after="120"/>
      </w:pPr>
      <w:r w:rsidRPr="003730B5">
        <w:t xml:space="preserve">Snížení národních dotačních titulů průřezově na většině ministerstev pro roky 2024 </w:t>
      </w:r>
      <w:r w:rsidR="007C6C1D" w:rsidRPr="003730B5">
        <w:t>a </w:t>
      </w:r>
      <w:r w:rsidRPr="003730B5">
        <w:t>20</w:t>
      </w:r>
      <w:r w:rsidR="00006E88" w:rsidRPr="003730B5">
        <w:t>2</w:t>
      </w:r>
      <w:r w:rsidRPr="003730B5">
        <w:t>5 v</w:t>
      </w:r>
      <w:r w:rsidR="00E253CB" w:rsidRPr="003730B5">
        <w:t> </w:t>
      </w:r>
      <w:r w:rsidRPr="003730B5">
        <w:t>celkové výši 54,</w:t>
      </w:r>
      <w:r w:rsidR="007C6C1D" w:rsidRPr="003730B5">
        <w:t>4 </w:t>
      </w:r>
      <w:r w:rsidRPr="003730B5">
        <w:t>mld. Kč.</w:t>
      </w:r>
    </w:p>
    <w:p w14:paraId="5700E8A8" w14:textId="74FD36FA" w:rsidR="00E253CB" w:rsidRPr="003730B5" w:rsidRDefault="00E253CB" w:rsidP="00845AA1">
      <w:pPr>
        <w:widowControl w:val="0"/>
        <w:spacing w:after="120"/>
      </w:pPr>
      <w:r w:rsidRPr="003730B5">
        <w:rPr>
          <w:rFonts w:ascii="Tahoma" w:hAnsi="Tahoma" w:cs="Tahoma"/>
          <w:noProof/>
          <w:sz w:val="19"/>
          <w:szCs w:val="19"/>
        </w:rPr>
        <w:drawing>
          <wp:inline distT="0" distB="0" distL="0" distR="0" wp14:anchorId="31331B9E" wp14:editId="56D43B45">
            <wp:extent cx="5760720" cy="24003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400300"/>
                    </a:xfrm>
                    <a:prstGeom prst="rect">
                      <a:avLst/>
                    </a:prstGeom>
                  </pic:spPr>
                </pic:pic>
              </a:graphicData>
            </a:graphic>
          </wp:inline>
        </w:drawing>
      </w:r>
    </w:p>
    <w:p w14:paraId="35B2DBD6" w14:textId="63F11F6E" w:rsidR="00312E4E" w:rsidRPr="003730B5" w:rsidRDefault="00312E4E" w:rsidP="00805C42">
      <w:pPr>
        <w:pStyle w:val="Nadpis2"/>
        <w:widowControl w:val="0"/>
        <w:numPr>
          <w:ilvl w:val="3"/>
          <w:numId w:val="28"/>
        </w:numPr>
        <w:shd w:val="clear" w:color="auto" w:fill="FFFFFF"/>
        <w:tabs>
          <w:tab w:val="left" w:pos="567"/>
        </w:tabs>
        <w:jc w:val="both"/>
        <w:rPr>
          <w:i/>
          <w:sz w:val="24"/>
        </w:rPr>
      </w:pPr>
      <w:r w:rsidRPr="003730B5">
        <w:rPr>
          <w:i/>
          <w:sz w:val="24"/>
        </w:rPr>
        <w:lastRenderedPageBreak/>
        <w:t xml:space="preserve">Snížení spolufinancování </w:t>
      </w:r>
      <w:r w:rsidR="00C862B4" w:rsidRPr="003730B5">
        <w:rPr>
          <w:i/>
          <w:sz w:val="24"/>
        </w:rPr>
        <w:t>z </w:t>
      </w:r>
      <w:r w:rsidRPr="003730B5">
        <w:rPr>
          <w:i/>
          <w:sz w:val="24"/>
        </w:rPr>
        <w:t>fondů E</w:t>
      </w:r>
      <w:r w:rsidR="009655EE" w:rsidRPr="003730B5">
        <w:rPr>
          <w:i/>
          <w:sz w:val="24"/>
        </w:rPr>
        <w:t>vropské unie</w:t>
      </w:r>
      <w:r w:rsidRPr="003730B5">
        <w:rPr>
          <w:i/>
          <w:sz w:val="24"/>
        </w:rPr>
        <w:t xml:space="preserve"> zvýšením spoluúčasti příjemců</w:t>
      </w:r>
    </w:p>
    <w:p w14:paraId="29A877D0" w14:textId="06A51DCE" w:rsidR="00312E4E" w:rsidRPr="003730B5" w:rsidRDefault="00312E4E" w:rsidP="00312E4E">
      <w:pPr>
        <w:widowControl w:val="0"/>
        <w:spacing w:after="120"/>
        <w:rPr>
          <w:u w:val="single"/>
        </w:rPr>
      </w:pPr>
      <w:r w:rsidRPr="003730B5">
        <w:rPr>
          <w:u w:val="single"/>
        </w:rPr>
        <w:t>Popis a zhodnocení současného stavu:</w:t>
      </w:r>
    </w:p>
    <w:p w14:paraId="1212A01B" w14:textId="344FBCFE" w:rsidR="00384505" w:rsidRPr="003730B5" w:rsidRDefault="00384505" w:rsidP="00384505">
      <w:pPr>
        <w:widowControl w:val="0"/>
        <w:spacing w:after="120"/>
      </w:pPr>
      <w:r w:rsidRPr="003730B5">
        <w:t>Následující tabulka shrnuje, jak se jednotlivé subjekty podílí na financování z EU fondů (E</w:t>
      </w:r>
      <w:r w:rsidR="009655EE" w:rsidRPr="003730B5">
        <w:t>vropská unie</w:t>
      </w:r>
      <w:r w:rsidRPr="003730B5">
        <w:t>, VL = vlastní podíl příjemce, SR = státní rozpočet).</w:t>
      </w:r>
    </w:p>
    <w:p w14:paraId="6F94DA56" w14:textId="0537425E" w:rsidR="00384505" w:rsidRPr="003730B5" w:rsidRDefault="00384505" w:rsidP="00384505">
      <w:pPr>
        <w:widowControl w:val="0"/>
        <w:spacing w:after="120"/>
      </w:pPr>
      <w:r w:rsidRPr="003730B5">
        <w:t xml:space="preserve">Je zřejmé, že </w:t>
      </w:r>
      <w:r w:rsidR="004E1ADB" w:rsidRPr="003730B5">
        <w:t xml:space="preserve">existuje </w:t>
      </w:r>
      <w:r w:rsidRPr="003730B5">
        <w:t xml:space="preserve">potenciál pro nalezení úspor přenesením břemene podílu spolufinancování ze státního rozpočtu na konečné příjemce. Zejména pak </w:t>
      </w:r>
      <w:r w:rsidR="00C862B4" w:rsidRPr="003730B5">
        <w:t>u </w:t>
      </w:r>
      <w:r w:rsidRPr="003730B5">
        <w:t xml:space="preserve">zapojení územně samosprávných celků jako složky veřejných rozpočtů, která vykazuje stabilně miliardové přebytky, </w:t>
      </w:r>
      <w:r w:rsidR="00C862B4" w:rsidRPr="003730B5">
        <w:t>a </w:t>
      </w:r>
      <w:r w:rsidRPr="003730B5">
        <w:t>to za současného nevyužití investičního potenciálu.</w:t>
      </w:r>
    </w:p>
    <w:p w14:paraId="3C890DBA" w14:textId="6D3FB0FA" w:rsidR="00384505" w:rsidRPr="003730B5" w:rsidRDefault="00384505" w:rsidP="00FA6F01">
      <w:pPr>
        <w:keepNext/>
        <w:keepLines/>
        <w:spacing w:before="120" w:after="120"/>
        <w:rPr>
          <w:szCs w:val="24"/>
        </w:rPr>
      </w:pPr>
      <w:r w:rsidRPr="003730B5">
        <w:rPr>
          <w:b/>
          <w:noProof/>
          <w:szCs w:val="24"/>
          <w:lang w:val="en-GB" w:eastAsia="en-GB"/>
        </w:rPr>
        <w:t xml:space="preserve">Národní spolufinancování </w:t>
      </w:r>
      <w:r w:rsidR="00C862B4" w:rsidRPr="003730B5">
        <w:rPr>
          <w:b/>
          <w:noProof/>
          <w:szCs w:val="24"/>
          <w:lang w:val="en-GB" w:eastAsia="en-GB"/>
        </w:rPr>
        <w:t>v </w:t>
      </w:r>
      <w:r w:rsidRPr="003730B5">
        <w:rPr>
          <w:b/>
          <w:noProof/>
          <w:szCs w:val="24"/>
          <w:lang w:val="en-GB" w:eastAsia="en-GB"/>
        </w:rPr>
        <w:t>PO 2021-2027</w:t>
      </w:r>
    </w:p>
    <w:tbl>
      <w:tblPr>
        <w:tblW w:w="9242" w:type="dxa"/>
        <w:jc w:val="center"/>
        <w:tblLook w:val="04A0" w:firstRow="1" w:lastRow="0" w:firstColumn="1" w:lastColumn="0" w:noHBand="0" w:noVBand="1"/>
      </w:tblPr>
      <w:tblGrid>
        <w:gridCol w:w="1228"/>
        <w:gridCol w:w="1985"/>
        <w:gridCol w:w="3572"/>
        <w:gridCol w:w="851"/>
        <w:gridCol w:w="992"/>
        <w:gridCol w:w="850"/>
      </w:tblGrid>
      <w:tr w:rsidR="00930703" w:rsidRPr="003730B5" w14:paraId="770C899E" w14:textId="77777777" w:rsidTr="00A24C00">
        <w:trPr>
          <w:trHeight w:val="300"/>
          <w:jc w:val="center"/>
        </w:trPr>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E07567" w14:textId="77777777" w:rsidR="00384505" w:rsidRPr="003730B5" w:rsidRDefault="00384505" w:rsidP="00FA6F01">
            <w:pPr>
              <w:keepNext/>
              <w:keepLines/>
              <w:jc w:val="center"/>
              <w:rPr>
                <w:b/>
                <w:bCs/>
                <w:sz w:val="20"/>
                <w:lang w:eastAsia="en-GB"/>
              </w:rPr>
            </w:pPr>
            <w:r w:rsidRPr="003730B5">
              <w:rPr>
                <w:b/>
                <w:bCs/>
                <w:sz w:val="20"/>
                <w:lang w:eastAsia="en-GB"/>
              </w:rPr>
              <w:t>Subjekt</w:t>
            </w:r>
          </w:p>
        </w:tc>
        <w:tc>
          <w:tcPr>
            <w:tcW w:w="198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E04F2A4" w14:textId="77777777" w:rsidR="00384505" w:rsidRPr="003730B5" w:rsidRDefault="00384505" w:rsidP="00FA6F01">
            <w:pPr>
              <w:keepNext/>
              <w:keepLines/>
              <w:jc w:val="center"/>
              <w:rPr>
                <w:b/>
                <w:bCs/>
                <w:sz w:val="20"/>
                <w:lang w:val="en-GB" w:eastAsia="en-GB"/>
              </w:rPr>
            </w:pPr>
            <w:r w:rsidRPr="003730B5">
              <w:rPr>
                <w:b/>
                <w:bCs/>
                <w:sz w:val="20"/>
                <w:lang w:val="en-GB" w:eastAsia="en-GB"/>
              </w:rPr>
              <w:t>Fond</w:t>
            </w:r>
          </w:p>
        </w:tc>
        <w:tc>
          <w:tcPr>
            <w:tcW w:w="357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EDD7217" w14:textId="77777777" w:rsidR="00384505" w:rsidRPr="003730B5" w:rsidRDefault="00384505" w:rsidP="00FA6F01">
            <w:pPr>
              <w:keepNext/>
              <w:keepLines/>
              <w:jc w:val="center"/>
              <w:rPr>
                <w:b/>
                <w:bCs/>
                <w:sz w:val="20"/>
                <w:lang w:val="en-GB" w:eastAsia="en-GB"/>
              </w:rPr>
            </w:pPr>
            <w:r w:rsidRPr="003730B5">
              <w:rPr>
                <w:b/>
                <w:bCs/>
                <w:sz w:val="20"/>
                <w:lang w:val="en-GB" w:eastAsia="en-GB"/>
              </w:rPr>
              <w:t>KR</w:t>
            </w:r>
          </w:p>
        </w:tc>
        <w:tc>
          <w:tcPr>
            <w:tcW w:w="85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06EC795" w14:textId="77777777" w:rsidR="00384505" w:rsidRPr="003730B5" w:rsidRDefault="00384505" w:rsidP="00FA6F01">
            <w:pPr>
              <w:keepNext/>
              <w:keepLines/>
              <w:jc w:val="center"/>
              <w:rPr>
                <w:b/>
                <w:bCs/>
                <w:sz w:val="20"/>
                <w:lang w:val="en-GB" w:eastAsia="en-GB"/>
              </w:rPr>
            </w:pPr>
            <w:r w:rsidRPr="003730B5">
              <w:rPr>
                <w:b/>
                <w:bCs/>
                <w:sz w:val="20"/>
                <w:lang w:val="en-GB" w:eastAsia="en-GB"/>
              </w:rPr>
              <w:t>EU</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4EB4FD5" w14:textId="77777777" w:rsidR="00384505" w:rsidRPr="003730B5" w:rsidRDefault="00384505" w:rsidP="00FA6F01">
            <w:pPr>
              <w:keepNext/>
              <w:keepLines/>
              <w:jc w:val="center"/>
              <w:rPr>
                <w:b/>
                <w:bCs/>
                <w:sz w:val="20"/>
                <w:lang w:val="en-GB" w:eastAsia="en-GB"/>
              </w:rPr>
            </w:pPr>
            <w:r w:rsidRPr="003730B5">
              <w:rPr>
                <w:b/>
                <w:bCs/>
                <w:sz w:val="20"/>
                <w:lang w:val="en-GB" w:eastAsia="en-GB"/>
              </w:rPr>
              <w:t>VL</w:t>
            </w:r>
          </w:p>
        </w:tc>
        <w:tc>
          <w:tcPr>
            <w:tcW w:w="85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2627AC4" w14:textId="77777777" w:rsidR="00384505" w:rsidRPr="003730B5" w:rsidRDefault="00384505" w:rsidP="00FA6F01">
            <w:pPr>
              <w:keepNext/>
              <w:keepLines/>
              <w:jc w:val="center"/>
              <w:rPr>
                <w:b/>
                <w:bCs/>
                <w:sz w:val="20"/>
                <w:lang w:val="en-GB" w:eastAsia="en-GB"/>
              </w:rPr>
            </w:pPr>
            <w:r w:rsidRPr="003730B5">
              <w:rPr>
                <w:b/>
                <w:bCs/>
                <w:sz w:val="20"/>
                <w:lang w:val="en-GB" w:eastAsia="en-GB"/>
              </w:rPr>
              <w:t>SR</w:t>
            </w:r>
          </w:p>
        </w:tc>
      </w:tr>
      <w:tr w:rsidR="00930703" w:rsidRPr="003730B5" w14:paraId="7B9C67AC" w14:textId="77777777" w:rsidTr="00930703">
        <w:trPr>
          <w:trHeight w:val="300"/>
          <w:jc w:val="center"/>
        </w:trPr>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085920" w14:textId="77777777" w:rsidR="00384505" w:rsidRPr="003730B5" w:rsidRDefault="00384505" w:rsidP="00FA6F01">
            <w:pPr>
              <w:keepNext/>
              <w:keepLines/>
              <w:rPr>
                <w:b/>
                <w:bCs/>
                <w:sz w:val="20"/>
                <w:lang w:val="en-GB" w:eastAsia="en-GB"/>
              </w:rPr>
            </w:pPr>
            <w:r w:rsidRPr="003730B5">
              <w:rPr>
                <w:b/>
                <w:bCs/>
                <w:sz w:val="20"/>
                <w:lang w:eastAsia="en-GB"/>
              </w:rPr>
              <w:t>Školy</w:t>
            </w:r>
            <w:r w:rsidRPr="003730B5">
              <w:rPr>
                <w:b/>
                <w:bCs/>
                <w:sz w:val="20"/>
                <w:lang w:val="en-GB" w:eastAsia="en-GB"/>
              </w:rPr>
              <w:t xml:space="preserve"> (MŠ/ZŠ/SŠ)</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4FFBA9" w14:textId="77777777" w:rsidR="00384505" w:rsidRPr="003730B5" w:rsidRDefault="00384505" w:rsidP="00FA6F01">
            <w:pPr>
              <w:keepNext/>
              <w:keepLines/>
              <w:rPr>
                <w:bCs/>
                <w:sz w:val="20"/>
                <w:lang w:val="en-GB" w:eastAsia="en-GB"/>
              </w:rPr>
            </w:pPr>
            <w:r w:rsidRPr="003730B5">
              <w:rPr>
                <w:bCs/>
                <w:sz w:val="20"/>
                <w:lang w:val="en-GB" w:eastAsia="en-GB"/>
              </w:rPr>
              <w:t>EFRR/FST</w:t>
            </w:r>
          </w:p>
        </w:tc>
        <w:tc>
          <w:tcPr>
            <w:tcW w:w="3572" w:type="dxa"/>
            <w:tcBorders>
              <w:top w:val="nil"/>
              <w:left w:val="nil"/>
              <w:bottom w:val="single" w:sz="4" w:space="0" w:color="auto"/>
              <w:right w:val="single" w:sz="4" w:space="0" w:color="auto"/>
            </w:tcBorders>
            <w:shd w:val="clear" w:color="auto" w:fill="auto"/>
            <w:noWrap/>
            <w:vAlign w:val="center"/>
            <w:hideMark/>
          </w:tcPr>
          <w:p w14:paraId="557676D5" w14:textId="721223AD" w:rsidR="00384505" w:rsidRPr="003730B5" w:rsidRDefault="007E2BFF" w:rsidP="007E2BFF">
            <w:pPr>
              <w:keepNext/>
              <w:keepLines/>
              <w:rPr>
                <w:bCs/>
                <w:sz w:val="20"/>
                <w:lang w:val="en-GB" w:eastAsia="en-GB"/>
              </w:rPr>
            </w:pPr>
            <w:r w:rsidRPr="003730B5">
              <w:rPr>
                <w:bCs/>
                <w:sz w:val="20"/>
                <w:lang w:val="en-GB" w:eastAsia="en-GB"/>
              </w:rPr>
              <w:t>MÉNĚ ROZVINUTÉ</w:t>
            </w:r>
          </w:p>
        </w:tc>
        <w:tc>
          <w:tcPr>
            <w:tcW w:w="851" w:type="dxa"/>
            <w:tcBorders>
              <w:top w:val="nil"/>
              <w:left w:val="nil"/>
              <w:bottom w:val="single" w:sz="4" w:space="0" w:color="auto"/>
              <w:right w:val="single" w:sz="4" w:space="0" w:color="auto"/>
            </w:tcBorders>
            <w:shd w:val="clear" w:color="auto" w:fill="auto"/>
            <w:noWrap/>
            <w:vAlign w:val="center"/>
            <w:hideMark/>
          </w:tcPr>
          <w:p w14:paraId="3CB9AD8F" w14:textId="77777777" w:rsidR="00384505" w:rsidRPr="003730B5" w:rsidRDefault="00384505" w:rsidP="00FA6F01">
            <w:pPr>
              <w:keepNext/>
              <w:keepLines/>
              <w:jc w:val="center"/>
              <w:rPr>
                <w:bCs/>
                <w:sz w:val="20"/>
                <w:lang w:val="en-GB" w:eastAsia="en-GB"/>
              </w:rPr>
            </w:pPr>
            <w:r w:rsidRPr="003730B5">
              <w:rPr>
                <w:bCs/>
                <w:sz w:val="20"/>
                <w:lang w:val="en-GB" w:eastAsia="en-GB"/>
              </w:rPr>
              <w:t>85%</w:t>
            </w:r>
          </w:p>
        </w:tc>
        <w:tc>
          <w:tcPr>
            <w:tcW w:w="992" w:type="dxa"/>
            <w:tcBorders>
              <w:top w:val="nil"/>
              <w:left w:val="nil"/>
              <w:bottom w:val="single" w:sz="4" w:space="0" w:color="auto"/>
              <w:right w:val="single" w:sz="4" w:space="0" w:color="auto"/>
            </w:tcBorders>
            <w:shd w:val="clear" w:color="auto" w:fill="auto"/>
            <w:noWrap/>
            <w:vAlign w:val="center"/>
            <w:hideMark/>
          </w:tcPr>
          <w:p w14:paraId="3A441B2B" w14:textId="77777777" w:rsidR="00384505" w:rsidRPr="003730B5" w:rsidRDefault="00384505" w:rsidP="00FA6F01">
            <w:pPr>
              <w:keepNext/>
              <w:keepLines/>
              <w:jc w:val="center"/>
              <w:rPr>
                <w:bCs/>
                <w:sz w:val="20"/>
                <w:lang w:val="en-GB" w:eastAsia="en-GB"/>
              </w:rPr>
            </w:pPr>
            <w:r w:rsidRPr="003730B5">
              <w:rPr>
                <w:bCs/>
                <w:sz w:val="20"/>
                <w:lang w:val="en-GB" w:eastAsia="en-GB"/>
              </w:rPr>
              <w:t>10%</w:t>
            </w:r>
          </w:p>
        </w:tc>
        <w:tc>
          <w:tcPr>
            <w:tcW w:w="850" w:type="dxa"/>
            <w:tcBorders>
              <w:top w:val="nil"/>
              <w:left w:val="nil"/>
              <w:bottom w:val="single" w:sz="4" w:space="0" w:color="auto"/>
              <w:right w:val="single" w:sz="4" w:space="0" w:color="auto"/>
            </w:tcBorders>
            <w:shd w:val="clear" w:color="auto" w:fill="auto"/>
            <w:noWrap/>
            <w:vAlign w:val="center"/>
            <w:hideMark/>
          </w:tcPr>
          <w:p w14:paraId="61D320C1" w14:textId="77777777" w:rsidR="00384505" w:rsidRPr="003730B5" w:rsidRDefault="00384505" w:rsidP="00FA6F01">
            <w:pPr>
              <w:keepNext/>
              <w:keepLines/>
              <w:jc w:val="center"/>
              <w:rPr>
                <w:bCs/>
                <w:sz w:val="20"/>
                <w:lang w:val="en-GB" w:eastAsia="en-GB"/>
              </w:rPr>
            </w:pPr>
            <w:r w:rsidRPr="003730B5">
              <w:rPr>
                <w:bCs/>
                <w:sz w:val="20"/>
                <w:lang w:val="en-GB" w:eastAsia="en-GB"/>
              </w:rPr>
              <w:t>5%</w:t>
            </w:r>
          </w:p>
        </w:tc>
      </w:tr>
      <w:tr w:rsidR="00930703" w:rsidRPr="003730B5" w14:paraId="5609A2A2" w14:textId="77777777" w:rsidTr="00930703">
        <w:trPr>
          <w:trHeight w:val="300"/>
          <w:jc w:val="center"/>
        </w:trPr>
        <w:tc>
          <w:tcPr>
            <w:tcW w:w="992" w:type="dxa"/>
            <w:vMerge/>
            <w:tcBorders>
              <w:top w:val="nil"/>
              <w:left w:val="single" w:sz="4" w:space="0" w:color="auto"/>
              <w:bottom w:val="single" w:sz="4" w:space="0" w:color="auto"/>
              <w:right w:val="single" w:sz="4" w:space="0" w:color="auto"/>
            </w:tcBorders>
            <w:shd w:val="clear" w:color="auto" w:fill="auto"/>
            <w:vAlign w:val="center"/>
            <w:hideMark/>
          </w:tcPr>
          <w:p w14:paraId="3A423057" w14:textId="77777777" w:rsidR="00384505" w:rsidRPr="003730B5" w:rsidRDefault="00384505" w:rsidP="00FA6F01">
            <w:pPr>
              <w:keepNext/>
              <w:keepLines/>
              <w:rPr>
                <w:b/>
                <w:bCs/>
                <w:sz w:val="20"/>
                <w:lang w:val="en-GB"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18454104" w14:textId="77777777" w:rsidR="00384505" w:rsidRPr="003730B5" w:rsidRDefault="00384505" w:rsidP="00FA6F0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33DBEDE7" w14:textId="510DB18A" w:rsidR="00384505" w:rsidRPr="003730B5" w:rsidRDefault="00697FF1" w:rsidP="007E2BFF">
            <w:pPr>
              <w:keepNext/>
              <w:keepLines/>
              <w:rPr>
                <w:bCs/>
                <w:sz w:val="20"/>
                <w:lang w:val="en-GB" w:eastAsia="en-GB"/>
              </w:rPr>
            </w:pPr>
            <w:r w:rsidRPr="003730B5">
              <w:rPr>
                <w:bCs/>
                <w:sz w:val="20"/>
                <w:lang w:val="en-GB" w:eastAsia="en-GB"/>
              </w:rPr>
              <w:t>PŘECHODOVÉ</w:t>
            </w:r>
          </w:p>
        </w:tc>
        <w:tc>
          <w:tcPr>
            <w:tcW w:w="851" w:type="dxa"/>
            <w:tcBorders>
              <w:top w:val="nil"/>
              <w:left w:val="nil"/>
              <w:bottom w:val="single" w:sz="4" w:space="0" w:color="auto"/>
              <w:right w:val="single" w:sz="4" w:space="0" w:color="auto"/>
            </w:tcBorders>
            <w:shd w:val="clear" w:color="auto" w:fill="auto"/>
            <w:noWrap/>
            <w:vAlign w:val="center"/>
            <w:hideMark/>
          </w:tcPr>
          <w:p w14:paraId="17427A48" w14:textId="77777777" w:rsidR="00384505" w:rsidRPr="003730B5" w:rsidRDefault="00384505" w:rsidP="00FA6F01">
            <w:pPr>
              <w:keepNext/>
              <w:keepLines/>
              <w:jc w:val="center"/>
              <w:rPr>
                <w:bCs/>
                <w:sz w:val="20"/>
                <w:lang w:val="en-GB" w:eastAsia="en-GB"/>
              </w:rPr>
            </w:pPr>
            <w:r w:rsidRPr="003730B5">
              <w:rPr>
                <w:bCs/>
                <w:sz w:val="20"/>
                <w:lang w:val="en-GB" w:eastAsia="en-GB"/>
              </w:rPr>
              <w:t>70%</w:t>
            </w:r>
          </w:p>
        </w:tc>
        <w:tc>
          <w:tcPr>
            <w:tcW w:w="992" w:type="dxa"/>
            <w:tcBorders>
              <w:top w:val="nil"/>
              <w:left w:val="nil"/>
              <w:bottom w:val="single" w:sz="4" w:space="0" w:color="auto"/>
              <w:right w:val="single" w:sz="4" w:space="0" w:color="auto"/>
            </w:tcBorders>
            <w:shd w:val="clear" w:color="auto" w:fill="auto"/>
            <w:noWrap/>
            <w:vAlign w:val="center"/>
            <w:hideMark/>
          </w:tcPr>
          <w:p w14:paraId="6C59DAF2" w14:textId="77777777" w:rsidR="00384505" w:rsidRPr="003730B5" w:rsidRDefault="00384505" w:rsidP="00FA6F01">
            <w:pPr>
              <w:keepNext/>
              <w:keepLines/>
              <w:jc w:val="center"/>
              <w:rPr>
                <w:bCs/>
                <w:sz w:val="20"/>
                <w:lang w:val="en-GB" w:eastAsia="en-GB"/>
              </w:rPr>
            </w:pPr>
            <w:r w:rsidRPr="003730B5">
              <w:rPr>
                <w:bCs/>
                <w:sz w:val="20"/>
                <w:lang w:val="en-GB" w:eastAsia="en-GB"/>
              </w:rPr>
              <w:t>10%</w:t>
            </w:r>
          </w:p>
        </w:tc>
        <w:tc>
          <w:tcPr>
            <w:tcW w:w="850" w:type="dxa"/>
            <w:tcBorders>
              <w:top w:val="nil"/>
              <w:left w:val="nil"/>
              <w:bottom w:val="single" w:sz="4" w:space="0" w:color="auto"/>
              <w:right w:val="single" w:sz="4" w:space="0" w:color="auto"/>
            </w:tcBorders>
            <w:shd w:val="clear" w:color="auto" w:fill="auto"/>
            <w:noWrap/>
            <w:vAlign w:val="center"/>
            <w:hideMark/>
          </w:tcPr>
          <w:p w14:paraId="4E3157FF" w14:textId="77777777" w:rsidR="00384505" w:rsidRPr="003730B5" w:rsidRDefault="00384505" w:rsidP="00FA6F01">
            <w:pPr>
              <w:keepNext/>
              <w:keepLines/>
              <w:jc w:val="center"/>
              <w:rPr>
                <w:bCs/>
                <w:sz w:val="20"/>
                <w:lang w:val="en-GB" w:eastAsia="en-GB"/>
              </w:rPr>
            </w:pPr>
            <w:r w:rsidRPr="003730B5">
              <w:rPr>
                <w:bCs/>
                <w:sz w:val="20"/>
                <w:lang w:val="en-GB" w:eastAsia="en-GB"/>
              </w:rPr>
              <w:t>20%</w:t>
            </w:r>
          </w:p>
        </w:tc>
      </w:tr>
      <w:tr w:rsidR="00930703" w:rsidRPr="003730B5" w14:paraId="126C2F7E" w14:textId="77777777" w:rsidTr="00930703">
        <w:trPr>
          <w:trHeight w:val="300"/>
          <w:jc w:val="center"/>
        </w:trPr>
        <w:tc>
          <w:tcPr>
            <w:tcW w:w="992" w:type="dxa"/>
            <w:vMerge/>
            <w:tcBorders>
              <w:top w:val="nil"/>
              <w:left w:val="single" w:sz="4" w:space="0" w:color="auto"/>
              <w:bottom w:val="single" w:sz="4" w:space="0" w:color="auto"/>
              <w:right w:val="single" w:sz="4" w:space="0" w:color="auto"/>
            </w:tcBorders>
            <w:shd w:val="clear" w:color="auto" w:fill="auto"/>
            <w:vAlign w:val="center"/>
            <w:hideMark/>
          </w:tcPr>
          <w:p w14:paraId="4AB10841" w14:textId="77777777" w:rsidR="00384505" w:rsidRPr="003730B5" w:rsidRDefault="00384505" w:rsidP="00FA6F01">
            <w:pPr>
              <w:keepNext/>
              <w:keepLines/>
              <w:rPr>
                <w:b/>
                <w:bCs/>
                <w:sz w:val="20"/>
                <w:lang w:val="en-GB"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04967292" w14:textId="77777777" w:rsidR="00384505" w:rsidRPr="003730B5" w:rsidRDefault="00384505" w:rsidP="00FA6F0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1AB5ED0F" w14:textId="4DB8737C" w:rsidR="00384505" w:rsidRPr="003730B5" w:rsidRDefault="00697FF1" w:rsidP="00FA6F01">
            <w:pPr>
              <w:keepNext/>
              <w:keepLines/>
              <w:rPr>
                <w:bCs/>
                <w:sz w:val="20"/>
                <w:lang w:val="en-GB" w:eastAsia="en-GB"/>
              </w:rPr>
            </w:pPr>
            <w:r w:rsidRPr="003730B5">
              <w:rPr>
                <w:bCs/>
                <w:sz w:val="20"/>
                <w:lang w:val="en-GB" w:eastAsia="en-GB"/>
              </w:rPr>
              <w:t>ROZVINUTĚJŠÁ (</w:t>
            </w:r>
            <w:r w:rsidR="00384505" w:rsidRPr="003730B5">
              <w:rPr>
                <w:bCs/>
                <w:sz w:val="20"/>
                <w:lang w:val="en-GB" w:eastAsia="en-GB"/>
              </w:rPr>
              <w:t>PRAHA</w:t>
            </w:r>
            <w:r w:rsidRPr="003730B5">
              <w:rPr>
                <w:bCs/>
                <w:sz w:val="20"/>
                <w:lang w:val="en-GB" w:eastAsia="en-GB"/>
              </w:rPr>
              <w:t>)</w:t>
            </w:r>
          </w:p>
        </w:tc>
        <w:tc>
          <w:tcPr>
            <w:tcW w:w="851" w:type="dxa"/>
            <w:tcBorders>
              <w:top w:val="nil"/>
              <w:left w:val="nil"/>
              <w:bottom w:val="single" w:sz="4" w:space="0" w:color="auto"/>
              <w:right w:val="single" w:sz="4" w:space="0" w:color="auto"/>
            </w:tcBorders>
            <w:shd w:val="clear" w:color="auto" w:fill="auto"/>
            <w:noWrap/>
            <w:vAlign w:val="center"/>
            <w:hideMark/>
          </w:tcPr>
          <w:p w14:paraId="50541DC2" w14:textId="77777777" w:rsidR="00384505" w:rsidRPr="003730B5" w:rsidRDefault="00384505" w:rsidP="00FA6F01">
            <w:pPr>
              <w:keepNext/>
              <w:keepLines/>
              <w:jc w:val="center"/>
              <w:rPr>
                <w:bCs/>
                <w:sz w:val="20"/>
                <w:lang w:val="en-GB" w:eastAsia="en-GB"/>
              </w:rPr>
            </w:pPr>
            <w:r w:rsidRPr="003730B5">
              <w:rPr>
                <w:bCs/>
                <w:sz w:val="20"/>
                <w:lang w:val="en-GB" w:eastAsia="en-GB"/>
              </w:rPr>
              <w:t>40%</w:t>
            </w:r>
          </w:p>
        </w:tc>
        <w:tc>
          <w:tcPr>
            <w:tcW w:w="992" w:type="dxa"/>
            <w:tcBorders>
              <w:top w:val="nil"/>
              <w:left w:val="nil"/>
              <w:bottom w:val="single" w:sz="4" w:space="0" w:color="auto"/>
              <w:right w:val="single" w:sz="4" w:space="0" w:color="auto"/>
            </w:tcBorders>
            <w:shd w:val="clear" w:color="auto" w:fill="auto"/>
            <w:noWrap/>
            <w:vAlign w:val="center"/>
            <w:hideMark/>
          </w:tcPr>
          <w:p w14:paraId="460675FD" w14:textId="77777777" w:rsidR="00384505" w:rsidRPr="003730B5" w:rsidRDefault="00384505" w:rsidP="00FA6F01">
            <w:pPr>
              <w:keepNext/>
              <w:keepLines/>
              <w:jc w:val="center"/>
              <w:rPr>
                <w:bCs/>
                <w:sz w:val="20"/>
                <w:lang w:val="en-GB" w:eastAsia="en-GB"/>
              </w:rPr>
            </w:pPr>
            <w:r w:rsidRPr="003730B5">
              <w:rPr>
                <w:bCs/>
                <w:sz w:val="20"/>
                <w:lang w:val="en-GB" w:eastAsia="en-GB"/>
              </w:rPr>
              <w:t>10%</w:t>
            </w:r>
          </w:p>
        </w:tc>
        <w:tc>
          <w:tcPr>
            <w:tcW w:w="850" w:type="dxa"/>
            <w:tcBorders>
              <w:top w:val="nil"/>
              <w:left w:val="nil"/>
              <w:bottom w:val="single" w:sz="4" w:space="0" w:color="auto"/>
              <w:right w:val="single" w:sz="4" w:space="0" w:color="auto"/>
            </w:tcBorders>
            <w:shd w:val="clear" w:color="auto" w:fill="auto"/>
            <w:noWrap/>
            <w:vAlign w:val="center"/>
            <w:hideMark/>
          </w:tcPr>
          <w:p w14:paraId="00E954F0" w14:textId="77777777" w:rsidR="00384505" w:rsidRPr="003730B5" w:rsidRDefault="00384505" w:rsidP="00FA6F01">
            <w:pPr>
              <w:keepNext/>
              <w:keepLines/>
              <w:jc w:val="center"/>
              <w:rPr>
                <w:bCs/>
                <w:sz w:val="20"/>
                <w:lang w:val="en-GB" w:eastAsia="en-GB"/>
              </w:rPr>
            </w:pPr>
            <w:r w:rsidRPr="003730B5">
              <w:rPr>
                <w:bCs/>
                <w:sz w:val="20"/>
                <w:lang w:val="en-GB" w:eastAsia="en-GB"/>
              </w:rPr>
              <w:t>50%</w:t>
            </w:r>
          </w:p>
        </w:tc>
      </w:tr>
      <w:tr w:rsidR="00930703" w:rsidRPr="003730B5" w14:paraId="6DE397F5" w14:textId="77777777" w:rsidTr="00930703">
        <w:trPr>
          <w:trHeight w:val="300"/>
          <w:jc w:val="center"/>
        </w:trPr>
        <w:tc>
          <w:tcPr>
            <w:tcW w:w="992" w:type="dxa"/>
            <w:vMerge/>
            <w:tcBorders>
              <w:top w:val="nil"/>
              <w:left w:val="single" w:sz="4" w:space="0" w:color="auto"/>
              <w:bottom w:val="single" w:sz="4" w:space="0" w:color="auto"/>
              <w:right w:val="single" w:sz="4" w:space="0" w:color="auto"/>
            </w:tcBorders>
            <w:shd w:val="clear" w:color="auto" w:fill="auto"/>
            <w:vAlign w:val="center"/>
            <w:hideMark/>
          </w:tcPr>
          <w:p w14:paraId="5B66A002" w14:textId="77777777" w:rsidR="00697FF1" w:rsidRPr="003730B5" w:rsidRDefault="00697FF1" w:rsidP="00697FF1">
            <w:pPr>
              <w:keepNext/>
              <w:keepLines/>
              <w:rPr>
                <w:b/>
                <w:bCs/>
                <w:sz w:val="20"/>
                <w:lang w:val="en-GB" w:eastAsia="en-GB"/>
              </w:rPr>
            </w:pP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154AA7" w14:textId="77777777" w:rsidR="00697FF1" w:rsidRPr="003730B5" w:rsidRDefault="00697FF1" w:rsidP="00697FF1">
            <w:pPr>
              <w:keepNext/>
              <w:keepLines/>
              <w:rPr>
                <w:bCs/>
                <w:sz w:val="20"/>
                <w:lang w:val="en-GB" w:eastAsia="en-GB"/>
              </w:rPr>
            </w:pPr>
            <w:r w:rsidRPr="003730B5">
              <w:rPr>
                <w:bCs/>
                <w:sz w:val="20"/>
                <w:lang w:val="en-GB" w:eastAsia="en-GB"/>
              </w:rPr>
              <w:t>ESF+</w:t>
            </w:r>
          </w:p>
        </w:tc>
        <w:tc>
          <w:tcPr>
            <w:tcW w:w="3572" w:type="dxa"/>
            <w:tcBorders>
              <w:top w:val="nil"/>
              <w:left w:val="nil"/>
              <w:bottom w:val="single" w:sz="4" w:space="0" w:color="auto"/>
              <w:right w:val="single" w:sz="4" w:space="0" w:color="auto"/>
            </w:tcBorders>
            <w:shd w:val="clear" w:color="auto" w:fill="auto"/>
            <w:noWrap/>
            <w:vAlign w:val="center"/>
            <w:hideMark/>
          </w:tcPr>
          <w:p w14:paraId="4ADDA343" w14:textId="4089329A" w:rsidR="00697FF1" w:rsidRPr="003730B5" w:rsidRDefault="00697FF1" w:rsidP="00697FF1">
            <w:pPr>
              <w:keepNext/>
              <w:keepLines/>
              <w:rPr>
                <w:bCs/>
                <w:sz w:val="20"/>
                <w:lang w:val="en-GB" w:eastAsia="en-GB"/>
              </w:rPr>
            </w:pPr>
            <w:r w:rsidRPr="003730B5">
              <w:rPr>
                <w:bCs/>
                <w:sz w:val="20"/>
                <w:lang w:val="en-GB" w:eastAsia="en-GB"/>
              </w:rPr>
              <w:t>MÉNĚ ROZVINUTÉ</w:t>
            </w:r>
          </w:p>
        </w:tc>
        <w:tc>
          <w:tcPr>
            <w:tcW w:w="851" w:type="dxa"/>
            <w:tcBorders>
              <w:top w:val="nil"/>
              <w:left w:val="nil"/>
              <w:bottom w:val="single" w:sz="4" w:space="0" w:color="auto"/>
              <w:right w:val="single" w:sz="4" w:space="0" w:color="auto"/>
            </w:tcBorders>
            <w:shd w:val="clear" w:color="auto" w:fill="auto"/>
            <w:noWrap/>
            <w:vAlign w:val="center"/>
            <w:hideMark/>
          </w:tcPr>
          <w:p w14:paraId="33CD1CD4" w14:textId="77777777" w:rsidR="00697FF1" w:rsidRPr="003730B5" w:rsidRDefault="00697FF1" w:rsidP="00697FF1">
            <w:pPr>
              <w:keepNext/>
              <w:keepLines/>
              <w:jc w:val="center"/>
              <w:rPr>
                <w:bCs/>
                <w:sz w:val="20"/>
                <w:lang w:val="en-GB" w:eastAsia="en-GB"/>
              </w:rPr>
            </w:pPr>
            <w:r w:rsidRPr="003730B5">
              <w:rPr>
                <w:bCs/>
                <w:sz w:val="20"/>
                <w:lang w:val="en-GB" w:eastAsia="en-GB"/>
              </w:rPr>
              <w:t>85%</w:t>
            </w:r>
          </w:p>
        </w:tc>
        <w:tc>
          <w:tcPr>
            <w:tcW w:w="992" w:type="dxa"/>
            <w:tcBorders>
              <w:top w:val="nil"/>
              <w:left w:val="nil"/>
              <w:bottom w:val="single" w:sz="4" w:space="0" w:color="auto"/>
              <w:right w:val="single" w:sz="4" w:space="0" w:color="auto"/>
            </w:tcBorders>
            <w:shd w:val="clear" w:color="auto" w:fill="auto"/>
            <w:noWrap/>
            <w:vAlign w:val="center"/>
            <w:hideMark/>
          </w:tcPr>
          <w:p w14:paraId="5ED7C289"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c>
          <w:tcPr>
            <w:tcW w:w="850" w:type="dxa"/>
            <w:tcBorders>
              <w:top w:val="nil"/>
              <w:left w:val="nil"/>
              <w:bottom w:val="single" w:sz="4" w:space="0" w:color="auto"/>
              <w:right w:val="single" w:sz="4" w:space="0" w:color="auto"/>
            </w:tcBorders>
            <w:shd w:val="clear" w:color="auto" w:fill="auto"/>
            <w:noWrap/>
            <w:vAlign w:val="center"/>
            <w:hideMark/>
          </w:tcPr>
          <w:p w14:paraId="164EF397" w14:textId="77777777" w:rsidR="00697FF1" w:rsidRPr="003730B5" w:rsidRDefault="00697FF1" w:rsidP="00697FF1">
            <w:pPr>
              <w:keepNext/>
              <w:keepLines/>
              <w:jc w:val="center"/>
              <w:rPr>
                <w:bCs/>
                <w:sz w:val="20"/>
                <w:lang w:val="en-GB" w:eastAsia="en-GB"/>
              </w:rPr>
            </w:pPr>
            <w:r w:rsidRPr="003730B5">
              <w:rPr>
                <w:bCs/>
                <w:sz w:val="20"/>
                <w:lang w:val="en-GB" w:eastAsia="en-GB"/>
              </w:rPr>
              <w:t>10%</w:t>
            </w:r>
          </w:p>
        </w:tc>
      </w:tr>
      <w:tr w:rsidR="00930703" w:rsidRPr="003730B5" w14:paraId="78B003BE" w14:textId="77777777" w:rsidTr="00930703">
        <w:trPr>
          <w:trHeight w:val="300"/>
          <w:jc w:val="center"/>
        </w:trPr>
        <w:tc>
          <w:tcPr>
            <w:tcW w:w="992" w:type="dxa"/>
            <w:vMerge/>
            <w:tcBorders>
              <w:top w:val="nil"/>
              <w:left w:val="single" w:sz="4" w:space="0" w:color="auto"/>
              <w:bottom w:val="single" w:sz="4" w:space="0" w:color="auto"/>
              <w:right w:val="single" w:sz="4" w:space="0" w:color="auto"/>
            </w:tcBorders>
            <w:shd w:val="clear" w:color="auto" w:fill="auto"/>
            <w:vAlign w:val="center"/>
            <w:hideMark/>
          </w:tcPr>
          <w:p w14:paraId="4F49835F" w14:textId="77777777" w:rsidR="00697FF1" w:rsidRPr="003730B5" w:rsidRDefault="00697FF1" w:rsidP="00697FF1">
            <w:pPr>
              <w:keepNext/>
              <w:keepLines/>
              <w:rPr>
                <w:b/>
                <w:bCs/>
                <w:sz w:val="20"/>
                <w:lang w:val="en-GB"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5241A69B"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3BA17302" w14:textId="0EB23B16" w:rsidR="00697FF1" w:rsidRPr="003730B5" w:rsidRDefault="00697FF1" w:rsidP="00697FF1">
            <w:pPr>
              <w:keepNext/>
              <w:keepLines/>
              <w:rPr>
                <w:bCs/>
                <w:sz w:val="20"/>
                <w:lang w:val="en-GB" w:eastAsia="en-GB"/>
              </w:rPr>
            </w:pPr>
            <w:r w:rsidRPr="003730B5">
              <w:rPr>
                <w:bCs/>
                <w:sz w:val="20"/>
                <w:lang w:val="en-GB" w:eastAsia="en-GB"/>
              </w:rPr>
              <w:t>PŘECHODOVÉ</w:t>
            </w:r>
          </w:p>
        </w:tc>
        <w:tc>
          <w:tcPr>
            <w:tcW w:w="851" w:type="dxa"/>
            <w:tcBorders>
              <w:top w:val="nil"/>
              <w:left w:val="nil"/>
              <w:bottom w:val="single" w:sz="4" w:space="0" w:color="auto"/>
              <w:right w:val="single" w:sz="4" w:space="0" w:color="auto"/>
            </w:tcBorders>
            <w:shd w:val="clear" w:color="auto" w:fill="auto"/>
            <w:noWrap/>
            <w:vAlign w:val="center"/>
            <w:hideMark/>
          </w:tcPr>
          <w:p w14:paraId="3BC5E061" w14:textId="77777777" w:rsidR="00697FF1" w:rsidRPr="003730B5" w:rsidRDefault="00697FF1" w:rsidP="00697FF1">
            <w:pPr>
              <w:keepNext/>
              <w:keepLines/>
              <w:jc w:val="center"/>
              <w:rPr>
                <w:bCs/>
                <w:sz w:val="20"/>
                <w:lang w:val="en-GB" w:eastAsia="en-GB"/>
              </w:rPr>
            </w:pPr>
            <w:r w:rsidRPr="003730B5">
              <w:rPr>
                <w:bCs/>
                <w:sz w:val="20"/>
                <w:lang w:val="en-GB" w:eastAsia="en-GB"/>
              </w:rPr>
              <w:t>70%</w:t>
            </w:r>
          </w:p>
        </w:tc>
        <w:tc>
          <w:tcPr>
            <w:tcW w:w="992" w:type="dxa"/>
            <w:tcBorders>
              <w:top w:val="nil"/>
              <w:left w:val="nil"/>
              <w:bottom w:val="single" w:sz="4" w:space="0" w:color="auto"/>
              <w:right w:val="single" w:sz="4" w:space="0" w:color="auto"/>
            </w:tcBorders>
            <w:shd w:val="clear" w:color="auto" w:fill="auto"/>
            <w:noWrap/>
            <w:vAlign w:val="center"/>
            <w:hideMark/>
          </w:tcPr>
          <w:p w14:paraId="313DBC1C"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c>
          <w:tcPr>
            <w:tcW w:w="850" w:type="dxa"/>
            <w:tcBorders>
              <w:top w:val="nil"/>
              <w:left w:val="nil"/>
              <w:bottom w:val="single" w:sz="4" w:space="0" w:color="auto"/>
              <w:right w:val="single" w:sz="4" w:space="0" w:color="auto"/>
            </w:tcBorders>
            <w:shd w:val="clear" w:color="auto" w:fill="auto"/>
            <w:noWrap/>
            <w:vAlign w:val="center"/>
            <w:hideMark/>
          </w:tcPr>
          <w:p w14:paraId="286653F7" w14:textId="77777777" w:rsidR="00697FF1" w:rsidRPr="003730B5" w:rsidRDefault="00697FF1" w:rsidP="00697FF1">
            <w:pPr>
              <w:keepNext/>
              <w:keepLines/>
              <w:jc w:val="center"/>
              <w:rPr>
                <w:bCs/>
                <w:sz w:val="20"/>
                <w:lang w:val="en-GB" w:eastAsia="en-GB"/>
              </w:rPr>
            </w:pPr>
            <w:r w:rsidRPr="003730B5">
              <w:rPr>
                <w:bCs/>
                <w:sz w:val="20"/>
                <w:lang w:val="en-GB" w:eastAsia="en-GB"/>
              </w:rPr>
              <w:t>25%</w:t>
            </w:r>
          </w:p>
        </w:tc>
      </w:tr>
      <w:tr w:rsidR="00930703" w:rsidRPr="003730B5" w14:paraId="4B837036" w14:textId="77777777" w:rsidTr="00930703">
        <w:trPr>
          <w:trHeight w:val="300"/>
          <w:jc w:val="center"/>
        </w:trPr>
        <w:tc>
          <w:tcPr>
            <w:tcW w:w="992" w:type="dxa"/>
            <w:vMerge/>
            <w:tcBorders>
              <w:top w:val="nil"/>
              <w:left w:val="single" w:sz="4" w:space="0" w:color="auto"/>
              <w:bottom w:val="single" w:sz="4" w:space="0" w:color="auto"/>
              <w:right w:val="single" w:sz="4" w:space="0" w:color="auto"/>
            </w:tcBorders>
            <w:shd w:val="clear" w:color="auto" w:fill="auto"/>
            <w:vAlign w:val="center"/>
            <w:hideMark/>
          </w:tcPr>
          <w:p w14:paraId="138C8823" w14:textId="77777777" w:rsidR="00697FF1" w:rsidRPr="003730B5" w:rsidRDefault="00697FF1" w:rsidP="00697FF1">
            <w:pPr>
              <w:keepNext/>
              <w:keepLines/>
              <w:rPr>
                <w:b/>
                <w:bCs/>
                <w:sz w:val="20"/>
                <w:lang w:val="en-GB"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114F60CA"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2D40D018" w14:textId="669165B3" w:rsidR="00697FF1" w:rsidRPr="003730B5" w:rsidRDefault="00697FF1" w:rsidP="00697FF1">
            <w:pPr>
              <w:keepNext/>
              <w:keepLines/>
              <w:rPr>
                <w:bCs/>
                <w:sz w:val="20"/>
                <w:lang w:val="en-GB" w:eastAsia="en-GB"/>
              </w:rPr>
            </w:pPr>
            <w:r w:rsidRPr="003730B5">
              <w:rPr>
                <w:bCs/>
                <w:sz w:val="20"/>
                <w:lang w:val="en-GB" w:eastAsia="en-GB"/>
              </w:rPr>
              <w:t>ROZVINUTĚJŠÁ (PRAHA)</w:t>
            </w:r>
          </w:p>
        </w:tc>
        <w:tc>
          <w:tcPr>
            <w:tcW w:w="851" w:type="dxa"/>
            <w:tcBorders>
              <w:top w:val="nil"/>
              <w:left w:val="nil"/>
              <w:bottom w:val="single" w:sz="4" w:space="0" w:color="auto"/>
              <w:right w:val="single" w:sz="4" w:space="0" w:color="auto"/>
            </w:tcBorders>
            <w:shd w:val="clear" w:color="auto" w:fill="auto"/>
            <w:noWrap/>
            <w:vAlign w:val="center"/>
            <w:hideMark/>
          </w:tcPr>
          <w:p w14:paraId="2A7BF0BA" w14:textId="77777777" w:rsidR="00697FF1" w:rsidRPr="003730B5" w:rsidRDefault="00697FF1" w:rsidP="00697FF1">
            <w:pPr>
              <w:keepNext/>
              <w:keepLines/>
              <w:jc w:val="center"/>
              <w:rPr>
                <w:bCs/>
                <w:sz w:val="20"/>
                <w:lang w:val="en-GB" w:eastAsia="en-GB"/>
              </w:rPr>
            </w:pPr>
            <w:r w:rsidRPr="003730B5">
              <w:rPr>
                <w:bCs/>
                <w:sz w:val="20"/>
                <w:lang w:val="en-GB" w:eastAsia="en-GB"/>
              </w:rPr>
              <w:t>40%</w:t>
            </w:r>
          </w:p>
        </w:tc>
        <w:tc>
          <w:tcPr>
            <w:tcW w:w="992" w:type="dxa"/>
            <w:tcBorders>
              <w:top w:val="nil"/>
              <w:left w:val="nil"/>
              <w:bottom w:val="single" w:sz="4" w:space="0" w:color="auto"/>
              <w:right w:val="single" w:sz="4" w:space="0" w:color="auto"/>
            </w:tcBorders>
            <w:shd w:val="clear" w:color="auto" w:fill="auto"/>
            <w:noWrap/>
            <w:vAlign w:val="center"/>
            <w:hideMark/>
          </w:tcPr>
          <w:p w14:paraId="6FCED866"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c>
          <w:tcPr>
            <w:tcW w:w="850" w:type="dxa"/>
            <w:tcBorders>
              <w:top w:val="nil"/>
              <w:left w:val="nil"/>
              <w:bottom w:val="single" w:sz="4" w:space="0" w:color="auto"/>
              <w:right w:val="single" w:sz="4" w:space="0" w:color="auto"/>
            </w:tcBorders>
            <w:shd w:val="clear" w:color="auto" w:fill="auto"/>
            <w:noWrap/>
            <w:vAlign w:val="center"/>
            <w:hideMark/>
          </w:tcPr>
          <w:p w14:paraId="6D50B02C" w14:textId="77777777" w:rsidR="00697FF1" w:rsidRPr="003730B5" w:rsidRDefault="00697FF1" w:rsidP="00697FF1">
            <w:pPr>
              <w:keepNext/>
              <w:keepLines/>
              <w:jc w:val="center"/>
              <w:rPr>
                <w:bCs/>
                <w:sz w:val="20"/>
                <w:lang w:val="en-GB" w:eastAsia="en-GB"/>
              </w:rPr>
            </w:pPr>
            <w:r w:rsidRPr="003730B5">
              <w:rPr>
                <w:bCs/>
                <w:sz w:val="20"/>
                <w:lang w:val="en-GB" w:eastAsia="en-GB"/>
              </w:rPr>
              <w:t>55%</w:t>
            </w:r>
          </w:p>
        </w:tc>
      </w:tr>
      <w:tr w:rsidR="00697FF1" w:rsidRPr="003730B5" w14:paraId="158A124F" w14:textId="77777777" w:rsidTr="00A24C00">
        <w:trPr>
          <w:trHeight w:val="300"/>
          <w:jc w:val="center"/>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0C749492" w14:textId="3AE67346" w:rsidR="00697FF1" w:rsidRPr="003730B5" w:rsidRDefault="00697FF1" w:rsidP="00697FF1">
            <w:pPr>
              <w:keepNext/>
              <w:keepLines/>
              <w:rPr>
                <w:b/>
                <w:bCs/>
                <w:sz w:val="20"/>
                <w:lang w:val="fr-FR" w:eastAsia="en-GB"/>
              </w:rPr>
            </w:pPr>
            <w:r w:rsidRPr="003730B5">
              <w:rPr>
                <w:b/>
                <w:bCs/>
                <w:sz w:val="20"/>
                <w:lang w:val="fr-FR" w:eastAsia="en-GB"/>
              </w:rPr>
              <w:t>Veřejné VŠ A V.V.I.</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746D6B" w14:textId="77777777" w:rsidR="00697FF1" w:rsidRPr="003730B5" w:rsidRDefault="00697FF1" w:rsidP="00697FF1">
            <w:pPr>
              <w:keepNext/>
              <w:keepLines/>
              <w:rPr>
                <w:bCs/>
                <w:sz w:val="20"/>
                <w:lang w:val="en-GB" w:eastAsia="en-GB"/>
              </w:rPr>
            </w:pPr>
            <w:r w:rsidRPr="003730B5">
              <w:rPr>
                <w:bCs/>
                <w:sz w:val="20"/>
                <w:lang w:val="en-GB" w:eastAsia="en-GB"/>
              </w:rPr>
              <w:t>EFRR/FST/ESF+</w:t>
            </w:r>
          </w:p>
        </w:tc>
        <w:tc>
          <w:tcPr>
            <w:tcW w:w="3572" w:type="dxa"/>
            <w:tcBorders>
              <w:top w:val="nil"/>
              <w:left w:val="nil"/>
              <w:bottom w:val="single" w:sz="4" w:space="0" w:color="auto"/>
              <w:right w:val="single" w:sz="4" w:space="0" w:color="auto"/>
            </w:tcBorders>
            <w:shd w:val="clear" w:color="auto" w:fill="auto"/>
            <w:noWrap/>
            <w:vAlign w:val="center"/>
            <w:hideMark/>
          </w:tcPr>
          <w:p w14:paraId="60968D8B" w14:textId="19EC7BE3" w:rsidR="00697FF1" w:rsidRPr="003730B5" w:rsidRDefault="00697FF1" w:rsidP="00697FF1">
            <w:pPr>
              <w:keepNext/>
              <w:keepLines/>
              <w:rPr>
                <w:bCs/>
                <w:sz w:val="20"/>
                <w:lang w:val="en-GB" w:eastAsia="en-GB"/>
              </w:rPr>
            </w:pPr>
            <w:r w:rsidRPr="003730B5">
              <w:rPr>
                <w:bCs/>
                <w:sz w:val="20"/>
                <w:lang w:val="en-GB" w:eastAsia="en-GB"/>
              </w:rPr>
              <w:t>MÉNĚ ROZVINUTÉ</w:t>
            </w:r>
          </w:p>
        </w:tc>
        <w:tc>
          <w:tcPr>
            <w:tcW w:w="851" w:type="dxa"/>
            <w:tcBorders>
              <w:top w:val="nil"/>
              <w:left w:val="nil"/>
              <w:bottom w:val="single" w:sz="4" w:space="0" w:color="auto"/>
              <w:right w:val="single" w:sz="4" w:space="0" w:color="auto"/>
            </w:tcBorders>
            <w:shd w:val="clear" w:color="auto" w:fill="auto"/>
            <w:noWrap/>
            <w:vAlign w:val="center"/>
            <w:hideMark/>
          </w:tcPr>
          <w:p w14:paraId="0AC0E817" w14:textId="77777777" w:rsidR="00697FF1" w:rsidRPr="003730B5" w:rsidRDefault="00697FF1" w:rsidP="00697FF1">
            <w:pPr>
              <w:keepNext/>
              <w:keepLines/>
              <w:jc w:val="center"/>
              <w:rPr>
                <w:bCs/>
                <w:sz w:val="20"/>
                <w:lang w:val="en-GB" w:eastAsia="en-GB"/>
              </w:rPr>
            </w:pPr>
            <w:r w:rsidRPr="003730B5">
              <w:rPr>
                <w:bCs/>
                <w:sz w:val="20"/>
                <w:lang w:val="en-GB" w:eastAsia="en-GB"/>
              </w:rPr>
              <w:t>85%</w:t>
            </w:r>
          </w:p>
        </w:tc>
        <w:tc>
          <w:tcPr>
            <w:tcW w:w="992" w:type="dxa"/>
            <w:tcBorders>
              <w:top w:val="nil"/>
              <w:left w:val="nil"/>
              <w:bottom w:val="single" w:sz="4" w:space="0" w:color="auto"/>
              <w:right w:val="single" w:sz="4" w:space="0" w:color="auto"/>
            </w:tcBorders>
            <w:shd w:val="clear" w:color="auto" w:fill="auto"/>
            <w:noWrap/>
            <w:vAlign w:val="center"/>
            <w:hideMark/>
          </w:tcPr>
          <w:p w14:paraId="25945E9F"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c>
          <w:tcPr>
            <w:tcW w:w="850" w:type="dxa"/>
            <w:tcBorders>
              <w:top w:val="nil"/>
              <w:left w:val="nil"/>
              <w:bottom w:val="single" w:sz="4" w:space="0" w:color="auto"/>
              <w:right w:val="single" w:sz="4" w:space="0" w:color="auto"/>
            </w:tcBorders>
            <w:shd w:val="clear" w:color="auto" w:fill="auto"/>
            <w:noWrap/>
            <w:vAlign w:val="center"/>
            <w:hideMark/>
          </w:tcPr>
          <w:p w14:paraId="47FED04E" w14:textId="77777777" w:rsidR="00697FF1" w:rsidRPr="003730B5" w:rsidRDefault="00697FF1" w:rsidP="00697FF1">
            <w:pPr>
              <w:keepNext/>
              <w:keepLines/>
              <w:jc w:val="center"/>
              <w:rPr>
                <w:bCs/>
                <w:sz w:val="20"/>
                <w:lang w:val="en-GB" w:eastAsia="en-GB"/>
              </w:rPr>
            </w:pPr>
            <w:r w:rsidRPr="003730B5">
              <w:rPr>
                <w:bCs/>
                <w:sz w:val="20"/>
                <w:lang w:val="en-GB" w:eastAsia="en-GB"/>
              </w:rPr>
              <w:t>10%</w:t>
            </w:r>
          </w:p>
        </w:tc>
      </w:tr>
      <w:tr w:rsidR="00697FF1" w:rsidRPr="003730B5" w14:paraId="1AF71CF5"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6CED2F99" w14:textId="77777777" w:rsidR="00697FF1" w:rsidRPr="003730B5" w:rsidRDefault="00697FF1" w:rsidP="00697FF1">
            <w:pPr>
              <w:keepNext/>
              <w:keepLines/>
              <w:rPr>
                <w:b/>
                <w:bCs/>
                <w:sz w:val="20"/>
                <w:lang w:val="en-GB"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6247E4AF"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7B1D012F" w14:textId="23FF587F" w:rsidR="00697FF1" w:rsidRPr="003730B5" w:rsidRDefault="00697FF1" w:rsidP="00697FF1">
            <w:pPr>
              <w:keepNext/>
              <w:keepLines/>
              <w:rPr>
                <w:bCs/>
                <w:sz w:val="20"/>
                <w:lang w:val="en-GB" w:eastAsia="en-GB"/>
              </w:rPr>
            </w:pPr>
            <w:r w:rsidRPr="003730B5">
              <w:rPr>
                <w:bCs/>
                <w:sz w:val="20"/>
                <w:lang w:val="en-GB" w:eastAsia="en-GB"/>
              </w:rPr>
              <w:t>PŘECHODOVÉ</w:t>
            </w:r>
          </w:p>
        </w:tc>
        <w:tc>
          <w:tcPr>
            <w:tcW w:w="851" w:type="dxa"/>
            <w:tcBorders>
              <w:top w:val="nil"/>
              <w:left w:val="nil"/>
              <w:bottom w:val="single" w:sz="4" w:space="0" w:color="auto"/>
              <w:right w:val="single" w:sz="4" w:space="0" w:color="auto"/>
            </w:tcBorders>
            <w:shd w:val="clear" w:color="auto" w:fill="auto"/>
            <w:noWrap/>
            <w:vAlign w:val="center"/>
            <w:hideMark/>
          </w:tcPr>
          <w:p w14:paraId="22C372B2" w14:textId="77777777" w:rsidR="00697FF1" w:rsidRPr="003730B5" w:rsidRDefault="00697FF1" w:rsidP="00697FF1">
            <w:pPr>
              <w:keepNext/>
              <w:keepLines/>
              <w:jc w:val="center"/>
              <w:rPr>
                <w:bCs/>
                <w:sz w:val="20"/>
                <w:lang w:val="en-GB" w:eastAsia="en-GB"/>
              </w:rPr>
            </w:pPr>
            <w:r w:rsidRPr="003730B5">
              <w:rPr>
                <w:bCs/>
                <w:sz w:val="20"/>
                <w:lang w:val="en-GB" w:eastAsia="en-GB"/>
              </w:rPr>
              <w:t>70%</w:t>
            </w:r>
          </w:p>
        </w:tc>
        <w:tc>
          <w:tcPr>
            <w:tcW w:w="992" w:type="dxa"/>
            <w:tcBorders>
              <w:top w:val="nil"/>
              <w:left w:val="nil"/>
              <w:bottom w:val="single" w:sz="4" w:space="0" w:color="auto"/>
              <w:right w:val="single" w:sz="4" w:space="0" w:color="auto"/>
            </w:tcBorders>
            <w:shd w:val="clear" w:color="auto" w:fill="auto"/>
            <w:noWrap/>
            <w:vAlign w:val="center"/>
            <w:hideMark/>
          </w:tcPr>
          <w:p w14:paraId="3F13CBA4"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c>
          <w:tcPr>
            <w:tcW w:w="850" w:type="dxa"/>
            <w:tcBorders>
              <w:top w:val="nil"/>
              <w:left w:val="nil"/>
              <w:bottom w:val="single" w:sz="4" w:space="0" w:color="auto"/>
              <w:right w:val="single" w:sz="4" w:space="0" w:color="auto"/>
            </w:tcBorders>
            <w:shd w:val="clear" w:color="auto" w:fill="auto"/>
            <w:noWrap/>
            <w:vAlign w:val="center"/>
            <w:hideMark/>
          </w:tcPr>
          <w:p w14:paraId="75781629" w14:textId="77777777" w:rsidR="00697FF1" w:rsidRPr="003730B5" w:rsidRDefault="00697FF1" w:rsidP="00697FF1">
            <w:pPr>
              <w:keepNext/>
              <w:keepLines/>
              <w:jc w:val="center"/>
              <w:rPr>
                <w:bCs/>
                <w:sz w:val="20"/>
                <w:lang w:val="en-GB" w:eastAsia="en-GB"/>
              </w:rPr>
            </w:pPr>
            <w:r w:rsidRPr="003730B5">
              <w:rPr>
                <w:bCs/>
                <w:sz w:val="20"/>
                <w:lang w:val="en-GB" w:eastAsia="en-GB"/>
              </w:rPr>
              <w:t>25%</w:t>
            </w:r>
          </w:p>
        </w:tc>
      </w:tr>
      <w:tr w:rsidR="00930703" w:rsidRPr="003730B5" w14:paraId="519A21EA"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151E9270" w14:textId="77777777" w:rsidR="00697FF1" w:rsidRPr="003730B5" w:rsidRDefault="00697FF1" w:rsidP="00697FF1">
            <w:pPr>
              <w:keepNext/>
              <w:keepLines/>
              <w:rPr>
                <w:b/>
                <w:bCs/>
                <w:sz w:val="20"/>
                <w:lang w:val="en-GB"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50E48557"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69DC2C5A" w14:textId="15F2C60C" w:rsidR="00697FF1" w:rsidRPr="003730B5" w:rsidRDefault="00697FF1" w:rsidP="00697FF1">
            <w:pPr>
              <w:keepNext/>
              <w:keepLines/>
              <w:rPr>
                <w:bCs/>
                <w:sz w:val="20"/>
                <w:lang w:val="en-GB" w:eastAsia="en-GB"/>
              </w:rPr>
            </w:pPr>
            <w:r w:rsidRPr="003730B5">
              <w:rPr>
                <w:bCs/>
                <w:sz w:val="20"/>
                <w:lang w:val="en-GB" w:eastAsia="en-GB"/>
              </w:rPr>
              <w:t>ROZVINUTĚJŠÁ (PRAHA)</w:t>
            </w:r>
          </w:p>
        </w:tc>
        <w:tc>
          <w:tcPr>
            <w:tcW w:w="851" w:type="dxa"/>
            <w:tcBorders>
              <w:top w:val="nil"/>
              <w:left w:val="nil"/>
              <w:bottom w:val="single" w:sz="4" w:space="0" w:color="auto"/>
              <w:right w:val="single" w:sz="4" w:space="0" w:color="auto"/>
            </w:tcBorders>
            <w:shd w:val="clear" w:color="auto" w:fill="auto"/>
            <w:noWrap/>
            <w:vAlign w:val="center"/>
            <w:hideMark/>
          </w:tcPr>
          <w:p w14:paraId="3E9E590E" w14:textId="77777777" w:rsidR="00697FF1" w:rsidRPr="003730B5" w:rsidRDefault="00697FF1" w:rsidP="00697FF1">
            <w:pPr>
              <w:keepNext/>
              <w:keepLines/>
              <w:jc w:val="center"/>
              <w:rPr>
                <w:bCs/>
                <w:sz w:val="20"/>
                <w:lang w:val="en-GB" w:eastAsia="en-GB"/>
              </w:rPr>
            </w:pPr>
            <w:r w:rsidRPr="003730B5">
              <w:rPr>
                <w:bCs/>
                <w:sz w:val="20"/>
                <w:lang w:val="en-GB" w:eastAsia="en-GB"/>
              </w:rPr>
              <w:t>40%</w:t>
            </w:r>
          </w:p>
        </w:tc>
        <w:tc>
          <w:tcPr>
            <w:tcW w:w="992" w:type="dxa"/>
            <w:tcBorders>
              <w:top w:val="nil"/>
              <w:left w:val="nil"/>
              <w:bottom w:val="single" w:sz="4" w:space="0" w:color="auto"/>
              <w:right w:val="single" w:sz="4" w:space="0" w:color="auto"/>
            </w:tcBorders>
            <w:shd w:val="clear" w:color="auto" w:fill="auto"/>
            <w:noWrap/>
            <w:vAlign w:val="center"/>
            <w:hideMark/>
          </w:tcPr>
          <w:p w14:paraId="5BCB3830"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c>
          <w:tcPr>
            <w:tcW w:w="850" w:type="dxa"/>
            <w:tcBorders>
              <w:top w:val="nil"/>
              <w:left w:val="nil"/>
              <w:bottom w:val="single" w:sz="4" w:space="0" w:color="auto"/>
              <w:right w:val="single" w:sz="4" w:space="0" w:color="auto"/>
            </w:tcBorders>
            <w:shd w:val="clear" w:color="auto" w:fill="auto"/>
            <w:noWrap/>
            <w:vAlign w:val="center"/>
            <w:hideMark/>
          </w:tcPr>
          <w:p w14:paraId="1E377BEE" w14:textId="77777777" w:rsidR="00697FF1" w:rsidRPr="003730B5" w:rsidRDefault="00697FF1" w:rsidP="00697FF1">
            <w:pPr>
              <w:keepNext/>
              <w:keepLines/>
              <w:jc w:val="center"/>
              <w:rPr>
                <w:bCs/>
                <w:sz w:val="20"/>
                <w:lang w:val="en-GB" w:eastAsia="en-GB"/>
              </w:rPr>
            </w:pPr>
            <w:r w:rsidRPr="003730B5">
              <w:rPr>
                <w:bCs/>
                <w:sz w:val="20"/>
                <w:lang w:val="en-GB" w:eastAsia="en-GB"/>
              </w:rPr>
              <w:t>55%</w:t>
            </w:r>
          </w:p>
        </w:tc>
      </w:tr>
      <w:tr w:rsidR="00697FF1" w:rsidRPr="003730B5" w14:paraId="16B66FA4" w14:textId="77777777" w:rsidTr="00A24C00">
        <w:trPr>
          <w:trHeight w:val="300"/>
          <w:jc w:val="center"/>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211400A6" w14:textId="77777777" w:rsidR="00697FF1" w:rsidRPr="003730B5" w:rsidRDefault="00697FF1" w:rsidP="00697FF1">
            <w:pPr>
              <w:keepNext/>
              <w:keepLines/>
              <w:rPr>
                <w:b/>
                <w:bCs/>
                <w:sz w:val="20"/>
                <w:lang w:eastAsia="en-GB"/>
              </w:rPr>
            </w:pPr>
            <w:r w:rsidRPr="003730B5">
              <w:rPr>
                <w:b/>
                <w:bCs/>
                <w:sz w:val="20"/>
                <w:lang w:eastAsia="en-GB"/>
              </w:rPr>
              <w:t>Veřejně prospěšná činnost</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69B6B3" w14:textId="77777777" w:rsidR="00697FF1" w:rsidRPr="003730B5" w:rsidRDefault="00697FF1" w:rsidP="00697FF1">
            <w:pPr>
              <w:keepNext/>
              <w:keepLines/>
              <w:rPr>
                <w:bCs/>
                <w:sz w:val="20"/>
                <w:lang w:val="en-GB" w:eastAsia="en-GB"/>
              </w:rPr>
            </w:pPr>
            <w:r w:rsidRPr="003730B5">
              <w:rPr>
                <w:bCs/>
                <w:sz w:val="20"/>
                <w:lang w:val="en-GB" w:eastAsia="en-GB"/>
              </w:rPr>
              <w:t>EFRR/FST/ESF+</w:t>
            </w:r>
          </w:p>
        </w:tc>
        <w:tc>
          <w:tcPr>
            <w:tcW w:w="3572" w:type="dxa"/>
            <w:tcBorders>
              <w:top w:val="nil"/>
              <w:left w:val="nil"/>
              <w:bottom w:val="single" w:sz="4" w:space="0" w:color="auto"/>
              <w:right w:val="single" w:sz="4" w:space="0" w:color="auto"/>
            </w:tcBorders>
            <w:shd w:val="clear" w:color="auto" w:fill="auto"/>
            <w:noWrap/>
            <w:vAlign w:val="center"/>
            <w:hideMark/>
          </w:tcPr>
          <w:p w14:paraId="4D92B510" w14:textId="4ACB3D3F" w:rsidR="00697FF1" w:rsidRPr="003730B5" w:rsidRDefault="00697FF1" w:rsidP="00697FF1">
            <w:pPr>
              <w:keepNext/>
              <w:keepLines/>
              <w:rPr>
                <w:bCs/>
                <w:sz w:val="20"/>
                <w:lang w:val="en-GB" w:eastAsia="en-GB"/>
              </w:rPr>
            </w:pPr>
            <w:r w:rsidRPr="003730B5">
              <w:rPr>
                <w:bCs/>
                <w:sz w:val="20"/>
                <w:lang w:val="en-GB" w:eastAsia="en-GB"/>
              </w:rPr>
              <w:t>MÉNĚ ROZVINUTÉ</w:t>
            </w:r>
          </w:p>
        </w:tc>
        <w:tc>
          <w:tcPr>
            <w:tcW w:w="851" w:type="dxa"/>
            <w:tcBorders>
              <w:top w:val="nil"/>
              <w:left w:val="nil"/>
              <w:bottom w:val="single" w:sz="4" w:space="0" w:color="auto"/>
              <w:right w:val="single" w:sz="4" w:space="0" w:color="auto"/>
            </w:tcBorders>
            <w:shd w:val="clear" w:color="auto" w:fill="auto"/>
            <w:noWrap/>
            <w:vAlign w:val="bottom"/>
            <w:hideMark/>
          </w:tcPr>
          <w:p w14:paraId="1038FDF5" w14:textId="77777777" w:rsidR="00697FF1" w:rsidRPr="003730B5" w:rsidRDefault="00697FF1" w:rsidP="00697FF1">
            <w:pPr>
              <w:keepNext/>
              <w:keepLines/>
              <w:jc w:val="center"/>
              <w:rPr>
                <w:bCs/>
                <w:sz w:val="20"/>
                <w:lang w:val="en-GB" w:eastAsia="en-GB"/>
              </w:rPr>
            </w:pPr>
            <w:r w:rsidRPr="003730B5">
              <w:rPr>
                <w:bCs/>
                <w:sz w:val="20"/>
                <w:lang w:val="en-GB" w:eastAsia="en-GB"/>
              </w:rPr>
              <w:t>85%</w:t>
            </w:r>
          </w:p>
        </w:tc>
        <w:tc>
          <w:tcPr>
            <w:tcW w:w="992" w:type="dxa"/>
            <w:tcBorders>
              <w:top w:val="nil"/>
              <w:left w:val="nil"/>
              <w:bottom w:val="single" w:sz="4" w:space="0" w:color="auto"/>
              <w:right w:val="single" w:sz="4" w:space="0" w:color="auto"/>
            </w:tcBorders>
            <w:shd w:val="clear" w:color="auto" w:fill="auto"/>
            <w:noWrap/>
            <w:vAlign w:val="bottom"/>
            <w:hideMark/>
          </w:tcPr>
          <w:p w14:paraId="75735CFE"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c>
          <w:tcPr>
            <w:tcW w:w="850" w:type="dxa"/>
            <w:tcBorders>
              <w:top w:val="nil"/>
              <w:left w:val="nil"/>
              <w:bottom w:val="single" w:sz="4" w:space="0" w:color="auto"/>
              <w:right w:val="single" w:sz="4" w:space="0" w:color="auto"/>
            </w:tcBorders>
            <w:shd w:val="clear" w:color="auto" w:fill="auto"/>
            <w:noWrap/>
            <w:vAlign w:val="bottom"/>
            <w:hideMark/>
          </w:tcPr>
          <w:p w14:paraId="65C376EE" w14:textId="77777777" w:rsidR="00697FF1" w:rsidRPr="003730B5" w:rsidRDefault="00697FF1" w:rsidP="00697FF1">
            <w:pPr>
              <w:keepNext/>
              <w:keepLines/>
              <w:jc w:val="center"/>
              <w:rPr>
                <w:bCs/>
                <w:sz w:val="20"/>
                <w:lang w:val="en-GB" w:eastAsia="en-GB"/>
              </w:rPr>
            </w:pPr>
            <w:r w:rsidRPr="003730B5">
              <w:rPr>
                <w:bCs/>
                <w:sz w:val="20"/>
                <w:lang w:val="en-GB" w:eastAsia="en-GB"/>
              </w:rPr>
              <w:t>10%</w:t>
            </w:r>
          </w:p>
        </w:tc>
      </w:tr>
      <w:tr w:rsidR="00697FF1" w:rsidRPr="003730B5" w14:paraId="32431468"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6FE59E9F" w14:textId="77777777" w:rsidR="00697FF1" w:rsidRPr="003730B5" w:rsidRDefault="00697FF1" w:rsidP="00697FF1">
            <w:pPr>
              <w:keepNext/>
              <w:keepLines/>
              <w:rPr>
                <w:b/>
                <w:bCs/>
                <w:sz w:val="20"/>
                <w:lang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570334DE"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31101346" w14:textId="0A6C11A6" w:rsidR="00697FF1" w:rsidRPr="003730B5" w:rsidRDefault="00697FF1" w:rsidP="00697FF1">
            <w:pPr>
              <w:keepNext/>
              <w:keepLines/>
              <w:rPr>
                <w:bCs/>
                <w:sz w:val="20"/>
                <w:lang w:val="en-GB" w:eastAsia="en-GB"/>
              </w:rPr>
            </w:pPr>
            <w:r w:rsidRPr="003730B5">
              <w:rPr>
                <w:bCs/>
                <w:sz w:val="20"/>
                <w:lang w:val="en-GB" w:eastAsia="en-GB"/>
              </w:rPr>
              <w:t>PŘECHODOVÉ</w:t>
            </w:r>
          </w:p>
        </w:tc>
        <w:tc>
          <w:tcPr>
            <w:tcW w:w="851" w:type="dxa"/>
            <w:tcBorders>
              <w:top w:val="nil"/>
              <w:left w:val="nil"/>
              <w:bottom w:val="single" w:sz="4" w:space="0" w:color="auto"/>
              <w:right w:val="single" w:sz="4" w:space="0" w:color="auto"/>
            </w:tcBorders>
            <w:shd w:val="clear" w:color="auto" w:fill="auto"/>
            <w:noWrap/>
            <w:vAlign w:val="bottom"/>
            <w:hideMark/>
          </w:tcPr>
          <w:p w14:paraId="50C02A1D" w14:textId="77777777" w:rsidR="00697FF1" w:rsidRPr="003730B5" w:rsidRDefault="00697FF1" w:rsidP="00697FF1">
            <w:pPr>
              <w:keepNext/>
              <w:keepLines/>
              <w:jc w:val="center"/>
              <w:rPr>
                <w:bCs/>
                <w:sz w:val="20"/>
                <w:lang w:val="en-GB" w:eastAsia="en-GB"/>
              </w:rPr>
            </w:pPr>
            <w:r w:rsidRPr="003730B5">
              <w:rPr>
                <w:bCs/>
                <w:sz w:val="20"/>
                <w:lang w:val="en-GB" w:eastAsia="en-GB"/>
              </w:rPr>
              <w:t>70%</w:t>
            </w:r>
          </w:p>
        </w:tc>
        <w:tc>
          <w:tcPr>
            <w:tcW w:w="992" w:type="dxa"/>
            <w:tcBorders>
              <w:top w:val="nil"/>
              <w:left w:val="nil"/>
              <w:bottom w:val="single" w:sz="4" w:space="0" w:color="auto"/>
              <w:right w:val="single" w:sz="4" w:space="0" w:color="auto"/>
            </w:tcBorders>
            <w:shd w:val="clear" w:color="auto" w:fill="auto"/>
            <w:noWrap/>
            <w:vAlign w:val="bottom"/>
            <w:hideMark/>
          </w:tcPr>
          <w:p w14:paraId="771C7186"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c>
          <w:tcPr>
            <w:tcW w:w="850" w:type="dxa"/>
            <w:tcBorders>
              <w:top w:val="nil"/>
              <w:left w:val="nil"/>
              <w:bottom w:val="single" w:sz="4" w:space="0" w:color="auto"/>
              <w:right w:val="single" w:sz="4" w:space="0" w:color="auto"/>
            </w:tcBorders>
            <w:shd w:val="clear" w:color="auto" w:fill="auto"/>
            <w:noWrap/>
            <w:vAlign w:val="bottom"/>
            <w:hideMark/>
          </w:tcPr>
          <w:p w14:paraId="193C1D77" w14:textId="77777777" w:rsidR="00697FF1" w:rsidRPr="003730B5" w:rsidRDefault="00697FF1" w:rsidP="00697FF1">
            <w:pPr>
              <w:keepNext/>
              <w:keepLines/>
              <w:jc w:val="center"/>
              <w:rPr>
                <w:bCs/>
                <w:sz w:val="20"/>
                <w:lang w:val="en-GB" w:eastAsia="en-GB"/>
              </w:rPr>
            </w:pPr>
            <w:r w:rsidRPr="003730B5">
              <w:rPr>
                <w:bCs/>
                <w:sz w:val="20"/>
                <w:lang w:val="en-GB" w:eastAsia="en-GB"/>
              </w:rPr>
              <w:t>25%</w:t>
            </w:r>
          </w:p>
        </w:tc>
      </w:tr>
      <w:tr w:rsidR="00930703" w:rsidRPr="003730B5" w14:paraId="119BCD7D"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527299C5" w14:textId="77777777" w:rsidR="00697FF1" w:rsidRPr="003730B5" w:rsidRDefault="00697FF1" w:rsidP="00697FF1">
            <w:pPr>
              <w:keepNext/>
              <w:keepLines/>
              <w:rPr>
                <w:b/>
                <w:bCs/>
                <w:sz w:val="20"/>
                <w:lang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1181F90E"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423C436F" w14:textId="6EEDD469" w:rsidR="00697FF1" w:rsidRPr="003730B5" w:rsidRDefault="00697FF1" w:rsidP="00697FF1">
            <w:pPr>
              <w:keepNext/>
              <w:keepLines/>
              <w:rPr>
                <w:bCs/>
                <w:sz w:val="20"/>
                <w:lang w:val="en-GB" w:eastAsia="en-GB"/>
              </w:rPr>
            </w:pPr>
            <w:r w:rsidRPr="003730B5">
              <w:rPr>
                <w:bCs/>
                <w:sz w:val="20"/>
                <w:lang w:val="en-GB" w:eastAsia="en-GB"/>
              </w:rPr>
              <w:t>ROZVINUTĚJŠÁ (PRAHA)</w:t>
            </w:r>
          </w:p>
        </w:tc>
        <w:tc>
          <w:tcPr>
            <w:tcW w:w="851" w:type="dxa"/>
            <w:tcBorders>
              <w:top w:val="nil"/>
              <w:left w:val="nil"/>
              <w:bottom w:val="single" w:sz="4" w:space="0" w:color="auto"/>
              <w:right w:val="single" w:sz="4" w:space="0" w:color="auto"/>
            </w:tcBorders>
            <w:shd w:val="clear" w:color="auto" w:fill="auto"/>
            <w:noWrap/>
            <w:vAlign w:val="bottom"/>
            <w:hideMark/>
          </w:tcPr>
          <w:p w14:paraId="1CF3DFC1" w14:textId="77777777" w:rsidR="00697FF1" w:rsidRPr="003730B5" w:rsidRDefault="00697FF1" w:rsidP="00697FF1">
            <w:pPr>
              <w:keepNext/>
              <w:keepLines/>
              <w:jc w:val="center"/>
              <w:rPr>
                <w:bCs/>
                <w:sz w:val="20"/>
                <w:lang w:val="en-GB" w:eastAsia="en-GB"/>
              </w:rPr>
            </w:pPr>
            <w:r w:rsidRPr="003730B5">
              <w:rPr>
                <w:bCs/>
                <w:sz w:val="20"/>
                <w:lang w:val="en-GB" w:eastAsia="en-GB"/>
              </w:rPr>
              <w:t>40%</w:t>
            </w:r>
          </w:p>
        </w:tc>
        <w:tc>
          <w:tcPr>
            <w:tcW w:w="992" w:type="dxa"/>
            <w:tcBorders>
              <w:top w:val="nil"/>
              <w:left w:val="nil"/>
              <w:bottom w:val="single" w:sz="4" w:space="0" w:color="auto"/>
              <w:right w:val="single" w:sz="4" w:space="0" w:color="auto"/>
            </w:tcBorders>
            <w:shd w:val="clear" w:color="auto" w:fill="auto"/>
            <w:noWrap/>
            <w:vAlign w:val="bottom"/>
            <w:hideMark/>
          </w:tcPr>
          <w:p w14:paraId="52DBAE34"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c>
          <w:tcPr>
            <w:tcW w:w="850" w:type="dxa"/>
            <w:tcBorders>
              <w:top w:val="nil"/>
              <w:left w:val="nil"/>
              <w:bottom w:val="single" w:sz="4" w:space="0" w:color="auto"/>
              <w:right w:val="single" w:sz="4" w:space="0" w:color="auto"/>
            </w:tcBorders>
            <w:shd w:val="clear" w:color="auto" w:fill="auto"/>
            <w:noWrap/>
            <w:vAlign w:val="bottom"/>
            <w:hideMark/>
          </w:tcPr>
          <w:p w14:paraId="50B6D87B" w14:textId="77777777" w:rsidR="00697FF1" w:rsidRPr="003730B5" w:rsidRDefault="00697FF1" w:rsidP="00697FF1">
            <w:pPr>
              <w:keepNext/>
              <w:keepLines/>
              <w:jc w:val="center"/>
              <w:rPr>
                <w:bCs/>
                <w:sz w:val="20"/>
                <w:lang w:val="en-GB" w:eastAsia="en-GB"/>
              </w:rPr>
            </w:pPr>
            <w:r w:rsidRPr="003730B5">
              <w:rPr>
                <w:bCs/>
                <w:sz w:val="20"/>
                <w:lang w:val="en-GB" w:eastAsia="en-GB"/>
              </w:rPr>
              <w:t>55%</w:t>
            </w:r>
          </w:p>
        </w:tc>
      </w:tr>
      <w:tr w:rsidR="00697FF1" w:rsidRPr="003730B5" w14:paraId="52047E4C" w14:textId="77777777" w:rsidTr="00A24C00">
        <w:trPr>
          <w:trHeight w:val="300"/>
          <w:jc w:val="center"/>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2126EFFB" w14:textId="77777777" w:rsidR="00697FF1" w:rsidRPr="003730B5" w:rsidRDefault="00697FF1" w:rsidP="00697FF1">
            <w:pPr>
              <w:keepNext/>
              <w:keepLines/>
              <w:rPr>
                <w:b/>
                <w:bCs/>
                <w:sz w:val="20"/>
                <w:lang w:eastAsia="en-GB"/>
              </w:rPr>
            </w:pPr>
            <w:r w:rsidRPr="003730B5">
              <w:rPr>
                <w:b/>
                <w:bCs/>
                <w:sz w:val="20"/>
                <w:lang w:eastAsia="en-GB"/>
              </w:rPr>
              <w:t>Subjekty realizující územní dimenzi</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D1332B" w14:textId="77777777" w:rsidR="00697FF1" w:rsidRPr="003730B5" w:rsidRDefault="00697FF1" w:rsidP="00697FF1">
            <w:pPr>
              <w:keepNext/>
              <w:keepLines/>
              <w:rPr>
                <w:bCs/>
                <w:sz w:val="20"/>
                <w:lang w:val="en-GB" w:eastAsia="en-GB"/>
              </w:rPr>
            </w:pPr>
            <w:r w:rsidRPr="003730B5">
              <w:rPr>
                <w:bCs/>
                <w:sz w:val="20"/>
                <w:lang w:val="en-GB" w:eastAsia="en-GB"/>
              </w:rPr>
              <w:t>EFRR/FST/ESF+</w:t>
            </w:r>
          </w:p>
        </w:tc>
        <w:tc>
          <w:tcPr>
            <w:tcW w:w="3572" w:type="dxa"/>
            <w:tcBorders>
              <w:top w:val="nil"/>
              <w:left w:val="nil"/>
              <w:bottom w:val="single" w:sz="4" w:space="0" w:color="auto"/>
              <w:right w:val="single" w:sz="4" w:space="0" w:color="auto"/>
            </w:tcBorders>
            <w:shd w:val="clear" w:color="auto" w:fill="auto"/>
            <w:noWrap/>
            <w:vAlign w:val="center"/>
            <w:hideMark/>
          </w:tcPr>
          <w:p w14:paraId="0DA4E14D" w14:textId="0F1CF143" w:rsidR="00697FF1" w:rsidRPr="003730B5" w:rsidRDefault="00697FF1" w:rsidP="00697FF1">
            <w:pPr>
              <w:keepNext/>
              <w:keepLines/>
              <w:rPr>
                <w:bCs/>
                <w:sz w:val="20"/>
                <w:lang w:val="en-GB" w:eastAsia="en-GB"/>
              </w:rPr>
            </w:pPr>
            <w:r w:rsidRPr="003730B5">
              <w:rPr>
                <w:bCs/>
                <w:sz w:val="20"/>
                <w:lang w:val="en-GB" w:eastAsia="en-GB"/>
              </w:rPr>
              <w:t>MÉNĚ ROZVINUTÉ</w:t>
            </w:r>
          </w:p>
        </w:tc>
        <w:tc>
          <w:tcPr>
            <w:tcW w:w="851" w:type="dxa"/>
            <w:tcBorders>
              <w:top w:val="nil"/>
              <w:left w:val="nil"/>
              <w:bottom w:val="single" w:sz="4" w:space="0" w:color="auto"/>
              <w:right w:val="single" w:sz="4" w:space="0" w:color="auto"/>
            </w:tcBorders>
            <w:shd w:val="clear" w:color="auto" w:fill="auto"/>
            <w:noWrap/>
            <w:vAlign w:val="bottom"/>
            <w:hideMark/>
          </w:tcPr>
          <w:p w14:paraId="0963F103" w14:textId="77777777" w:rsidR="00697FF1" w:rsidRPr="003730B5" w:rsidRDefault="00697FF1" w:rsidP="00697FF1">
            <w:pPr>
              <w:keepNext/>
              <w:keepLines/>
              <w:jc w:val="center"/>
              <w:rPr>
                <w:bCs/>
                <w:sz w:val="20"/>
                <w:lang w:val="en-GB" w:eastAsia="en-GB"/>
              </w:rPr>
            </w:pPr>
            <w:r w:rsidRPr="003730B5">
              <w:rPr>
                <w:bCs/>
                <w:sz w:val="20"/>
                <w:lang w:val="en-GB" w:eastAsia="en-GB"/>
              </w:rPr>
              <w:t>65%</w:t>
            </w:r>
          </w:p>
        </w:tc>
        <w:tc>
          <w:tcPr>
            <w:tcW w:w="992" w:type="dxa"/>
            <w:tcBorders>
              <w:top w:val="nil"/>
              <w:left w:val="nil"/>
              <w:bottom w:val="single" w:sz="4" w:space="0" w:color="auto"/>
              <w:right w:val="single" w:sz="4" w:space="0" w:color="auto"/>
            </w:tcBorders>
            <w:shd w:val="clear" w:color="auto" w:fill="auto"/>
            <w:noWrap/>
            <w:vAlign w:val="bottom"/>
            <w:hideMark/>
          </w:tcPr>
          <w:p w14:paraId="5A21AFBE"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c>
          <w:tcPr>
            <w:tcW w:w="850" w:type="dxa"/>
            <w:tcBorders>
              <w:top w:val="nil"/>
              <w:left w:val="nil"/>
              <w:bottom w:val="single" w:sz="4" w:space="0" w:color="auto"/>
              <w:right w:val="single" w:sz="4" w:space="0" w:color="auto"/>
            </w:tcBorders>
            <w:shd w:val="clear" w:color="auto" w:fill="auto"/>
            <w:noWrap/>
            <w:vAlign w:val="bottom"/>
            <w:hideMark/>
          </w:tcPr>
          <w:p w14:paraId="595FF9F1" w14:textId="77777777" w:rsidR="00697FF1" w:rsidRPr="003730B5" w:rsidRDefault="00697FF1" w:rsidP="00697FF1">
            <w:pPr>
              <w:keepNext/>
              <w:keepLines/>
              <w:jc w:val="center"/>
              <w:rPr>
                <w:bCs/>
                <w:sz w:val="20"/>
                <w:lang w:val="en-GB" w:eastAsia="en-GB"/>
              </w:rPr>
            </w:pPr>
            <w:r w:rsidRPr="003730B5">
              <w:rPr>
                <w:bCs/>
                <w:sz w:val="20"/>
                <w:lang w:val="en-GB" w:eastAsia="en-GB"/>
              </w:rPr>
              <w:t>30%</w:t>
            </w:r>
          </w:p>
        </w:tc>
      </w:tr>
      <w:tr w:rsidR="00697FF1" w:rsidRPr="003730B5" w14:paraId="17EF3204"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116E0B18" w14:textId="77777777" w:rsidR="00697FF1" w:rsidRPr="003730B5" w:rsidRDefault="00697FF1" w:rsidP="00697FF1">
            <w:pPr>
              <w:keepNext/>
              <w:keepLines/>
              <w:rPr>
                <w:b/>
                <w:bCs/>
                <w:sz w:val="20"/>
                <w:lang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45AC5742"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7F9C5A03" w14:textId="5E9B94A8" w:rsidR="00697FF1" w:rsidRPr="003730B5" w:rsidRDefault="00697FF1" w:rsidP="00697FF1">
            <w:pPr>
              <w:keepNext/>
              <w:keepLines/>
              <w:rPr>
                <w:bCs/>
                <w:sz w:val="20"/>
                <w:lang w:val="en-GB" w:eastAsia="en-GB"/>
              </w:rPr>
            </w:pPr>
            <w:r w:rsidRPr="003730B5">
              <w:rPr>
                <w:bCs/>
                <w:sz w:val="20"/>
                <w:lang w:val="en-GB" w:eastAsia="en-GB"/>
              </w:rPr>
              <w:t>PŘECHODOVÉ</w:t>
            </w:r>
          </w:p>
        </w:tc>
        <w:tc>
          <w:tcPr>
            <w:tcW w:w="851" w:type="dxa"/>
            <w:tcBorders>
              <w:top w:val="nil"/>
              <w:left w:val="nil"/>
              <w:bottom w:val="single" w:sz="4" w:space="0" w:color="auto"/>
              <w:right w:val="single" w:sz="4" w:space="0" w:color="auto"/>
            </w:tcBorders>
            <w:shd w:val="clear" w:color="auto" w:fill="auto"/>
            <w:noWrap/>
            <w:vAlign w:val="bottom"/>
            <w:hideMark/>
          </w:tcPr>
          <w:p w14:paraId="2C361988" w14:textId="77777777" w:rsidR="00697FF1" w:rsidRPr="003730B5" w:rsidRDefault="00697FF1" w:rsidP="00697FF1">
            <w:pPr>
              <w:keepNext/>
              <w:keepLines/>
              <w:jc w:val="center"/>
              <w:rPr>
                <w:bCs/>
                <w:sz w:val="20"/>
                <w:lang w:val="en-GB" w:eastAsia="en-GB"/>
              </w:rPr>
            </w:pPr>
            <w:r w:rsidRPr="003730B5">
              <w:rPr>
                <w:bCs/>
                <w:sz w:val="20"/>
                <w:lang w:val="en-GB" w:eastAsia="en-GB"/>
              </w:rPr>
              <w:t>65%</w:t>
            </w:r>
          </w:p>
        </w:tc>
        <w:tc>
          <w:tcPr>
            <w:tcW w:w="992" w:type="dxa"/>
            <w:tcBorders>
              <w:top w:val="nil"/>
              <w:left w:val="nil"/>
              <w:bottom w:val="single" w:sz="4" w:space="0" w:color="auto"/>
              <w:right w:val="single" w:sz="4" w:space="0" w:color="auto"/>
            </w:tcBorders>
            <w:shd w:val="clear" w:color="auto" w:fill="auto"/>
            <w:noWrap/>
            <w:vAlign w:val="bottom"/>
            <w:hideMark/>
          </w:tcPr>
          <w:p w14:paraId="327E3460"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c>
          <w:tcPr>
            <w:tcW w:w="850" w:type="dxa"/>
            <w:tcBorders>
              <w:top w:val="nil"/>
              <w:left w:val="nil"/>
              <w:bottom w:val="single" w:sz="4" w:space="0" w:color="auto"/>
              <w:right w:val="single" w:sz="4" w:space="0" w:color="auto"/>
            </w:tcBorders>
            <w:shd w:val="clear" w:color="auto" w:fill="auto"/>
            <w:noWrap/>
            <w:vAlign w:val="bottom"/>
            <w:hideMark/>
          </w:tcPr>
          <w:p w14:paraId="2EAC02AB" w14:textId="77777777" w:rsidR="00697FF1" w:rsidRPr="003730B5" w:rsidRDefault="00697FF1" w:rsidP="00697FF1">
            <w:pPr>
              <w:keepNext/>
              <w:keepLines/>
              <w:jc w:val="center"/>
              <w:rPr>
                <w:bCs/>
                <w:sz w:val="20"/>
                <w:lang w:val="en-GB" w:eastAsia="en-GB"/>
              </w:rPr>
            </w:pPr>
            <w:r w:rsidRPr="003730B5">
              <w:rPr>
                <w:bCs/>
                <w:sz w:val="20"/>
                <w:lang w:val="en-GB" w:eastAsia="en-GB"/>
              </w:rPr>
              <w:t>30%</w:t>
            </w:r>
          </w:p>
        </w:tc>
      </w:tr>
      <w:tr w:rsidR="00930703" w:rsidRPr="003730B5" w14:paraId="6300CA95"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4E5E7967" w14:textId="77777777" w:rsidR="00697FF1" w:rsidRPr="003730B5" w:rsidRDefault="00697FF1" w:rsidP="00697FF1">
            <w:pPr>
              <w:keepNext/>
              <w:keepLines/>
              <w:rPr>
                <w:b/>
                <w:bCs/>
                <w:sz w:val="20"/>
                <w:lang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196435DE"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34734A22" w14:textId="11A2C7A7" w:rsidR="00697FF1" w:rsidRPr="003730B5" w:rsidRDefault="00697FF1" w:rsidP="00697FF1">
            <w:pPr>
              <w:keepNext/>
              <w:keepLines/>
              <w:rPr>
                <w:bCs/>
                <w:sz w:val="20"/>
                <w:lang w:val="en-GB" w:eastAsia="en-GB"/>
              </w:rPr>
            </w:pPr>
            <w:r w:rsidRPr="003730B5">
              <w:rPr>
                <w:bCs/>
                <w:sz w:val="20"/>
                <w:lang w:val="en-GB" w:eastAsia="en-GB"/>
              </w:rPr>
              <w:t>ROZVINUTĚJŠÁ (PRAHA)</w:t>
            </w:r>
          </w:p>
        </w:tc>
        <w:tc>
          <w:tcPr>
            <w:tcW w:w="851" w:type="dxa"/>
            <w:tcBorders>
              <w:top w:val="nil"/>
              <w:left w:val="nil"/>
              <w:bottom w:val="single" w:sz="4" w:space="0" w:color="auto"/>
              <w:right w:val="single" w:sz="4" w:space="0" w:color="auto"/>
            </w:tcBorders>
            <w:shd w:val="clear" w:color="auto" w:fill="auto"/>
            <w:noWrap/>
            <w:vAlign w:val="bottom"/>
            <w:hideMark/>
          </w:tcPr>
          <w:p w14:paraId="45EFD4F1" w14:textId="77777777" w:rsidR="00697FF1" w:rsidRPr="003730B5" w:rsidRDefault="00697FF1" w:rsidP="00697FF1">
            <w:pPr>
              <w:keepNext/>
              <w:keepLines/>
              <w:jc w:val="center"/>
              <w:rPr>
                <w:bCs/>
                <w:sz w:val="20"/>
                <w:lang w:val="en-GB" w:eastAsia="en-GB"/>
              </w:rPr>
            </w:pPr>
            <w:r w:rsidRPr="003730B5">
              <w:rPr>
                <w:bCs/>
                <w:sz w:val="20"/>
                <w:lang w:val="en-GB" w:eastAsia="en-GB"/>
              </w:rPr>
              <w:t>40%</w:t>
            </w:r>
          </w:p>
        </w:tc>
        <w:tc>
          <w:tcPr>
            <w:tcW w:w="992" w:type="dxa"/>
            <w:tcBorders>
              <w:top w:val="nil"/>
              <w:left w:val="nil"/>
              <w:bottom w:val="single" w:sz="4" w:space="0" w:color="auto"/>
              <w:right w:val="single" w:sz="4" w:space="0" w:color="auto"/>
            </w:tcBorders>
            <w:shd w:val="clear" w:color="auto" w:fill="auto"/>
            <w:noWrap/>
            <w:vAlign w:val="bottom"/>
            <w:hideMark/>
          </w:tcPr>
          <w:p w14:paraId="1CC8EC2F"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c>
          <w:tcPr>
            <w:tcW w:w="850" w:type="dxa"/>
            <w:tcBorders>
              <w:top w:val="nil"/>
              <w:left w:val="nil"/>
              <w:bottom w:val="single" w:sz="4" w:space="0" w:color="auto"/>
              <w:right w:val="single" w:sz="4" w:space="0" w:color="auto"/>
            </w:tcBorders>
            <w:shd w:val="clear" w:color="auto" w:fill="auto"/>
            <w:noWrap/>
            <w:vAlign w:val="bottom"/>
            <w:hideMark/>
          </w:tcPr>
          <w:p w14:paraId="63197740" w14:textId="77777777" w:rsidR="00697FF1" w:rsidRPr="003730B5" w:rsidRDefault="00697FF1" w:rsidP="00697FF1">
            <w:pPr>
              <w:keepNext/>
              <w:keepLines/>
              <w:jc w:val="center"/>
              <w:rPr>
                <w:bCs/>
                <w:sz w:val="20"/>
                <w:lang w:val="en-GB" w:eastAsia="en-GB"/>
              </w:rPr>
            </w:pPr>
            <w:r w:rsidRPr="003730B5">
              <w:rPr>
                <w:bCs/>
                <w:sz w:val="20"/>
                <w:lang w:val="en-GB" w:eastAsia="en-GB"/>
              </w:rPr>
              <w:t>55%</w:t>
            </w:r>
          </w:p>
        </w:tc>
      </w:tr>
      <w:tr w:rsidR="00697FF1" w:rsidRPr="003730B5" w14:paraId="1B1503BA" w14:textId="77777777" w:rsidTr="00A24C00">
        <w:trPr>
          <w:trHeight w:val="300"/>
          <w:jc w:val="center"/>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3068AB65" w14:textId="77777777" w:rsidR="00697FF1" w:rsidRPr="003730B5" w:rsidRDefault="00697FF1" w:rsidP="00697FF1">
            <w:pPr>
              <w:keepNext/>
              <w:keepLines/>
              <w:rPr>
                <w:b/>
                <w:bCs/>
                <w:sz w:val="20"/>
                <w:lang w:eastAsia="en-GB"/>
              </w:rPr>
            </w:pPr>
            <w:r w:rsidRPr="003730B5">
              <w:rPr>
                <w:b/>
                <w:bCs/>
                <w:sz w:val="20"/>
                <w:lang w:eastAsia="en-GB"/>
              </w:rPr>
              <w:t>Obce</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83FF6F" w14:textId="77777777" w:rsidR="00697FF1" w:rsidRPr="003730B5" w:rsidRDefault="00697FF1" w:rsidP="00697FF1">
            <w:pPr>
              <w:keepNext/>
              <w:keepLines/>
              <w:rPr>
                <w:bCs/>
                <w:sz w:val="20"/>
                <w:lang w:val="en-GB" w:eastAsia="en-GB"/>
              </w:rPr>
            </w:pPr>
            <w:r w:rsidRPr="003730B5">
              <w:rPr>
                <w:bCs/>
                <w:sz w:val="20"/>
                <w:lang w:val="en-GB" w:eastAsia="en-GB"/>
              </w:rPr>
              <w:t>EFRR/FST</w:t>
            </w:r>
          </w:p>
        </w:tc>
        <w:tc>
          <w:tcPr>
            <w:tcW w:w="3572" w:type="dxa"/>
            <w:tcBorders>
              <w:top w:val="nil"/>
              <w:left w:val="nil"/>
              <w:bottom w:val="single" w:sz="4" w:space="0" w:color="auto"/>
              <w:right w:val="single" w:sz="4" w:space="0" w:color="auto"/>
            </w:tcBorders>
            <w:shd w:val="clear" w:color="auto" w:fill="auto"/>
            <w:noWrap/>
            <w:vAlign w:val="center"/>
            <w:hideMark/>
          </w:tcPr>
          <w:p w14:paraId="74EB1293" w14:textId="0FF9AFAB" w:rsidR="00697FF1" w:rsidRPr="003730B5" w:rsidRDefault="00697FF1" w:rsidP="00697FF1">
            <w:pPr>
              <w:keepNext/>
              <w:keepLines/>
              <w:rPr>
                <w:bCs/>
                <w:sz w:val="20"/>
                <w:lang w:val="en-GB" w:eastAsia="en-GB"/>
              </w:rPr>
            </w:pPr>
            <w:r w:rsidRPr="003730B5">
              <w:rPr>
                <w:bCs/>
                <w:sz w:val="20"/>
                <w:lang w:val="en-GB" w:eastAsia="en-GB"/>
              </w:rPr>
              <w:t>MÉNĚ ROZVINUTÉ</w:t>
            </w:r>
          </w:p>
        </w:tc>
        <w:tc>
          <w:tcPr>
            <w:tcW w:w="851" w:type="dxa"/>
            <w:tcBorders>
              <w:top w:val="nil"/>
              <w:left w:val="nil"/>
              <w:bottom w:val="single" w:sz="4" w:space="0" w:color="auto"/>
              <w:right w:val="single" w:sz="4" w:space="0" w:color="auto"/>
            </w:tcBorders>
            <w:shd w:val="clear" w:color="auto" w:fill="auto"/>
            <w:noWrap/>
            <w:vAlign w:val="bottom"/>
            <w:hideMark/>
          </w:tcPr>
          <w:p w14:paraId="793475A7" w14:textId="77777777" w:rsidR="00697FF1" w:rsidRPr="003730B5" w:rsidRDefault="00697FF1" w:rsidP="00697FF1">
            <w:pPr>
              <w:keepNext/>
              <w:keepLines/>
              <w:jc w:val="center"/>
              <w:rPr>
                <w:bCs/>
                <w:sz w:val="20"/>
                <w:lang w:val="en-GB" w:eastAsia="en-GB"/>
              </w:rPr>
            </w:pPr>
            <w:r w:rsidRPr="003730B5">
              <w:rPr>
                <w:bCs/>
                <w:sz w:val="20"/>
                <w:lang w:val="en-GB" w:eastAsia="en-GB"/>
              </w:rPr>
              <w:t>85%</w:t>
            </w:r>
          </w:p>
        </w:tc>
        <w:tc>
          <w:tcPr>
            <w:tcW w:w="992" w:type="dxa"/>
            <w:tcBorders>
              <w:top w:val="nil"/>
              <w:left w:val="nil"/>
              <w:bottom w:val="single" w:sz="4" w:space="0" w:color="auto"/>
              <w:right w:val="single" w:sz="4" w:space="0" w:color="auto"/>
            </w:tcBorders>
            <w:shd w:val="clear" w:color="auto" w:fill="auto"/>
            <w:noWrap/>
            <w:vAlign w:val="bottom"/>
            <w:hideMark/>
          </w:tcPr>
          <w:p w14:paraId="6C92895E" w14:textId="77777777" w:rsidR="00697FF1" w:rsidRPr="003730B5" w:rsidRDefault="00697FF1" w:rsidP="00697FF1">
            <w:pPr>
              <w:keepNext/>
              <w:keepLines/>
              <w:jc w:val="center"/>
              <w:rPr>
                <w:bCs/>
                <w:sz w:val="20"/>
                <w:lang w:val="en-GB" w:eastAsia="en-GB"/>
              </w:rPr>
            </w:pPr>
            <w:r w:rsidRPr="003730B5">
              <w:rPr>
                <w:bCs/>
                <w:sz w:val="20"/>
                <w:lang w:val="en-GB" w:eastAsia="en-GB"/>
              </w:rPr>
              <w:t>15%</w:t>
            </w:r>
          </w:p>
        </w:tc>
        <w:tc>
          <w:tcPr>
            <w:tcW w:w="850" w:type="dxa"/>
            <w:tcBorders>
              <w:top w:val="nil"/>
              <w:left w:val="nil"/>
              <w:bottom w:val="single" w:sz="4" w:space="0" w:color="auto"/>
              <w:right w:val="single" w:sz="4" w:space="0" w:color="auto"/>
            </w:tcBorders>
            <w:shd w:val="clear" w:color="auto" w:fill="auto"/>
            <w:noWrap/>
            <w:vAlign w:val="bottom"/>
            <w:hideMark/>
          </w:tcPr>
          <w:p w14:paraId="4CACC52C" w14:textId="77777777" w:rsidR="00697FF1" w:rsidRPr="003730B5" w:rsidRDefault="00697FF1" w:rsidP="00697FF1">
            <w:pPr>
              <w:keepNext/>
              <w:keepLines/>
              <w:jc w:val="center"/>
              <w:rPr>
                <w:bCs/>
                <w:sz w:val="20"/>
                <w:lang w:val="en-GB" w:eastAsia="en-GB"/>
              </w:rPr>
            </w:pPr>
            <w:r w:rsidRPr="003730B5">
              <w:rPr>
                <w:bCs/>
                <w:sz w:val="20"/>
                <w:lang w:val="en-GB" w:eastAsia="en-GB"/>
              </w:rPr>
              <w:t>0%</w:t>
            </w:r>
          </w:p>
        </w:tc>
      </w:tr>
      <w:tr w:rsidR="00697FF1" w:rsidRPr="003730B5" w14:paraId="06359D3B"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103CA8C7" w14:textId="77777777" w:rsidR="00697FF1" w:rsidRPr="003730B5" w:rsidRDefault="00697FF1" w:rsidP="00697FF1">
            <w:pPr>
              <w:keepNext/>
              <w:keepLines/>
              <w:rPr>
                <w:b/>
                <w:bCs/>
                <w:sz w:val="20"/>
                <w:lang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0223823C"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2747E428" w14:textId="1C377AE4" w:rsidR="00697FF1" w:rsidRPr="003730B5" w:rsidRDefault="00697FF1" w:rsidP="00697FF1">
            <w:pPr>
              <w:keepNext/>
              <w:keepLines/>
              <w:rPr>
                <w:bCs/>
                <w:sz w:val="20"/>
                <w:lang w:val="en-GB" w:eastAsia="en-GB"/>
              </w:rPr>
            </w:pPr>
            <w:r w:rsidRPr="003730B5">
              <w:rPr>
                <w:bCs/>
                <w:sz w:val="20"/>
                <w:lang w:val="en-GB" w:eastAsia="en-GB"/>
              </w:rPr>
              <w:t>PŘECHODOVÉ</w:t>
            </w:r>
          </w:p>
        </w:tc>
        <w:tc>
          <w:tcPr>
            <w:tcW w:w="851" w:type="dxa"/>
            <w:tcBorders>
              <w:top w:val="nil"/>
              <w:left w:val="nil"/>
              <w:bottom w:val="single" w:sz="4" w:space="0" w:color="auto"/>
              <w:right w:val="single" w:sz="4" w:space="0" w:color="auto"/>
            </w:tcBorders>
            <w:shd w:val="clear" w:color="auto" w:fill="auto"/>
            <w:noWrap/>
            <w:vAlign w:val="bottom"/>
            <w:hideMark/>
          </w:tcPr>
          <w:p w14:paraId="0C089A65" w14:textId="77777777" w:rsidR="00697FF1" w:rsidRPr="003730B5" w:rsidRDefault="00697FF1" w:rsidP="00697FF1">
            <w:pPr>
              <w:keepNext/>
              <w:keepLines/>
              <w:jc w:val="center"/>
              <w:rPr>
                <w:bCs/>
                <w:sz w:val="20"/>
                <w:lang w:val="en-GB" w:eastAsia="en-GB"/>
              </w:rPr>
            </w:pPr>
            <w:r w:rsidRPr="003730B5">
              <w:rPr>
                <w:bCs/>
                <w:sz w:val="20"/>
                <w:lang w:val="en-GB" w:eastAsia="en-GB"/>
              </w:rPr>
              <w:t>70%</w:t>
            </w:r>
          </w:p>
        </w:tc>
        <w:tc>
          <w:tcPr>
            <w:tcW w:w="992" w:type="dxa"/>
            <w:tcBorders>
              <w:top w:val="nil"/>
              <w:left w:val="nil"/>
              <w:bottom w:val="single" w:sz="4" w:space="0" w:color="auto"/>
              <w:right w:val="single" w:sz="4" w:space="0" w:color="auto"/>
            </w:tcBorders>
            <w:shd w:val="clear" w:color="auto" w:fill="auto"/>
            <w:noWrap/>
            <w:vAlign w:val="bottom"/>
            <w:hideMark/>
          </w:tcPr>
          <w:p w14:paraId="4117C03A" w14:textId="77777777" w:rsidR="00697FF1" w:rsidRPr="003730B5" w:rsidRDefault="00697FF1" w:rsidP="00697FF1">
            <w:pPr>
              <w:keepNext/>
              <w:keepLines/>
              <w:jc w:val="center"/>
              <w:rPr>
                <w:bCs/>
                <w:sz w:val="20"/>
                <w:lang w:val="en-GB" w:eastAsia="en-GB"/>
              </w:rPr>
            </w:pPr>
            <w:r w:rsidRPr="003730B5">
              <w:rPr>
                <w:bCs/>
                <w:sz w:val="20"/>
                <w:lang w:val="en-GB" w:eastAsia="en-GB"/>
              </w:rPr>
              <w:t>15%</w:t>
            </w:r>
          </w:p>
        </w:tc>
        <w:tc>
          <w:tcPr>
            <w:tcW w:w="850" w:type="dxa"/>
            <w:tcBorders>
              <w:top w:val="nil"/>
              <w:left w:val="nil"/>
              <w:bottom w:val="single" w:sz="4" w:space="0" w:color="auto"/>
              <w:right w:val="single" w:sz="4" w:space="0" w:color="auto"/>
            </w:tcBorders>
            <w:shd w:val="clear" w:color="auto" w:fill="auto"/>
            <w:noWrap/>
            <w:vAlign w:val="bottom"/>
            <w:hideMark/>
          </w:tcPr>
          <w:p w14:paraId="47363900" w14:textId="77777777" w:rsidR="00697FF1" w:rsidRPr="003730B5" w:rsidRDefault="00697FF1" w:rsidP="00697FF1">
            <w:pPr>
              <w:keepNext/>
              <w:keepLines/>
              <w:jc w:val="center"/>
              <w:rPr>
                <w:bCs/>
                <w:sz w:val="20"/>
                <w:lang w:val="en-GB" w:eastAsia="en-GB"/>
              </w:rPr>
            </w:pPr>
            <w:r w:rsidRPr="003730B5">
              <w:rPr>
                <w:bCs/>
                <w:sz w:val="20"/>
                <w:lang w:val="en-GB" w:eastAsia="en-GB"/>
              </w:rPr>
              <w:t>15%</w:t>
            </w:r>
          </w:p>
        </w:tc>
      </w:tr>
      <w:tr w:rsidR="00930703" w:rsidRPr="003730B5" w14:paraId="09AAEF5B"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51DD86F2" w14:textId="77777777" w:rsidR="00697FF1" w:rsidRPr="003730B5" w:rsidRDefault="00697FF1" w:rsidP="00697FF1">
            <w:pPr>
              <w:keepNext/>
              <w:keepLines/>
              <w:rPr>
                <w:b/>
                <w:bCs/>
                <w:sz w:val="20"/>
                <w:lang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3A8ED9B1"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154224BC" w14:textId="17724C7B" w:rsidR="00697FF1" w:rsidRPr="003730B5" w:rsidRDefault="00697FF1" w:rsidP="00697FF1">
            <w:pPr>
              <w:keepNext/>
              <w:keepLines/>
              <w:rPr>
                <w:bCs/>
                <w:sz w:val="20"/>
                <w:lang w:val="en-GB" w:eastAsia="en-GB"/>
              </w:rPr>
            </w:pPr>
            <w:r w:rsidRPr="003730B5">
              <w:rPr>
                <w:bCs/>
                <w:sz w:val="20"/>
                <w:lang w:val="en-GB" w:eastAsia="en-GB"/>
              </w:rPr>
              <w:t>ROZVINUTĚJŠÁ (PRAHA)</w:t>
            </w:r>
          </w:p>
        </w:tc>
        <w:tc>
          <w:tcPr>
            <w:tcW w:w="851" w:type="dxa"/>
            <w:tcBorders>
              <w:top w:val="nil"/>
              <w:left w:val="nil"/>
              <w:bottom w:val="single" w:sz="4" w:space="0" w:color="auto"/>
              <w:right w:val="single" w:sz="4" w:space="0" w:color="auto"/>
            </w:tcBorders>
            <w:shd w:val="clear" w:color="auto" w:fill="auto"/>
            <w:noWrap/>
            <w:vAlign w:val="bottom"/>
            <w:hideMark/>
          </w:tcPr>
          <w:p w14:paraId="2587F413" w14:textId="77777777" w:rsidR="00697FF1" w:rsidRPr="003730B5" w:rsidRDefault="00697FF1" w:rsidP="00697FF1">
            <w:pPr>
              <w:keepNext/>
              <w:keepLines/>
              <w:jc w:val="center"/>
              <w:rPr>
                <w:bCs/>
                <w:sz w:val="20"/>
                <w:lang w:val="en-GB" w:eastAsia="en-GB"/>
              </w:rPr>
            </w:pPr>
            <w:r w:rsidRPr="003730B5">
              <w:rPr>
                <w:bCs/>
                <w:sz w:val="20"/>
                <w:lang w:val="en-GB" w:eastAsia="en-GB"/>
              </w:rPr>
              <w:t>X</w:t>
            </w:r>
          </w:p>
        </w:tc>
        <w:tc>
          <w:tcPr>
            <w:tcW w:w="992" w:type="dxa"/>
            <w:tcBorders>
              <w:top w:val="nil"/>
              <w:left w:val="nil"/>
              <w:bottom w:val="single" w:sz="4" w:space="0" w:color="auto"/>
              <w:right w:val="single" w:sz="4" w:space="0" w:color="auto"/>
            </w:tcBorders>
            <w:shd w:val="clear" w:color="auto" w:fill="auto"/>
            <w:noWrap/>
            <w:vAlign w:val="bottom"/>
            <w:hideMark/>
          </w:tcPr>
          <w:p w14:paraId="6BAB4415" w14:textId="77777777" w:rsidR="00697FF1" w:rsidRPr="003730B5" w:rsidRDefault="00697FF1" w:rsidP="00697FF1">
            <w:pPr>
              <w:keepNext/>
              <w:keepLines/>
              <w:jc w:val="center"/>
              <w:rPr>
                <w:bCs/>
                <w:sz w:val="20"/>
                <w:lang w:val="en-GB" w:eastAsia="en-GB"/>
              </w:rPr>
            </w:pPr>
            <w:r w:rsidRPr="003730B5">
              <w:rPr>
                <w:bCs/>
                <w:sz w:val="20"/>
                <w:lang w:val="en-GB" w:eastAsia="en-GB"/>
              </w:rPr>
              <w:t>X</w:t>
            </w:r>
          </w:p>
        </w:tc>
        <w:tc>
          <w:tcPr>
            <w:tcW w:w="850" w:type="dxa"/>
            <w:tcBorders>
              <w:top w:val="nil"/>
              <w:left w:val="nil"/>
              <w:bottom w:val="single" w:sz="4" w:space="0" w:color="auto"/>
              <w:right w:val="single" w:sz="4" w:space="0" w:color="auto"/>
            </w:tcBorders>
            <w:shd w:val="clear" w:color="auto" w:fill="auto"/>
            <w:noWrap/>
            <w:vAlign w:val="bottom"/>
            <w:hideMark/>
          </w:tcPr>
          <w:p w14:paraId="245FC8E6" w14:textId="77777777" w:rsidR="00697FF1" w:rsidRPr="003730B5" w:rsidRDefault="00697FF1" w:rsidP="00697FF1">
            <w:pPr>
              <w:keepNext/>
              <w:keepLines/>
              <w:jc w:val="center"/>
              <w:rPr>
                <w:bCs/>
                <w:sz w:val="20"/>
                <w:lang w:val="en-GB" w:eastAsia="en-GB"/>
              </w:rPr>
            </w:pPr>
            <w:r w:rsidRPr="003730B5">
              <w:rPr>
                <w:bCs/>
                <w:sz w:val="20"/>
                <w:lang w:val="en-GB" w:eastAsia="en-GB"/>
              </w:rPr>
              <w:t>X</w:t>
            </w:r>
          </w:p>
        </w:tc>
      </w:tr>
      <w:tr w:rsidR="00697FF1" w:rsidRPr="003730B5" w14:paraId="07257192"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7DAD3AB1" w14:textId="77777777" w:rsidR="00697FF1" w:rsidRPr="003730B5" w:rsidRDefault="00697FF1" w:rsidP="00697FF1">
            <w:pPr>
              <w:keepNext/>
              <w:keepLines/>
              <w:rPr>
                <w:b/>
                <w:bCs/>
                <w:sz w:val="20"/>
                <w:lang w:eastAsia="en-GB"/>
              </w:rPr>
            </w:pPr>
          </w:p>
        </w:tc>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B180D3" w14:textId="5275C08B" w:rsidR="00697FF1" w:rsidRPr="003730B5" w:rsidRDefault="00697FF1" w:rsidP="00697FF1">
            <w:pPr>
              <w:keepNext/>
              <w:keepLines/>
              <w:rPr>
                <w:bCs/>
                <w:sz w:val="20"/>
                <w:lang w:val="en-GB" w:eastAsia="en-GB"/>
              </w:rPr>
            </w:pPr>
            <w:r w:rsidRPr="003730B5">
              <w:rPr>
                <w:bCs/>
                <w:sz w:val="20"/>
                <w:lang w:val="en-GB" w:eastAsia="en-GB"/>
              </w:rPr>
              <w:t>ESF+ (do 3 tis. ob.)</w:t>
            </w:r>
          </w:p>
        </w:tc>
        <w:tc>
          <w:tcPr>
            <w:tcW w:w="3572" w:type="dxa"/>
            <w:tcBorders>
              <w:top w:val="nil"/>
              <w:left w:val="nil"/>
              <w:bottom w:val="single" w:sz="4" w:space="0" w:color="auto"/>
              <w:right w:val="single" w:sz="4" w:space="0" w:color="auto"/>
            </w:tcBorders>
            <w:shd w:val="clear" w:color="auto" w:fill="auto"/>
            <w:noWrap/>
            <w:vAlign w:val="center"/>
            <w:hideMark/>
          </w:tcPr>
          <w:p w14:paraId="29A8077B" w14:textId="13C39702" w:rsidR="00697FF1" w:rsidRPr="003730B5" w:rsidRDefault="00697FF1" w:rsidP="00697FF1">
            <w:pPr>
              <w:keepNext/>
              <w:keepLines/>
              <w:rPr>
                <w:bCs/>
                <w:sz w:val="20"/>
                <w:lang w:val="en-GB" w:eastAsia="en-GB"/>
              </w:rPr>
            </w:pPr>
            <w:r w:rsidRPr="003730B5">
              <w:rPr>
                <w:bCs/>
                <w:sz w:val="20"/>
                <w:lang w:val="en-GB" w:eastAsia="en-GB"/>
              </w:rPr>
              <w:t>MÉNĚ ROZVINUTÉ</w:t>
            </w:r>
          </w:p>
        </w:tc>
        <w:tc>
          <w:tcPr>
            <w:tcW w:w="851" w:type="dxa"/>
            <w:tcBorders>
              <w:top w:val="nil"/>
              <w:left w:val="nil"/>
              <w:bottom w:val="single" w:sz="4" w:space="0" w:color="auto"/>
              <w:right w:val="single" w:sz="4" w:space="0" w:color="auto"/>
            </w:tcBorders>
            <w:shd w:val="clear" w:color="auto" w:fill="auto"/>
            <w:noWrap/>
            <w:vAlign w:val="bottom"/>
            <w:hideMark/>
          </w:tcPr>
          <w:p w14:paraId="2E33B1A8" w14:textId="77777777" w:rsidR="00697FF1" w:rsidRPr="003730B5" w:rsidRDefault="00697FF1" w:rsidP="00697FF1">
            <w:pPr>
              <w:keepNext/>
              <w:keepLines/>
              <w:jc w:val="center"/>
              <w:rPr>
                <w:bCs/>
                <w:sz w:val="20"/>
                <w:lang w:val="en-GB" w:eastAsia="en-GB"/>
              </w:rPr>
            </w:pPr>
            <w:r w:rsidRPr="003730B5">
              <w:rPr>
                <w:bCs/>
                <w:sz w:val="20"/>
                <w:lang w:val="en-GB" w:eastAsia="en-GB"/>
              </w:rPr>
              <w:t>85%</w:t>
            </w:r>
          </w:p>
        </w:tc>
        <w:tc>
          <w:tcPr>
            <w:tcW w:w="992" w:type="dxa"/>
            <w:tcBorders>
              <w:top w:val="nil"/>
              <w:left w:val="nil"/>
              <w:bottom w:val="single" w:sz="4" w:space="0" w:color="auto"/>
              <w:right w:val="single" w:sz="4" w:space="0" w:color="auto"/>
            </w:tcBorders>
            <w:shd w:val="clear" w:color="auto" w:fill="auto"/>
            <w:noWrap/>
            <w:vAlign w:val="bottom"/>
            <w:hideMark/>
          </w:tcPr>
          <w:p w14:paraId="103347CF"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c>
          <w:tcPr>
            <w:tcW w:w="850" w:type="dxa"/>
            <w:tcBorders>
              <w:top w:val="nil"/>
              <w:left w:val="nil"/>
              <w:bottom w:val="single" w:sz="4" w:space="0" w:color="auto"/>
              <w:right w:val="single" w:sz="4" w:space="0" w:color="auto"/>
            </w:tcBorders>
            <w:shd w:val="clear" w:color="auto" w:fill="auto"/>
            <w:noWrap/>
            <w:vAlign w:val="bottom"/>
            <w:hideMark/>
          </w:tcPr>
          <w:p w14:paraId="1A569882" w14:textId="77777777" w:rsidR="00697FF1" w:rsidRPr="003730B5" w:rsidRDefault="00697FF1" w:rsidP="00697FF1">
            <w:pPr>
              <w:keepNext/>
              <w:keepLines/>
              <w:jc w:val="center"/>
              <w:rPr>
                <w:bCs/>
                <w:sz w:val="20"/>
                <w:lang w:val="en-GB" w:eastAsia="en-GB"/>
              </w:rPr>
            </w:pPr>
            <w:r w:rsidRPr="003730B5">
              <w:rPr>
                <w:bCs/>
                <w:sz w:val="20"/>
                <w:lang w:val="en-GB" w:eastAsia="en-GB"/>
              </w:rPr>
              <w:t>10%</w:t>
            </w:r>
          </w:p>
        </w:tc>
      </w:tr>
      <w:tr w:rsidR="00697FF1" w:rsidRPr="003730B5" w14:paraId="2C94182C"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4282A64F" w14:textId="77777777" w:rsidR="00697FF1" w:rsidRPr="003730B5" w:rsidRDefault="00697FF1" w:rsidP="00697FF1">
            <w:pPr>
              <w:keepNext/>
              <w:keepLines/>
              <w:rPr>
                <w:b/>
                <w:bCs/>
                <w:sz w:val="20"/>
                <w:lang w:eastAsia="en-GB"/>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29330E5A"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26BA4A85" w14:textId="72F9731E" w:rsidR="00697FF1" w:rsidRPr="003730B5" w:rsidRDefault="00697FF1" w:rsidP="00697FF1">
            <w:pPr>
              <w:keepNext/>
              <w:keepLines/>
              <w:rPr>
                <w:bCs/>
                <w:sz w:val="20"/>
                <w:lang w:val="en-GB" w:eastAsia="en-GB"/>
              </w:rPr>
            </w:pPr>
            <w:r w:rsidRPr="003730B5">
              <w:rPr>
                <w:bCs/>
                <w:sz w:val="20"/>
                <w:lang w:val="en-GB" w:eastAsia="en-GB"/>
              </w:rPr>
              <w:t>PŘECHODOVÉ</w:t>
            </w:r>
          </w:p>
        </w:tc>
        <w:tc>
          <w:tcPr>
            <w:tcW w:w="851" w:type="dxa"/>
            <w:tcBorders>
              <w:top w:val="nil"/>
              <w:left w:val="nil"/>
              <w:bottom w:val="single" w:sz="4" w:space="0" w:color="auto"/>
              <w:right w:val="single" w:sz="4" w:space="0" w:color="auto"/>
            </w:tcBorders>
            <w:shd w:val="clear" w:color="auto" w:fill="auto"/>
            <w:noWrap/>
            <w:vAlign w:val="bottom"/>
            <w:hideMark/>
          </w:tcPr>
          <w:p w14:paraId="53C99028" w14:textId="77777777" w:rsidR="00697FF1" w:rsidRPr="003730B5" w:rsidRDefault="00697FF1" w:rsidP="00697FF1">
            <w:pPr>
              <w:keepNext/>
              <w:keepLines/>
              <w:jc w:val="center"/>
              <w:rPr>
                <w:bCs/>
                <w:sz w:val="20"/>
                <w:lang w:val="en-GB" w:eastAsia="en-GB"/>
              </w:rPr>
            </w:pPr>
            <w:r w:rsidRPr="003730B5">
              <w:rPr>
                <w:bCs/>
                <w:sz w:val="20"/>
                <w:lang w:val="en-GB" w:eastAsia="en-GB"/>
              </w:rPr>
              <w:t>70%</w:t>
            </w:r>
          </w:p>
        </w:tc>
        <w:tc>
          <w:tcPr>
            <w:tcW w:w="992" w:type="dxa"/>
            <w:tcBorders>
              <w:top w:val="nil"/>
              <w:left w:val="nil"/>
              <w:bottom w:val="single" w:sz="4" w:space="0" w:color="auto"/>
              <w:right w:val="single" w:sz="4" w:space="0" w:color="auto"/>
            </w:tcBorders>
            <w:shd w:val="clear" w:color="auto" w:fill="auto"/>
            <w:noWrap/>
            <w:vAlign w:val="bottom"/>
            <w:hideMark/>
          </w:tcPr>
          <w:p w14:paraId="76AC1F13"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c>
          <w:tcPr>
            <w:tcW w:w="850" w:type="dxa"/>
            <w:tcBorders>
              <w:top w:val="nil"/>
              <w:left w:val="nil"/>
              <w:bottom w:val="single" w:sz="4" w:space="0" w:color="auto"/>
              <w:right w:val="single" w:sz="4" w:space="0" w:color="auto"/>
            </w:tcBorders>
            <w:shd w:val="clear" w:color="auto" w:fill="auto"/>
            <w:noWrap/>
            <w:vAlign w:val="bottom"/>
            <w:hideMark/>
          </w:tcPr>
          <w:p w14:paraId="44312638" w14:textId="77777777" w:rsidR="00697FF1" w:rsidRPr="003730B5" w:rsidRDefault="00697FF1" w:rsidP="00697FF1">
            <w:pPr>
              <w:keepNext/>
              <w:keepLines/>
              <w:jc w:val="center"/>
              <w:rPr>
                <w:bCs/>
                <w:sz w:val="20"/>
                <w:lang w:val="en-GB" w:eastAsia="en-GB"/>
              </w:rPr>
            </w:pPr>
            <w:r w:rsidRPr="003730B5">
              <w:rPr>
                <w:bCs/>
                <w:sz w:val="20"/>
                <w:lang w:val="en-GB" w:eastAsia="en-GB"/>
              </w:rPr>
              <w:t>25%</w:t>
            </w:r>
          </w:p>
        </w:tc>
      </w:tr>
      <w:tr w:rsidR="00930703" w:rsidRPr="003730B5" w14:paraId="3A23C1F5"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4870240E" w14:textId="77777777" w:rsidR="00697FF1" w:rsidRPr="003730B5" w:rsidRDefault="00697FF1" w:rsidP="00697FF1">
            <w:pPr>
              <w:keepNext/>
              <w:keepLines/>
              <w:rPr>
                <w:b/>
                <w:bCs/>
                <w:sz w:val="20"/>
                <w:lang w:eastAsia="en-GB"/>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1123FF49"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2D0550F6" w14:textId="66C23A09" w:rsidR="00697FF1" w:rsidRPr="003730B5" w:rsidRDefault="00697FF1" w:rsidP="00697FF1">
            <w:pPr>
              <w:keepNext/>
              <w:keepLines/>
              <w:rPr>
                <w:bCs/>
                <w:sz w:val="20"/>
                <w:lang w:val="en-GB" w:eastAsia="en-GB"/>
              </w:rPr>
            </w:pPr>
            <w:r w:rsidRPr="003730B5">
              <w:rPr>
                <w:bCs/>
                <w:sz w:val="20"/>
                <w:lang w:val="en-GB" w:eastAsia="en-GB"/>
              </w:rPr>
              <w:t>ROZVINUTĚJŠÁ (PRAHA)</w:t>
            </w:r>
          </w:p>
        </w:tc>
        <w:tc>
          <w:tcPr>
            <w:tcW w:w="851" w:type="dxa"/>
            <w:tcBorders>
              <w:top w:val="nil"/>
              <w:left w:val="nil"/>
              <w:bottom w:val="single" w:sz="4" w:space="0" w:color="auto"/>
              <w:right w:val="single" w:sz="4" w:space="0" w:color="auto"/>
            </w:tcBorders>
            <w:shd w:val="clear" w:color="auto" w:fill="auto"/>
            <w:noWrap/>
            <w:vAlign w:val="bottom"/>
            <w:hideMark/>
          </w:tcPr>
          <w:p w14:paraId="3FFFC51C" w14:textId="77777777" w:rsidR="00697FF1" w:rsidRPr="003730B5" w:rsidRDefault="00697FF1" w:rsidP="00697FF1">
            <w:pPr>
              <w:keepNext/>
              <w:keepLines/>
              <w:jc w:val="center"/>
              <w:rPr>
                <w:bCs/>
                <w:sz w:val="20"/>
                <w:lang w:val="en-GB" w:eastAsia="en-GB"/>
              </w:rPr>
            </w:pPr>
            <w:r w:rsidRPr="003730B5">
              <w:rPr>
                <w:bCs/>
                <w:sz w:val="20"/>
                <w:lang w:val="en-GB" w:eastAsia="en-GB"/>
              </w:rPr>
              <w:t>X</w:t>
            </w:r>
          </w:p>
        </w:tc>
        <w:tc>
          <w:tcPr>
            <w:tcW w:w="992" w:type="dxa"/>
            <w:tcBorders>
              <w:top w:val="nil"/>
              <w:left w:val="nil"/>
              <w:bottom w:val="single" w:sz="4" w:space="0" w:color="auto"/>
              <w:right w:val="single" w:sz="4" w:space="0" w:color="auto"/>
            </w:tcBorders>
            <w:shd w:val="clear" w:color="auto" w:fill="auto"/>
            <w:noWrap/>
            <w:vAlign w:val="bottom"/>
            <w:hideMark/>
          </w:tcPr>
          <w:p w14:paraId="5239918C" w14:textId="77777777" w:rsidR="00697FF1" w:rsidRPr="003730B5" w:rsidRDefault="00697FF1" w:rsidP="00697FF1">
            <w:pPr>
              <w:keepNext/>
              <w:keepLines/>
              <w:jc w:val="center"/>
              <w:rPr>
                <w:bCs/>
                <w:sz w:val="20"/>
                <w:lang w:val="en-GB" w:eastAsia="en-GB"/>
              </w:rPr>
            </w:pPr>
            <w:r w:rsidRPr="003730B5">
              <w:rPr>
                <w:bCs/>
                <w:sz w:val="20"/>
                <w:lang w:val="en-GB" w:eastAsia="en-GB"/>
              </w:rPr>
              <w:t>X</w:t>
            </w:r>
          </w:p>
        </w:tc>
        <w:tc>
          <w:tcPr>
            <w:tcW w:w="850" w:type="dxa"/>
            <w:tcBorders>
              <w:top w:val="nil"/>
              <w:left w:val="nil"/>
              <w:bottom w:val="single" w:sz="4" w:space="0" w:color="auto"/>
              <w:right w:val="single" w:sz="4" w:space="0" w:color="auto"/>
            </w:tcBorders>
            <w:shd w:val="clear" w:color="auto" w:fill="auto"/>
            <w:noWrap/>
            <w:vAlign w:val="bottom"/>
            <w:hideMark/>
          </w:tcPr>
          <w:p w14:paraId="0591818D" w14:textId="77777777" w:rsidR="00697FF1" w:rsidRPr="003730B5" w:rsidRDefault="00697FF1" w:rsidP="00697FF1">
            <w:pPr>
              <w:keepNext/>
              <w:keepLines/>
              <w:jc w:val="center"/>
              <w:rPr>
                <w:bCs/>
                <w:sz w:val="20"/>
                <w:lang w:val="en-GB" w:eastAsia="en-GB"/>
              </w:rPr>
            </w:pPr>
            <w:r w:rsidRPr="003730B5">
              <w:rPr>
                <w:bCs/>
                <w:sz w:val="20"/>
                <w:lang w:val="en-GB" w:eastAsia="en-GB"/>
              </w:rPr>
              <w:t>X</w:t>
            </w:r>
          </w:p>
        </w:tc>
      </w:tr>
      <w:tr w:rsidR="00697FF1" w:rsidRPr="003730B5" w14:paraId="4AF00AB3"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08D4B5A4" w14:textId="77777777" w:rsidR="00697FF1" w:rsidRPr="003730B5" w:rsidRDefault="00697FF1" w:rsidP="00697FF1">
            <w:pPr>
              <w:keepNext/>
              <w:keepLines/>
              <w:rPr>
                <w:b/>
                <w:bCs/>
                <w:sz w:val="20"/>
                <w:lang w:eastAsia="en-GB"/>
              </w:rPr>
            </w:pPr>
          </w:p>
        </w:tc>
        <w:tc>
          <w:tcPr>
            <w:tcW w:w="19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48FBB0" w14:textId="0FABBBBE" w:rsidR="00697FF1" w:rsidRPr="003730B5" w:rsidRDefault="00697FF1" w:rsidP="00697FF1">
            <w:pPr>
              <w:keepNext/>
              <w:keepLines/>
              <w:rPr>
                <w:bCs/>
                <w:sz w:val="20"/>
                <w:lang w:val="en-GB" w:eastAsia="en-GB"/>
              </w:rPr>
            </w:pPr>
            <w:r w:rsidRPr="003730B5">
              <w:rPr>
                <w:bCs/>
                <w:sz w:val="20"/>
                <w:lang w:val="en-GB" w:eastAsia="en-GB"/>
              </w:rPr>
              <w:t>ESF+ (nad 3 tis. ob.)</w:t>
            </w:r>
          </w:p>
        </w:tc>
        <w:tc>
          <w:tcPr>
            <w:tcW w:w="3572" w:type="dxa"/>
            <w:tcBorders>
              <w:top w:val="nil"/>
              <w:left w:val="nil"/>
              <w:bottom w:val="single" w:sz="4" w:space="0" w:color="auto"/>
              <w:right w:val="single" w:sz="4" w:space="0" w:color="auto"/>
            </w:tcBorders>
            <w:shd w:val="clear" w:color="auto" w:fill="auto"/>
            <w:noWrap/>
            <w:vAlign w:val="center"/>
            <w:hideMark/>
          </w:tcPr>
          <w:p w14:paraId="01EC881A" w14:textId="6741F0A1" w:rsidR="00697FF1" w:rsidRPr="003730B5" w:rsidRDefault="00697FF1" w:rsidP="00697FF1">
            <w:pPr>
              <w:keepNext/>
              <w:keepLines/>
              <w:rPr>
                <w:bCs/>
                <w:sz w:val="20"/>
                <w:lang w:val="en-GB" w:eastAsia="en-GB"/>
              </w:rPr>
            </w:pPr>
            <w:r w:rsidRPr="003730B5">
              <w:rPr>
                <w:bCs/>
                <w:sz w:val="20"/>
                <w:lang w:val="en-GB" w:eastAsia="en-GB"/>
              </w:rPr>
              <w:t>MÉNĚ ROZVINUTÉ</w:t>
            </w:r>
          </w:p>
        </w:tc>
        <w:tc>
          <w:tcPr>
            <w:tcW w:w="851" w:type="dxa"/>
            <w:tcBorders>
              <w:top w:val="nil"/>
              <w:left w:val="nil"/>
              <w:bottom w:val="single" w:sz="4" w:space="0" w:color="auto"/>
              <w:right w:val="single" w:sz="4" w:space="0" w:color="auto"/>
            </w:tcBorders>
            <w:shd w:val="clear" w:color="auto" w:fill="auto"/>
            <w:noWrap/>
            <w:vAlign w:val="bottom"/>
            <w:hideMark/>
          </w:tcPr>
          <w:p w14:paraId="6A2DF5E8" w14:textId="77777777" w:rsidR="00697FF1" w:rsidRPr="003730B5" w:rsidRDefault="00697FF1" w:rsidP="00697FF1">
            <w:pPr>
              <w:keepNext/>
              <w:keepLines/>
              <w:jc w:val="center"/>
              <w:rPr>
                <w:bCs/>
                <w:sz w:val="20"/>
                <w:lang w:val="en-GB" w:eastAsia="en-GB"/>
              </w:rPr>
            </w:pPr>
            <w:r w:rsidRPr="003730B5">
              <w:rPr>
                <w:bCs/>
                <w:sz w:val="20"/>
                <w:lang w:val="en-GB" w:eastAsia="en-GB"/>
              </w:rPr>
              <w:t>85%</w:t>
            </w:r>
          </w:p>
        </w:tc>
        <w:tc>
          <w:tcPr>
            <w:tcW w:w="992" w:type="dxa"/>
            <w:tcBorders>
              <w:top w:val="nil"/>
              <w:left w:val="nil"/>
              <w:bottom w:val="single" w:sz="4" w:space="0" w:color="auto"/>
              <w:right w:val="single" w:sz="4" w:space="0" w:color="auto"/>
            </w:tcBorders>
            <w:shd w:val="clear" w:color="auto" w:fill="auto"/>
            <w:noWrap/>
            <w:vAlign w:val="bottom"/>
            <w:hideMark/>
          </w:tcPr>
          <w:p w14:paraId="003FA26C" w14:textId="77777777" w:rsidR="00697FF1" w:rsidRPr="003730B5" w:rsidRDefault="00697FF1" w:rsidP="00697FF1">
            <w:pPr>
              <w:keepNext/>
              <w:keepLines/>
              <w:jc w:val="center"/>
              <w:rPr>
                <w:bCs/>
                <w:sz w:val="20"/>
                <w:lang w:val="en-GB" w:eastAsia="en-GB"/>
              </w:rPr>
            </w:pPr>
            <w:r w:rsidRPr="003730B5">
              <w:rPr>
                <w:bCs/>
                <w:sz w:val="20"/>
                <w:lang w:val="en-GB" w:eastAsia="en-GB"/>
              </w:rPr>
              <w:t>10%</w:t>
            </w:r>
          </w:p>
        </w:tc>
        <w:tc>
          <w:tcPr>
            <w:tcW w:w="850" w:type="dxa"/>
            <w:tcBorders>
              <w:top w:val="nil"/>
              <w:left w:val="nil"/>
              <w:bottom w:val="single" w:sz="4" w:space="0" w:color="auto"/>
              <w:right w:val="single" w:sz="4" w:space="0" w:color="auto"/>
            </w:tcBorders>
            <w:shd w:val="clear" w:color="auto" w:fill="auto"/>
            <w:noWrap/>
            <w:vAlign w:val="bottom"/>
            <w:hideMark/>
          </w:tcPr>
          <w:p w14:paraId="2446CB40"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r>
      <w:tr w:rsidR="00697FF1" w:rsidRPr="003730B5" w14:paraId="42CBC7D7"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75D762F2" w14:textId="77777777" w:rsidR="00697FF1" w:rsidRPr="003730B5" w:rsidRDefault="00697FF1" w:rsidP="00697FF1">
            <w:pPr>
              <w:keepNext/>
              <w:keepLines/>
              <w:rPr>
                <w:b/>
                <w:bCs/>
                <w:sz w:val="20"/>
                <w:lang w:eastAsia="en-GB"/>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62FBC9A9"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70743A06" w14:textId="4AD52DEC" w:rsidR="00697FF1" w:rsidRPr="003730B5" w:rsidRDefault="00697FF1" w:rsidP="00697FF1">
            <w:pPr>
              <w:keepNext/>
              <w:keepLines/>
              <w:rPr>
                <w:bCs/>
                <w:sz w:val="20"/>
                <w:lang w:val="en-GB" w:eastAsia="en-GB"/>
              </w:rPr>
            </w:pPr>
            <w:r w:rsidRPr="003730B5">
              <w:rPr>
                <w:bCs/>
                <w:sz w:val="20"/>
                <w:lang w:val="en-GB" w:eastAsia="en-GB"/>
              </w:rPr>
              <w:t>PŘECHODOVÉ</w:t>
            </w:r>
          </w:p>
        </w:tc>
        <w:tc>
          <w:tcPr>
            <w:tcW w:w="851" w:type="dxa"/>
            <w:tcBorders>
              <w:top w:val="nil"/>
              <w:left w:val="nil"/>
              <w:bottom w:val="single" w:sz="4" w:space="0" w:color="auto"/>
              <w:right w:val="single" w:sz="4" w:space="0" w:color="auto"/>
            </w:tcBorders>
            <w:shd w:val="clear" w:color="auto" w:fill="auto"/>
            <w:noWrap/>
            <w:vAlign w:val="bottom"/>
            <w:hideMark/>
          </w:tcPr>
          <w:p w14:paraId="35E2EC05" w14:textId="77777777" w:rsidR="00697FF1" w:rsidRPr="003730B5" w:rsidRDefault="00697FF1" w:rsidP="00697FF1">
            <w:pPr>
              <w:keepNext/>
              <w:keepLines/>
              <w:jc w:val="center"/>
              <w:rPr>
                <w:bCs/>
                <w:sz w:val="20"/>
                <w:lang w:val="en-GB" w:eastAsia="en-GB"/>
              </w:rPr>
            </w:pPr>
            <w:r w:rsidRPr="003730B5">
              <w:rPr>
                <w:bCs/>
                <w:sz w:val="20"/>
                <w:lang w:val="en-GB" w:eastAsia="en-GB"/>
              </w:rPr>
              <w:t>70%</w:t>
            </w:r>
          </w:p>
        </w:tc>
        <w:tc>
          <w:tcPr>
            <w:tcW w:w="992" w:type="dxa"/>
            <w:tcBorders>
              <w:top w:val="nil"/>
              <w:left w:val="nil"/>
              <w:bottom w:val="single" w:sz="4" w:space="0" w:color="auto"/>
              <w:right w:val="single" w:sz="4" w:space="0" w:color="auto"/>
            </w:tcBorders>
            <w:shd w:val="clear" w:color="auto" w:fill="auto"/>
            <w:noWrap/>
            <w:vAlign w:val="bottom"/>
            <w:hideMark/>
          </w:tcPr>
          <w:p w14:paraId="5D854EC3" w14:textId="77777777" w:rsidR="00697FF1" w:rsidRPr="003730B5" w:rsidRDefault="00697FF1" w:rsidP="00697FF1">
            <w:pPr>
              <w:keepNext/>
              <w:keepLines/>
              <w:jc w:val="center"/>
              <w:rPr>
                <w:bCs/>
                <w:sz w:val="20"/>
                <w:lang w:val="en-GB" w:eastAsia="en-GB"/>
              </w:rPr>
            </w:pPr>
            <w:r w:rsidRPr="003730B5">
              <w:rPr>
                <w:bCs/>
                <w:sz w:val="20"/>
                <w:lang w:val="en-GB" w:eastAsia="en-GB"/>
              </w:rPr>
              <w:t>10%</w:t>
            </w:r>
          </w:p>
        </w:tc>
        <w:tc>
          <w:tcPr>
            <w:tcW w:w="850" w:type="dxa"/>
            <w:tcBorders>
              <w:top w:val="nil"/>
              <w:left w:val="nil"/>
              <w:bottom w:val="single" w:sz="4" w:space="0" w:color="auto"/>
              <w:right w:val="single" w:sz="4" w:space="0" w:color="auto"/>
            </w:tcBorders>
            <w:shd w:val="clear" w:color="auto" w:fill="auto"/>
            <w:noWrap/>
            <w:vAlign w:val="bottom"/>
            <w:hideMark/>
          </w:tcPr>
          <w:p w14:paraId="5E2B6B99" w14:textId="77777777" w:rsidR="00697FF1" w:rsidRPr="003730B5" w:rsidRDefault="00697FF1" w:rsidP="00697FF1">
            <w:pPr>
              <w:keepNext/>
              <w:keepLines/>
              <w:jc w:val="center"/>
              <w:rPr>
                <w:bCs/>
                <w:sz w:val="20"/>
                <w:lang w:val="en-GB" w:eastAsia="en-GB"/>
              </w:rPr>
            </w:pPr>
            <w:r w:rsidRPr="003730B5">
              <w:rPr>
                <w:bCs/>
                <w:sz w:val="20"/>
                <w:lang w:val="en-GB" w:eastAsia="en-GB"/>
              </w:rPr>
              <w:t>20%</w:t>
            </w:r>
          </w:p>
        </w:tc>
      </w:tr>
      <w:tr w:rsidR="00930703" w:rsidRPr="003730B5" w14:paraId="744F6C0B"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1EBE553B" w14:textId="77777777" w:rsidR="00697FF1" w:rsidRPr="003730B5" w:rsidRDefault="00697FF1" w:rsidP="00697FF1">
            <w:pPr>
              <w:keepNext/>
              <w:keepLines/>
              <w:rPr>
                <w:b/>
                <w:bCs/>
                <w:sz w:val="20"/>
                <w:lang w:eastAsia="en-GB"/>
              </w:rPr>
            </w:pPr>
          </w:p>
        </w:tc>
        <w:tc>
          <w:tcPr>
            <w:tcW w:w="1985" w:type="dxa"/>
            <w:vMerge/>
            <w:tcBorders>
              <w:top w:val="nil"/>
              <w:left w:val="single" w:sz="4" w:space="0" w:color="auto"/>
              <w:bottom w:val="single" w:sz="4" w:space="0" w:color="000000"/>
              <w:right w:val="single" w:sz="4" w:space="0" w:color="auto"/>
            </w:tcBorders>
            <w:shd w:val="clear" w:color="auto" w:fill="auto"/>
            <w:vAlign w:val="center"/>
            <w:hideMark/>
          </w:tcPr>
          <w:p w14:paraId="06D86EE9"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38239625" w14:textId="6F4F8DE0" w:rsidR="00697FF1" w:rsidRPr="003730B5" w:rsidRDefault="00697FF1" w:rsidP="00697FF1">
            <w:pPr>
              <w:keepNext/>
              <w:keepLines/>
              <w:rPr>
                <w:bCs/>
                <w:sz w:val="20"/>
                <w:lang w:val="en-GB" w:eastAsia="en-GB"/>
              </w:rPr>
            </w:pPr>
            <w:r w:rsidRPr="003730B5">
              <w:rPr>
                <w:bCs/>
                <w:sz w:val="20"/>
                <w:lang w:val="en-GB" w:eastAsia="en-GB"/>
              </w:rPr>
              <w:t>ROZVINUTĚJŠÁ (PRAHA)</w:t>
            </w:r>
          </w:p>
        </w:tc>
        <w:tc>
          <w:tcPr>
            <w:tcW w:w="851" w:type="dxa"/>
            <w:tcBorders>
              <w:top w:val="nil"/>
              <w:left w:val="nil"/>
              <w:bottom w:val="single" w:sz="4" w:space="0" w:color="auto"/>
              <w:right w:val="single" w:sz="4" w:space="0" w:color="auto"/>
            </w:tcBorders>
            <w:shd w:val="clear" w:color="auto" w:fill="auto"/>
            <w:noWrap/>
            <w:vAlign w:val="bottom"/>
            <w:hideMark/>
          </w:tcPr>
          <w:p w14:paraId="4843D771" w14:textId="77777777" w:rsidR="00697FF1" w:rsidRPr="003730B5" w:rsidRDefault="00697FF1" w:rsidP="00697FF1">
            <w:pPr>
              <w:keepNext/>
              <w:keepLines/>
              <w:jc w:val="center"/>
              <w:rPr>
                <w:bCs/>
                <w:sz w:val="20"/>
                <w:lang w:val="en-GB" w:eastAsia="en-GB"/>
              </w:rPr>
            </w:pPr>
            <w:r w:rsidRPr="003730B5">
              <w:rPr>
                <w:bCs/>
                <w:sz w:val="20"/>
                <w:lang w:val="en-GB" w:eastAsia="en-GB"/>
              </w:rPr>
              <w:t>X</w:t>
            </w:r>
          </w:p>
        </w:tc>
        <w:tc>
          <w:tcPr>
            <w:tcW w:w="992" w:type="dxa"/>
            <w:tcBorders>
              <w:top w:val="nil"/>
              <w:left w:val="nil"/>
              <w:bottom w:val="single" w:sz="4" w:space="0" w:color="auto"/>
              <w:right w:val="single" w:sz="4" w:space="0" w:color="auto"/>
            </w:tcBorders>
            <w:shd w:val="clear" w:color="auto" w:fill="auto"/>
            <w:noWrap/>
            <w:vAlign w:val="bottom"/>
            <w:hideMark/>
          </w:tcPr>
          <w:p w14:paraId="6DACE742" w14:textId="77777777" w:rsidR="00697FF1" w:rsidRPr="003730B5" w:rsidRDefault="00697FF1" w:rsidP="00697FF1">
            <w:pPr>
              <w:keepNext/>
              <w:keepLines/>
              <w:jc w:val="center"/>
              <w:rPr>
                <w:bCs/>
                <w:sz w:val="20"/>
                <w:lang w:val="en-GB" w:eastAsia="en-GB"/>
              </w:rPr>
            </w:pPr>
            <w:r w:rsidRPr="003730B5">
              <w:rPr>
                <w:bCs/>
                <w:sz w:val="20"/>
                <w:lang w:val="en-GB" w:eastAsia="en-GB"/>
              </w:rPr>
              <w:t>X</w:t>
            </w:r>
          </w:p>
        </w:tc>
        <w:tc>
          <w:tcPr>
            <w:tcW w:w="850" w:type="dxa"/>
            <w:tcBorders>
              <w:top w:val="nil"/>
              <w:left w:val="nil"/>
              <w:bottom w:val="single" w:sz="4" w:space="0" w:color="auto"/>
              <w:right w:val="single" w:sz="4" w:space="0" w:color="auto"/>
            </w:tcBorders>
            <w:shd w:val="clear" w:color="auto" w:fill="auto"/>
            <w:noWrap/>
            <w:vAlign w:val="bottom"/>
            <w:hideMark/>
          </w:tcPr>
          <w:p w14:paraId="1D30CDAF" w14:textId="77777777" w:rsidR="00697FF1" w:rsidRPr="003730B5" w:rsidRDefault="00697FF1" w:rsidP="00697FF1">
            <w:pPr>
              <w:keepNext/>
              <w:keepLines/>
              <w:jc w:val="center"/>
              <w:rPr>
                <w:bCs/>
                <w:sz w:val="20"/>
                <w:lang w:val="en-GB" w:eastAsia="en-GB"/>
              </w:rPr>
            </w:pPr>
            <w:r w:rsidRPr="003730B5">
              <w:rPr>
                <w:bCs/>
                <w:sz w:val="20"/>
                <w:lang w:val="en-GB" w:eastAsia="en-GB"/>
              </w:rPr>
              <w:t>X</w:t>
            </w:r>
          </w:p>
        </w:tc>
      </w:tr>
      <w:tr w:rsidR="00697FF1" w:rsidRPr="003730B5" w14:paraId="06241F23" w14:textId="77777777" w:rsidTr="00A24C00">
        <w:trPr>
          <w:trHeight w:val="300"/>
          <w:jc w:val="center"/>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25F0C80D" w14:textId="77777777" w:rsidR="00697FF1" w:rsidRPr="003730B5" w:rsidRDefault="00697FF1" w:rsidP="00697FF1">
            <w:pPr>
              <w:keepNext/>
              <w:keepLines/>
              <w:rPr>
                <w:b/>
                <w:bCs/>
                <w:sz w:val="20"/>
                <w:lang w:eastAsia="en-GB"/>
              </w:rPr>
            </w:pPr>
            <w:r w:rsidRPr="003730B5">
              <w:rPr>
                <w:b/>
                <w:bCs/>
                <w:sz w:val="20"/>
                <w:lang w:eastAsia="en-GB"/>
              </w:rPr>
              <w:t>Kraje</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375D7C" w14:textId="77777777" w:rsidR="00697FF1" w:rsidRPr="003730B5" w:rsidRDefault="00697FF1" w:rsidP="00697FF1">
            <w:pPr>
              <w:keepNext/>
              <w:keepLines/>
              <w:rPr>
                <w:bCs/>
                <w:sz w:val="20"/>
                <w:lang w:val="en-GB" w:eastAsia="en-GB"/>
              </w:rPr>
            </w:pPr>
            <w:r w:rsidRPr="003730B5">
              <w:rPr>
                <w:bCs/>
                <w:sz w:val="20"/>
                <w:lang w:val="en-GB" w:eastAsia="en-GB"/>
              </w:rPr>
              <w:t>EFRR/FST</w:t>
            </w:r>
          </w:p>
        </w:tc>
        <w:tc>
          <w:tcPr>
            <w:tcW w:w="3572" w:type="dxa"/>
            <w:tcBorders>
              <w:top w:val="nil"/>
              <w:left w:val="nil"/>
              <w:bottom w:val="single" w:sz="4" w:space="0" w:color="auto"/>
              <w:right w:val="single" w:sz="4" w:space="0" w:color="auto"/>
            </w:tcBorders>
            <w:shd w:val="clear" w:color="auto" w:fill="auto"/>
            <w:noWrap/>
            <w:vAlign w:val="center"/>
            <w:hideMark/>
          </w:tcPr>
          <w:p w14:paraId="640A31D1" w14:textId="33CFB361" w:rsidR="00697FF1" w:rsidRPr="003730B5" w:rsidRDefault="00697FF1" w:rsidP="00697FF1">
            <w:pPr>
              <w:keepNext/>
              <w:keepLines/>
              <w:rPr>
                <w:bCs/>
                <w:sz w:val="20"/>
                <w:lang w:val="en-GB" w:eastAsia="en-GB"/>
              </w:rPr>
            </w:pPr>
            <w:r w:rsidRPr="003730B5">
              <w:rPr>
                <w:bCs/>
                <w:sz w:val="20"/>
                <w:lang w:val="en-GB" w:eastAsia="en-GB"/>
              </w:rPr>
              <w:t>MÉNĚ ROZVINUTÉ</w:t>
            </w:r>
          </w:p>
        </w:tc>
        <w:tc>
          <w:tcPr>
            <w:tcW w:w="851" w:type="dxa"/>
            <w:tcBorders>
              <w:top w:val="nil"/>
              <w:left w:val="nil"/>
              <w:bottom w:val="single" w:sz="4" w:space="0" w:color="auto"/>
              <w:right w:val="single" w:sz="4" w:space="0" w:color="auto"/>
            </w:tcBorders>
            <w:shd w:val="clear" w:color="auto" w:fill="auto"/>
            <w:noWrap/>
            <w:vAlign w:val="bottom"/>
            <w:hideMark/>
          </w:tcPr>
          <w:p w14:paraId="7625FB9C" w14:textId="77777777" w:rsidR="00697FF1" w:rsidRPr="003730B5" w:rsidRDefault="00697FF1" w:rsidP="00697FF1">
            <w:pPr>
              <w:keepNext/>
              <w:keepLines/>
              <w:jc w:val="center"/>
              <w:rPr>
                <w:bCs/>
                <w:sz w:val="20"/>
                <w:lang w:val="en-GB" w:eastAsia="en-GB"/>
              </w:rPr>
            </w:pPr>
            <w:r w:rsidRPr="003730B5">
              <w:rPr>
                <w:bCs/>
                <w:sz w:val="20"/>
                <w:lang w:val="en-GB" w:eastAsia="en-GB"/>
              </w:rPr>
              <w:t>85%</w:t>
            </w:r>
          </w:p>
        </w:tc>
        <w:tc>
          <w:tcPr>
            <w:tcW w:w="992" w:type="dxa"/>
            <w:tcBorders>
              <w:top w:val="nil"/>
              <w:left w:val="nil"/>
              <w:bottom w:val="single" w:sz="4" w:space="0" w:color="auto"/>
              <w:right w:val="single" w:sz="4" w:space="0" w:color="auto"/>
            </w:tcBorders>
            <w:shd w:val="clear" w:color="auto" w:fill="auto"/>
            <w:noWrap/>
            <w:vAlign w:val="bottom"/>
            <w:hideMark/>
          </w:tcPr>
          <w:p w14:paraId="2A3283F6" w14:textId="77777777" w:rsidR="00697FF1" w:rsidRPr="003730B5" w:rsidRDefault="00697FF1" w:rsidP="00697FF1">
            <w:pPr>
              <w:keepNext/>
              <w:keepLines/>
              <w:jc w:val="center"/>
              <w:rPr>
                <w:bCs/>
                <w:sz w:val="20"/>
                <w:lang w:val="en-GB" w:eastAsia="en-GB"/>
              </w:rPr>
            </w:pPr>
            <w:r w:rsidRPr="003730B5">
              <w:rPr>
                <w:bCs/>
                <w:sz w:val="20"/>
                <w:lang w:val="en-GB" w:eastAsia="en-GB"/>
              </w:rPr>
              <w:t>15%</w:t>
            </w:r>
          </w:p>
        </w:tc>
        <w:tc>
          <w:tcPr>
            <w:tcW w:w="850" w:type="dxa"/>
            <w:tcBorders>
              <w:top w:val="nil"/>
              <w:left w:val="nil"/>
              <w:bottom w:val="single" w:sz="4" w:space="0" w:color="auto"/>
              <w:right w:val="single" w:sz="4" w:space="0" w:color="auto"/>
            </w:tcBorders>
            <w:shd w:val="clear" w:color="auto" w:fill="auto"/>
            <w:noWrap/>
            <w:vAlign w:val="bottom"/>
            <w:hideMark/>
          </w:tcPr>
          <w:p w14:paraId="6EFD4A9B" w14:textId="77777777" w:rsidR="00697FF1" w:rsidRPr="003730B5" w:rsidRDefault="00697FF1" w:rsidP="00697FF1">
            <w:pPr>
              <w:keepNext/>
              <w:keepLines/>
              <w:jc w:val="center"/>
              <w:rPr>
                <w:bCs/>
                <w:sz w:val="20"/>
                <w:lang w:val="en-GB" w:eastAsia="en-GB"/>
              </w:rPr>
            </w:pPr>
            <w:r w:rsidRPr="003730B5">
              <w:rPr>
                <w:bCs/>
                <w:sz w:val="20"/>
                <w:lang w:val="en-GB" w:eastAsia="en-GB"/>
              </w:rPr>
              <w:t>0%</w:t>
            </w:r>
          </w:p>
        </w:tc>
      </w:tr>
      <w:tr w:rsidR="00697FF1" w:rsidRPr="003730B5" w14:paraId="758115C4"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32CB3AE3" w14:textId="77777777" w:rsidR="00697FF1" w:rsidRPr="003730B5" w:rsidRDefault="00697FF1" w:rsidP="00697FF1">
            <w:pPr>
              <w:keepNext/>
              <w:keepLines/>
              <w:rPr>
                <w:b/>
                <w:bCs/>
                <w:sz w:val="20"/>
                <w:lang w:val="en-GB"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399EE0A5"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1F1CED0A" w14:textId="15430636" w:rsidR="00697FF1" w:rsidRPr="003730B5" w:rsidRDefault="00697FF1" w:rsidP="00697FF1">
            <w:pPr>
              <w:keepNext/>
              <w:keepLines/>
              <w:rPr>
                <w:bCs/>
                <w:sz w:val="20"/>
                <w:lang w:val="en-GB" w:eastAsia="en-GB"/>
              </w:rPr>
            </w:pPr>
            <w:r w:rsidRPr="003730B5">
              <w:rPr>
                <w:bCs/>
                <w:sz w:val="20"/>
                <w:lang w:val="en-GB" w:eastAsia="en-GB"/>
              </w:rPr>
              <w:t>PŘECHODOVÉ</w:t>
            </w:r>
          </w:p>
        </w:tc>
        <w:tc>
          <w:tcPr>
            <w:tcW w:w="851" w:type="dxa"/>
            <w:tcBorders>
              <w:top w:val="nil"/>
              <w:left w:val="nil"/>
              <w:bottom w:val="single" w:sz="4" w:space="0" w:color="auto"/>
              <w:right w:val="single" w:sz="4" w:space="0" w:color="auto"/>
            </w:tcBorders>
            <w:shd w:val="clear" w:color="auto" w:fill="auto"/>
            <w:noWrap/>
            <w:vAlign w:val="bottom"/>
            <w:hideMark/>
          </w:tcPr>
          <w:p w14:paraId="33BE5CF8" w14:textId="77777777" w:rsidR="00697FF1" w:rsidRPr="003730B5" w:rsidRDefault="00697FF1" w:rsidP="00697FF1">
            <w:pPr>
              <w:keepNext/>
              <w:keepLines/>
              <w:jc w:val="center"/>
              <w:rPr>
                <w:bCs/>
                <w:sz w:val="20"/>
                <w:lang w:val="en-GB" w:eastAsia="en-GB"/>
              </w:rPr>
            </w:pPr>
            <w:r w:rsidRPr="003730B5">
              <w:rPr>
                <w:bCs/>
                <w:sz w:val="20"/>
                <w:lang w:val="en-GB" w:eastAsia="en-GB"/>
              </w:rPr>
              <w:t>70%</w:t>
            </w:r>
          </w:p>
        </w:tc>
        <w:tc>
          <w:tcPr>
            <w:tcW w:w="992" w:type="dxa"/>
            <w:tcBorders>
              <w:top w:val="nil"/>
              <w:left w:val="nil"/>
              <w:bottom w:val="single" w:sz="4" w:space="0" w:color="auto"/>
              <w:right w:val="single" w:sz="4" w:space="0" w:color="auto"/>
            </w:tcBorders>
            <w:shd w:val="clear" w:color="auto" w:fill="auto"/>
            <w:noWrap/>
            <w:vAlign w:val="bottom"/>
            <w:hideMark/>
          </w:tcPr>
          <w:p w14:paraId="290162BF" w14:textId="77777777" w:rsidR="00697FF1" w:rsidRPr="003730B5" w:rsidRDefault="00697FF1" w:rsidP="00697FF1">
            <w:pPr>
              <w:keepNext/>
              <w:keepLines/>
              <w:jc w:val="center"/>
              <w:rPr>
                <w:bCs/>
                <w:sz w:val="20"/>
                <w:lang w:val="en-GB" w:eastAsia="en-GB"/>
              </w:rPr>
            </w:pPr>
            <w:r w:rsidRPr="003730B5">
              <w:rPr>
                <w:bCs/>
                <w:sz w:val="20"/>
                <w:lang w:val="en-GB" w:eastAsia="en-GB"/>
              </w:rPr>
              <w:t>15%</w:t>
            </w:r>
          </w:p>
        </w:tc>
        <w:tc>
          <w:tcPr>
            <w:tcW w:w="850" w:type="dxa"/>
            <w:tcBorders>
              <w:top w:val="nil"/>
              <w:left w:val="nil"/>
              <w:bottom w:val="single" w:sz="4" w:space="0" w:color="auto"/>
              <w:right w:val="single" w:sz="4" w:space="0" w:color="auto"/>
            </w:tcBorders>
            <w:shd w:val="clear" w:color="auto" w:fill="auto"/>
            <w:noWrap/>
            <w:vAlign w:val="bottom"/>
            <w:hideMark/>
          </w:tcPr>
          <w:p w14:paraId="35360C42" w14:textId="77777777" w:rsidR="00697FF1" w:rsidRPr="003730B5" w:rsidRDefault="00697FF1" w:rsidP="00697FF1">
            <w:pPr>
              <w:keepNext/>
              <w:keepLines/>
              <w:jc w:val="center"/>
              <w:rPr>
                <w:bCs/>
                <w:sz w:val="20"/>
                <w:lang w:val="en-GB" w:eastAsia="en-GB"/>
              </w:rPr>
            </w:pPr>
            <w:r w:rsidRPr="003730B5">
              <w:rPr>
                <w:bCs/>
                <w:sz w:val="20"/>
                <w:lang w:val="en-GB" w:eastAsia="en-GB"/>
              </w:rPr>
              <w:t>15%</w:t>
            </w:r>
          </w:p>
        </w:tc>
      </w:tr>
      <w:tr w:rsidR="00930703" w:rsidRPr="003730B5" w14:paraId="6A9D7846"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742CFF94" w14:textId="77777777" w:rsidR="00697FF1" w:rsidRPr="003730B5" w:rsidRDefault="00697FF1" w:rsidP="00697FF1">
            <w:pPr>
              <w:keepNext/>
              <w:keepLines/>
              <w:rPr>
                <w:b/>
                <w:bCs/>
                <w:sz w:val="20"/>
                <w:lang w:val="en-GB"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7D55C8DF" w14:textId="77777777" w:rsidR="00697FF1" w:rsidRPr="003730B5" w:rsidRDefault="00697FF1" w:rsidP="00697FF1">
            <w:pPr>
              <w:keepNext/>
              <w:keepLines/>
              <w:rPr>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5F0819CE" w14:textId="4751F8DE" w:rsidR="00697FF1" w:rsidRPr="003730B5" w:rsidRDefault="00697FF1" w:rsidP="00697FF1">
            <w:pPr>
              <w:keepNext/>
              <w:keepLines/>
              <w:rPr>
                <w:bCs/>
                <w:sz w:val="20"/>
                <w:lang w:val="en-GB" w:eastAsia="en-GB"/>
              </w:rPr>
            </w:pPr>
            <w:r w:rsidRPr="003730B5">
              <w:rPr>
                <w:bCs/>
                <w:sz w:val="20"/>
                <w:lang w:val="en-GB" w:eastAsia="en-GB"/>
              </w:rPr>
              <w:t>ROZVINUTĚJŠÁ (PRAHA)</w:t>
            </w:r>
          </w:p>
        </w:tc>
        <w:tc>
          <w:tcPr>
            <w:tcW w:w="851" w:type="dxa"/>
            <w:tcBorders>
              <w:top w:val="nil"/>
              <w:left w:val="nil"/>
              <w:bottom w:val="single" w:sz="4" w:space="0" w:color="auto"/>
              <w:right w:val="single" w:sz="4" w:space="0" w:color="auto"/>
            </w:tcBorders>
            <w:shd w:val="clear" w:color="auto" w:fill="auto"/>
            <w:noWrap/>
            <w:vAlign w:val="bottom"/>
            <w:hideMark/>
          </w:tcPr>
          <w:p w14:paraId="54D2EB58" w14:textId="77777777" w:rsidR="00697FF1" w:rsidRPr="003730B5" w:rsidRDefault="00697FF1" w:rsidP="00697FF1">
            <w:pPr>
              <w:keepNext/>
              <w:keepLines/>
              <w:jc w:val="center"/>
              <w:rPr>
                <w:bCs/>
                <w:sz w:val="20"/>
                <w:lang w:val="en-GB" w:eastAsia="en-GB"/>
              </w:rPr>
            </w:pPr>
            <w:r w:rsidRPr="003730B5">
              <w:rPr>
                <w:bCs/>
                <w:sz w:val="20"/>
                <w:lang w:val="en-GB" w:eastAsia="en-GB"/>
              </w:rPr>
              <w:t>40%</w:t>
            </w:r>
          </w:p>
        </w:tc>
        <w:tc>
          <w:tcPr>
            <w:tcW w:w="992" w:type="dxa"/>
            <w:tcBorders>
              <w:top w:val="nil"/>
              <w:left w:val="nil"/>
              <w:bottom w:val="single" w:sz="4" w:space="0" w:color="auto"/>
              <w:right w:val="single" w:sz="4" w:space="0" w:color="auto"/>
            </w:tcBorders>
            <w:shd w:val="clear" w:color="auto" w:fill="auto"/>
            <w:noWrap/>
            <w:vAlign w:val="bottom"/>
            <w:hideMark/>
          </w:tcPr>
          <w:p w14:paraId="3A9B844F" w14:textId="77777777" w:rsidR="00697FF1" w:rsidRPr="003730B5" w:rsidRDefault="00697FF1" w:rsidP="00697FF1">
            <w:pPr>
              <w:keepNext/>
              <w:keepLines/>
              <w:jc w:val="center"/>
              <w:rPr>
                <w:bCs/>
                <w:sz w:val="20"/>
                <w:lang w:val="en-GB" w:eastAsia="en-GB"/>
              </w:rPr>
            </w:pPr>
            <w:r w:rsidRPr="003730B5">
              <w:rPr>
                <w:bCs/>
                <w:sz w:val="20"/>
                <w:lang w:val="en-GB" w:eastAsia="en-GB"/>
              </w:rPr>
              <w:t>50%</w:t>
            </w:r>
          </w:p>
        </w:tc>
        <w:tc>
          <w:tcPr>
            <w:tcW w:w="850" w:type="dxa"/>
            <w:tcBorders>
              <w:top w:val="nil"/>
              <w:left w:val="nil"/>
              <w:bottom w:val="single" w:sz="4" w:space="0" w:color="auto"/>
              <w:right w:val="single" w:sz="4" w:space="0" w:color="auto"/>
            </w:tcBorders>
            <w:shd w:val="clear" w:color="auto" w:fill="auto"/>
            <w:noWrap/>
            <w:vAlign w:val="bottom"/>
            <w:hideMark/>
          </w:tcPr>
          <w:p w14:paraId="7B2F8F68" w14:textId="77777777" w:rsidR="00697FF1" w:rsidRPr="003730B5" w:rsidRDefault="00697FF1" w:rsidP="00697FF1">
            <w:pPr>
              <w:keepNext/>
              <w:keepLines/>
              <w:jc w:val="center"/>
              <w:rPr>
                <w:bCs/>
                <w:sz w:val="20"/>
                <w:lang w:val="en-GB" w:eastAsia="en-GB"/>
              </w:rPr>
            </w:pPr>
            <w:r w:rsidRPr="003730B5">
              <w:rPr>
                <w:bCs/>
                <w:sz w:val="20"/>
                <w:lang w:val="en-GB" w:eastAsia="en-GB"/>
              </w:rPr>
              <w:t>10%</w:t>
            </w:r>
          </w:p>
        </w:tc>
      </w:tr>
      <w:tr w:rsidR="00697FF1" w:rsidRPr="003730B5" w14:paraId="2D7A8C3A"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361BFA0F" w14:textId="77777777" w:rsidR="00697FF1" w:rsidRPr="003730B5" w:rsidRDefault="00697FF1" w:rsidP="00697FF1">
            <w:pPr>
              <w:keepNext/>
              <w:keepLines/>
              <w:rPr>
                <w:b/>
                <w:bCs/>
                <w:sz w:val="20"/>
                <w:lang w:val="en-GB" w:eastAsia="en-GB"/>
              </w:rPr>
            </w:pP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54E91D" w14:textId="77777777" w:rsidR="00697FF1" w:rsidRPr="003730B5" w:rsidRDefault="00697FF1" w:rsidP="00697FF1">
            <w:pPr>
              <w:keepNext/>
              <w:keepLines/>
              <w:rPr>
                <w:bCs/>
                <w:sz w:val="20"/>
                <w:lang w:val="en-GB" w:eastAsia="en-GB"/>
              </w:rPr>
            </w:pPr>
            <w:r w:rsidRPr="003730B5">
              <w:rPr>
                <w:bCs/>
                <w:sz w:val="20"/>
                <w:lang w:val="en-GB" w:eastAsia="en-GB"/>
              </w:rPr>
              <w:t>ESF+</w:t>
            </w:r>
          </w:p>
        </w:tc>
        <w:tc>
          <w:tcPr>
            <w:tcW w:w="3572" w:type="dxa"/>
            <w:tcBorders>
              <w:top w:val="nil"/>
              <w:left w:val="nil"/>
              <w:bottom w:val="single" w:sz="4" w:space="0" w:color="auto"/>
              <w:right w:val="single" w:sz="4" w:space="0" w:color="auto"/>
            </w:tcBorders>
            <w:shd w:val="clear" w:color="auto" w:fill="auto"/>
            <w:noWrap/>
            <w:vAlign w:val="center"/>
            <w:hideMark/>
          </w:tcPr>
          <w:p w14:paraId="567FEB4E" w14:textId="2A44E876" w:rsidR="00697FF1" w:rsidRPr="003730B5" w:rsidRDefault="00697FF1" w:rsidP="00697FF1">
            <w:pPr>
              <w:keepNext/>
              <w:keepLines/>
              <w:rPr>
                <w:bCs/>
                <w:sz w:val="20"/>
                <w:lang w:val="en-GB" w:eastAsia="en-GB"/>
              </w:rPr>
            </w:pPr>
            <w:r w:rsidRPr="003730B5">
              <w:rPr>
                <w:bCs/>
                <w:sz w:val="20"/>
                <w:lang w:val="en-GB" w:eastAsia="en-GB"/>
              </w:rPr>
              <w:t>MÉNĚ ROZVINUTÉ</w:t>
            </w:r>
          </w:p>
        </w:tc>
        <w:tc>
          <w:tcPr>
            <w:tcW w:w="851" w:type="dxa"/>
            <w:tcBorders>
              <w:top w:val="nil"/>
              <w:left w:val="nil"/>
              <w:bottom w:val="single" w:sz="4" w:space="0" w:color="auto"/>
              <w:right w:val="single" w:sz="4" w:space="0" w:color="auto"/>
            </w:tcBorders>
            <w:shd w:val="clear" w:color="auto" w:fill="auto"/>
            <w:noWrap/>
            <w:vAlign w:val="bottom"/>
            <w:hideMark/>
          </w:tcPr>
          <w:p w14:paraId="0472ED26" w14:textId="77777777" w:rsidR="00697FF1" w:rsidRPr="003730B5" w:rsidRDefault="00697FF1" w:rsidP="00697FF1">
            <w:pPr>
              <w:keepNext/>
              <w:keepLines/>
              <w:jc w:val="center"/>
              <w:rPr>
                <w:bCs/>
                <w:sz w:val="20"/>
                <w:lang w:val="en-GB" w:eastAsia="en-GB"/>
              </w:rPr>
            </w:pPr>
            <w:r w:rsidRPr="003730B5">
              <w:rPr>
                <w:bCs/>
                <w:sz w:val="20"/>
                <w:lang w:val="en-GB" w:eastAsia="en-GB"/>
              </w:rPr>
              <w:t>85%</w:t>
            </w:r>
          </w:p>
        </w:tc>
        <w:tc>
          <w:tcPr>
            <w:tcW w:w="992" w:type="dxa"/>
            <w:tcBorders>
              <w:top w:val="nil"/>
              <w:left w:val="nil"/>
              <w:bottom w:val="single" w:sz="4" w:space="0" w:color="auto"/>
              <w:right w:val="single" w:sz="4" w:space="0" w:color="auto"/>
            </w:tcBorders>
            <w:shd w:val="clear" w:color="auto" w:fill="auto"/>
            <w:noWrap/>
            <w:vAlign w:val="bottom"/>
            <w:hideMark/>
          </w:tcPr>
          <w:p w14:paraId="48008E2A" w14:textId="77777777" w:rsidR="00697FF1" w:rsidRPr="003730B5" w:rsidRDefault="00697FF1" w:rsidP="00697FF1">
            <w:pPr>
              <w:keepNext/>
              <w:keepLines/>
              <w:jc w:val="center"/>
              <w:rPr>
                <w:bCs/>
                <w:sz w:val="20"/>
                <w:lang w:val="en-GB" w:eastAsia="en-GB"/>
              </w:rPr>
            </w:pPr>
            <w:r w:rsidRPr="003730B5">
              <w:rPr>
                <w:bCs/>
                <w:sz w:val="20"/>
                <w:lang w:val="en-GB" w:eastAsia="en-GB"/>
              </w:rPr>
              <w:t>10%</w:t>
            </w:r>
          </w:p>
        </w:tc>
        <w:tc>
          <w:tcPr>
            <w:tcW w:w="850" w:type="dxa"/>
            <w:tcBorders>
              <w:top w:val="nil"/>
              <w:left w:val="nil"/>
              <w:bottom w:val="single" w:sz="4" w:space="0" w:color="auto"/>
              <w:right w:val="single" w:sz="4" w:space="0" w:color="auto"/>
            </w:tcBorders>
            <w:shd w:val="clear" w:color="auto" w:fill="auto"/>
            <w:noWrap/>
            <w:vAlign w:val="bottom"/>
            <w:hideMark/>
          </w:tcPr>
          <w:p w14:paraId="585AC669" w14:textId="77777777" w:rsidR="00697FF1" w:rsidRPr="003730B5" w:rsidRDefault="00697FF1" w:rsidP="00697FF1">
            <w:pPr>
              <w:keepNext/>
              <w:keepLines/>
              <w:jc w:val="center"/>
              <w:rPr>
                <w:bCs/>
                <w:sz w:val="20"/>
                <w:lang w:val="en-GB" w:eastAsia="en-GB"/>
              </w:rPr>
            </w:pPr>
            <w:r w:rsidRPr="003730B5">
              <w:rPr>
                <w:bCs/>
                <w:sz w:val="20"/>
                <w:lang w:val="en-GB" w:eastAsia="en-GB"/>
              </w:rPr>
              <w:t>5%</w:t>
            </w:r>
          </w:p>
        </w:tc>
      </w:tr>
      <w:tr w:rsidR="00697FF1" w:rsidRPr="003730B5" w14:paraId="6CBA9383"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51625DFE" w14:textId="77777777" w:rsidR="00697FF1" w:rsidRPr="003730B5" w:rsidRDefault="00697FF1" w:rsidP="00697FF1">
            <w:pPr>
              <w:keepNext/>
              <w:keepLines/>
              <w:rPr>
                <w:b/>
                <w:bCs/>
                <w:sz w:val="20"/>
                <w:lang w:val="en-GB"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45BCB9B5" w14:textId="77777777" w:rsidR="00697FF1" w:rsidRPr="003730B5" w:rsidRDefault="00697FF1" w:rsidP="00697FF1">
            <w:pPr>
              <w:keepNext/>
              <w:keepLines/>
              <w:rPr>
                <w:b/>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742D25D3" w14:textId="244A6782" w:rsidR="00697FF1" w:rsidRPr="003730B5" w:rsidRDefault="00697FF1" w:rsidP="00697FF1">
            <w:pPr>
              <w:keepNext/>
              <w:keepLines/>
              <w:rPr>
                <w:bCs/>
                <w:sz w:val="20"/>
                <w:lang w:val="en-GB" w:eastAsia="en-GB"/>
              </w:rPr>
            </w:pPr>
            <w:r w:rsidRPr="003730B5">
              <w:rPr>
                <w:bCs/>
                <w:sz w:val="20"/>
                <w:lang w:val="en-GB" w:eastAsia="en-GB"/>
              </w:rPr>
              <w:t>PŘECHODOVÉ</w:t>
            </w:r>
          </w:p>
        </w:tc>
        <w:tc>
          <w:tcPr>
            <w:tcW w:w="851" w:type="dxa"/>
            <w:tcBorders>
              <w:top w:val="nil"/>
              <w:left w:val="nil"/>
              <w:bottom w:val="single" w:sz="4" w:space="0" w:color="auto"/>
              <w:right w:val="single" w:sz="4" w:space="0" w:color="auto"/>
            </w:tcBorders>
            <w:shd w:val="clear" w:color="auto" w:fill="auto"/>
            <w:noWrap/>
            <w:vAlign w:val="bottom"/>
            <w:hideMark/>
          </w:tcPr>
          <w:p w14:paraId="0310FE07" w14:textId="77777777" w:rsidR="00697FF1" w:rsidRPr="003730B5" w:rsidRDefault="00697FF1" w:rsidP="00697FF1">
            <w:pPr>
              <w:keepNext/>
              <w:keepLines/>
              <w:jc w:val="center"/>
              <w:rPr>
                <w:bCs/>
                <w:sz w:val="20"/>
                <w:lang w:val="en-GB" w:eastAsia="en-GB"/>
              </w:rPr>
            </w:pPr>
            <w:r w:rsidRPr="003730B5">
              <w:rPr>
                <w:bCs/>
                <w:sz w:val="20"/>
                <w:lang w:val="en-GB" w:eastAsia="en-GB"/>
              </w:rPr>
              <w:t>70%</w:t>
            </w:r>
          </w:p>
        </w:tc>
        <w:tc>
          <w:tcPr>
            <w:tcW w:w="992" w:type="dxa"/>
            <w:tcBorders>
              <w:top w:val="nil"/>
              <w:left w:val="nil"/>
              <w:bottom w:val="single" w:sz="4" w:space="0" w:color="auto"/>
              <w:right w:val="single" w:sz="4" w:space="0" w:color="auto"/>
            </w:tcBorders>
            <w:shd w:val="clear" w:color="auto" w:fill="auto"/>
            <w:noWrap/>
            <w:vAlign w:val="bottom"/>
            <w:hideMark/>
          </w:tcPr>
          <w:p w14:paraId="3DEDF516" w14:textId="77777777" w:rsidR="00697FF1" w:rsidRPr="003730B5" w:rsidRDefault="00697FF1" w:rsidP="00697FF1">
            <w:pPr>
              <w:keepNext/>
              <w:keepLines/>
              <w:jc w:val="center"/>
              <w:rPr>
                <w:bCs/>
                <w:sz w:val="20"/>
                <w:lang w:val="en-GB" w:eastAsia="en-GB"/>
              </w:rPr>
            </w:pPr>
            <w:r w:rsidRPr="003730B5">
              <w:rPr>
                <w:bCs/>
                <w:sz w:val="20"/>
                <w:lang w:val="en-GB" w:eastAsia="en-GB"/>
              </w:rPr>
              <w:t>10%</w:t>
            </w:r>
          </w:p>
        </w:tc>
        <w:tc>
          <w:tcPr>
            <w:tcW w:w="850" w:type="dxa"/>
            <w:tcBorders>
              <w:top w:val="nil"/>
              <w:left w:val="nil"/>
              <w:bottom w:val="single" w:sz="4" w:space="0" w:color="auto"/>
              <w:right w:val="single" w:sz="4" w:space="0" w:color="auto"/>
            </w:tcBorders>
            <w:shd w:val="clear" w:color="auto" w:fill="auto"/>
            <w:noWrap/>
            <w:vAlign w:val="bottom"/>
            <w:hideMark/>
          </w:tcPr>
          <w:p w14:paraId="6CE01CB7" w14:textId="77777777" w:rsidR="00697FF1" w:rsidRPr="003730B5" w:rsidRDefault="00697FF1" w:rsidP="00697FF1">
            <w:pPr>
              <w:keepNext/>
              <w:keepLines/>
              <w:jc w:val="center"/>
              <w:rPr>
                <w:bCs/>
                <w:sz w:val="20"/>
                <w:lang w:val="en-GB" w:eastAsia="en-GB"/>
              </w:rPr>
            </w:pPr>
            <w:r w:rsidRPr="003730B5">
              <w:rPr>
                <w:bCs/>
                <w:sz w:val="20"/>
                <w:lang w:val="en-GB" w:eastAsia="en-GB"/>
              </w:rPr>
              <w:t>20%</w:t>
            </w:r>
          </w:p>
        </w:tc>
      </w:tr>
      <w:tr w:rsidR="00930703" w:rsidRPr="003730B5" w14:paraId="3C32DC48" w14:textId="77777777" w:rsidTr="00A24C00">
        <w:trPr>
          <w:trHeight w:val="300"/>
          <w:jc w:val="center"/>
        </w:trPr>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4CB9EC52" w14:textId="77777777" w:rsidR="00697FF1" w:rsidRPr="003730B5" w:rsidRDefault="00697FF1" w:rsidP="00697FF1">
            <w:pPr>
              <w:keepNext/>
              <w:keepLines/>
              <w:rPr>
                <w:b/>
                <w:bCs/>
                <w:sz w:val="20"/>
                <w:lang w:val="en-GB" w:eastAsia="en-GB"/>
              </w:rPr>
            </w:pPr>
          </w:p>
        </w:tc>
        <w:tc>
          <w:tcPr>
            <w:tcW w:w="1985" w:type="dxa"/>
            <w:vMerge/>
            <w:tcBorders>
              <w:top w:val="nil"/>
              <w:left w:val="single" w:sz="4" w:space="0" w:color="auto"/>
              <w:bottom w:val="single" w:sz="4" w:space="0" w:color="auto"/>
              <w:right w:val="single" w:sz="4" w:space="0" w:color="auto"/>
            </w:tcBorders>
            <w:shd w:val="clear" w:color="auto" w:fill="auto"/>
            <w:vAlign w:val="center"/>
            <w:hideMark/>
          </w:tcPr>
          <w:p w14:paraId="13ABD6A4" w14:textId="77777777" w:rsidR="00697FF1" w:rsidRPr="003730B5" w:rsidRDefault="00697FF1" w:rsidP="00697FF1">
            <w:pPr>
              <w:keepNext/>
              <w:keepLines/>
              <w:rPr>
                <w:b/>
                <w:bCs/>
                <w:sz w:val="20"/>
                <w:lang w:val="en-GB" w:eastAsia="en-GB"/>
              </w:rPr>
            </w:pPr>
          </w:p>
        </w:tc>
        <w:tc>
          <w:tcPr>
            <w:tcW w:w="3572" w:type="dxa"/>
            <w:tcBorders>
              <w:top w:val="nil"/>
              <w:left w:val="nil"/>
              <w:bottom w:val="single" w:sz="4" w:space="0" w:color="auto"/>
              <w:right w:val="single" w:sz="4" w:space="0" w:color="auto"/>
            </w:tcBorders>
            <w:shd w:val="clear" w:color="auto" w:fill="auto"/>
            <w:noWrap/>
            <w:vAlign w:val="center"/>
            <w:hideMark/>
          </w:tcPr>
          <w:p w14:paraId="425604AE" w14:textId="55719B20" w:rsidR="00697FF1" w:rsidRPr="003730B5" w:rsidRDefault="00697FF1" w:rsidP="00697FF1">
            <w:pPr>
              <w:keepNext/>
              <w:keepLines/>
              <w:rPr>
                <w:bCs/>
                <w:sz w:val="20"/>
                <w:lang w:val="en-GB" w:eastAsia="en-GB"/>
              </w:rPr>
            </w:pPr>
            <w:r w:rsidRPr="003730B5">
              <w:rPr>
                <w:bCs/>
                <w:sz w:val="20"/>
                <w:lang w:val="en-GB" w:eastAsia="en-GB"/>
              </w:rPr>
              <w:t>ROZVINUTĚJŠÁ (PRAHA)</w:t>
            </w:r>
          </w:p>
        </w:tc>
        <w:tc>
          <w:tcPr>
            <w:tcW w:w="851" w:type="dxa"/>
            <w:tcBorders>
              <w:top w:val="nil"/>
              <w:left w:val="nil"/>
              <w:bottom w:val="single" w:sz="4" w:space="0" w:color="auto"/>
              <w:right w:val="single" w:sz="4" w:space="0" w:color="auto"/>
            </w:tcBorders>
            <w:shd w:val="clear" w:color="auto" w:fill="auto"/>
            <w:noWrap/>
            <w:vAlign w:val="bottom"/>
            <w:hideMark/>
          </w:tcPr>
          <w:p w14:paraId="78FE5C67" w14:textId="77777777" w:rsidR="00697FF1" w:rsidRPr="003730B5" w:rsidRDefault="00697FF1" w:rsidP="00697FF1">
            <w:pPr>
              <w:keepNext/>
              <w:keepLines/>
              <w:jc w:val="center"/>
              <w:rPr>
                <w:bCs/>
                <w:sz w:val="20"/>
                <w:lang w:val="en-GB" w:eastAsia="en-GB"/>
              </w:rPr>
            </w:pPr>
            <w:r w:rsidRPr="003730B5">
              <w:rPr>
                <w:bCs/>
                <w:sz w:val="20"/>
                <w:lang w:val="en-GB" w:eastAsia="en-GB"/>
              </w:rPr>
              <w:t>40%</w:t>
            </w:r>
          </w:p>
        </w:tc>
        <w:tc>
          <w:tcPr>
            <w:tcW w:w="992" w:type="dxa"/>
            <w:tcBorders>
              <w:top w:val="nil"/>
              <w:left w:val="nil"/>
              <w:bottom w:val="single" w:sz="4" w:space="0" w:color="auto"/>
              <w:right w:val="single" w:sz="4" w:space="0" w:color="auto"/>
            </w:tcBorders>
            <w:shd w:val="clear" w:color="auto" w:fill="auto"/>
            <w:noWrap/>
            <w:vAlign w:val="bottom"/>
            <w:hideMark/>
          </w:tcPr>
          <w:p w14:paraId="512BC969" w14:textId="77777777" w:rsidR="00697FF1" w:rsidRPr="003730B5" w:rsidRDefault="00697FF1" w:rsidP="00697FF1">
            <w:pPr>
              <w:keepNext/>
              <w:keepLines/>
              <w:jc w:val="center"/>
              <w:rPr>
                <w:bCs/>
                <w:sz w:val="20"/>
                <w:lang w:val="en-GB" w:eastAsia="en-GB"/>
              </w:rPr>
            </w:pPr>
            <w:r w:rsidRPr="003730B5">
              <w:rPr>
                <w:bCs/>
                <w:sz w:val="20"/>
                <w:lang w:val="en-GB" w:eastAsia="en-GB"/>
              </w:rPr>
              <w:t>45%</w:t>
            </w:r>
          </w:p>
        </w:tc>
        <w:tc>
          <w:tcPr>
            <w:tcW w:w="850" w:type="dxa"/>
            <w:tcBorders>
              <w:top w:val="nil"/>
              <w:left w:val="nil"/>
              <w:bottom w:val="single" w:sz="4" w:space="0" w:color="auto"/>
              <w:right w:val="single" w:sz="4" w:space="0" w:color="auto"/>
            </w:tcBorders>
            <w:shd w:val="clear" w:color="auto" w:fill="auto"/>
            <w:noWrap/>
            <w:vAlign w:val="bottom"/>
            <w:hideMark/>
          </w:tcPr>
          <w:p w14:paraId="17DAB3DD" w14:textId="77777777" w:rsidR="00697FF1" w:rsidRPr="003730B5" w:rsidRDefault="00697FF1" w:rsidP="00697FF1">
            <w:pPr>
              <w:keepNext/>
              <w:keepLines/>
              <w:jc w:val="center"/>
              <w:rPr>
                <w:bCs/>
                <w:sz w:val="20"/>
                <w:lang w:val="en-GB" w:eastAsia="en-GB"/>
              </w:rPr>
            </w:pPr>
            <w:r w:rsidRPr="003730B5">
              <w:rPr>
                <w:bCs/>
                <w:sz w:val="20"/>
                <w:lang w:val="en-GB" w:eastAsia="en-GB"/>
              </w:rPr>
              <w:t>15%</w:t>
            </w:r>
          </w:p>
        </w:tc>
      </w:tr>
    </w:tbl>
    <w:p w14:paraId="06399C70" w14:textId="7FB4553B" w:rsidR="00384505" w:rsidRPr="003730B5" w:rsidRDefault="00384505" w:rsidP="00FA6F01">
      <w:pPr>
        <w:keepNext/>
        <w:keepLines/>
        <w:rPr>
          <w:rFonts w:cstheme="minorHAnsi"/>
          <w:sz w:val="20"/>
        </w:rPr>
      </w:pPr>
      <w:r w:rsidRPr="003730B5">
        <w:rPr>
          <w:rFonts w:cstheme="minorHAnsi"/>
          <w:sz w:val="20"/>
        </w:rPr>
        <w:t xml:space="preserve">Pozn.: </w:t>
      </w:r>
      <w:r w:rsidR="00C862B4" w:rsidRPr="003730B5">
        <w:rPr>
          <w:rFonts w:cstheme="minorHAnsi"/>
          <w:sz w:val="20"/>
        </w:rPr>
        <w:t>V </w:t>
      </w:r>
      <w:r w:rsidRPr="003730B5">
        <w:rPr>
          <w:rFonts w:cstheme="minorHAnsi"/>
          <w:sz w:val="20"/>
        </w:rPr>
        <w:t xml:space="preserve">případě Fondu soudržnosti jsou míry spolufinancování shodné </w:t>
      </w:r>
      <w:r w:rsidR="00C862B4" w:rsidRPr="003730B5">
        <w:rPr>
          <w:rFonts w:cstheme="minorHAnsi"/>
          <w:sz w:val="20"/>
        </w:rPr>
        <w:t>s </w:t>
      </w:r>
      <w:r w:rsidRPr="003730B5">
        <w:rPr>
          <w:rFonts w:cstheme="minorHAnsi"/>
          <w:sz w:val="20"/>
        </w:rPr>
        <w:t>mírou spolufinancování pro EFRR v kategorii méně rozvinutých regionů.</w:t>
      </w:r>
    </w:p>
    <w:p w14:paraId="75FF512D" w14:textId="77777777" w:rsidR="00384505" w:rsidRPr="003730B5" w:rsidRDefault="00384505" w:rsidP="00384505">
      <w:pPr>
        <w:rPr>
          <w:rFonts w:cstheme="minorHAnsi"/>
          <w:bCs/>
          <w:sz w:val="20"/>
        </w:rPr>
      </w:pPr>
    </w:p>
    <w:p w14:paraId="6B3325D7" w14:textId="355C16CE" w:rsidR="00384505" w:rsidRPr="003730B5" w:rsidRDefault="00384505" w:rsidP="00384505">
      <w:pPr>
        <w:widowControl w:val="0"/>
        <w:spacing w:after="120"/>
      </w:pPr>
      <w:r w:rsidRPr="003730B5">
        <w:t xml:space="preserve">Celkový objem spolufinancování pro programovací období 2021-2027 činí 67,6 mld. Kč. Z toho 41,9 mld. Kč připadá na organizační složky státu </w:t>
      </w:r>
      <w:r w:rsidR="00C862B4" w:rsidRPr="003730B5">
        <w:t>a </w:t>
      </w:r>
      <w:r w:rsidRPr="003730B5">
        <w:t xml:space="preserve">jejich příspěvkové organizace </w:t>
      </w:r>
      <w:r w:rsidR="00C862B4" w:rsidRPr="003730B5">
        <w:t>a </w:t>
      </w:r>
      <w:r w:rsidRPr="003730B5">
        <w:t xml:space="preserve">státní </w:t>
      </w:r>
      <w:r w:rsidRPr="003730B5">
        <w:lastRenderedPageBreak/>
        <w:t xml:space="preserve">fondy. </w:t>
      </w:r>
    </w:p>
    <w:p w14:paraId="243F88F1" w14:textId="75CD0223" w:rsidR="00384505" w:rsidRPr="003730B5" w:rsidRDefault="00384505" w:rsidP="00384505">
      <w:pPr>
        <w:keepNext/>
        <w:keepLines/>
        <w:widowControl w:val="0"/>
        <w:spacing w:after="120"/>
        <w:rPr>
          <w:b/>
        </w:rPr>
      </w:pPr>
      <w:r w:rsidRPr="003730B5">
        <w:rPr>
          <w:b/>
        </w:rPr>
        <w:t xml:space="preserve">Odhadované náklady SR na spolufinancování </w:t>
      </w:r>
      <w:r w:rsidR="00C862B4" w:rsidRPr="003730B5">
        <w:rPr>
          <w:b/>
        </w:rPr>
        <w:t>v </w:t>
      </w:r>
      <w:r w:rsidRPr="003730B5">
        <w:rPr>
          <w:b/>
        </w:rPr>
        <w:t>jednotlivých programový</w:t>
      </w:r>
      <w:r w:rsidR="00FA6F01" w:rsidRPr="003730B5">
        <w:rPr>
          <w:b/>
        </w:rPr>
        <w:t>ch obdobích v mld. Kč</w:t>
      </w:r>
    </w:p>
    <w:tbl>
      <w:tblPr>
        <w:tblW w:w="9139" w:type="dxa"/>
        <w:jc w:val="center"/>
        <w:tblLook w:val="04A0" w:firstRow="1" w:lastRow="0" w:firstColumn="1" w:lastColumn="0" w:noHBand="0" w:noVBand="1"/>
      </w:tblPr>
      <w:tblGrid>
        <w:gridCol w:w="5812"/>
        <w:gridCol w:w="1617"/>
        <w:gridCol w:w="1710"/>
      </w:tblGrid>
      <w:tr w:rsidR="00384505" w:rsidRPr="003730B5" w14:paraId="654D5470" w14:textId="77777777" w:rsidTr="00384505">
        <w:trPr>
          <w:trHeight w:val="300"/>
          <w:jc w:val="center"/>
        </w:trPr>
        <w:tc>
          <w:tcPr>
            <w:tcW w:w="581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4754551" w14:textId="77777777" w:rsidR="00384505" w:rsidRPr="003730B5" w:rsidRDefault="00384505" w:rsidP="00384505">
            <w:pPr>
              <w:keepNext/>
              <w:keepLines/>
              <w:jc w:val="center"/>
              <w:rPr>
                <w:b/>
                <w:bCs/>
                <w:sz w:val="20"/>
                <w:lang w:eastAsia="en-GB"/>
              </w:rPr>
            </w:pPr>
            <w:r w:rsidRPr="003730B5">
              <w:rPr>
                <w:b/>
                <w:bCs/>
                <w:sz w:val="20"/>
                <w:lang w:eastAsia="en-GB"/>
              </w:rPr>
              <w:t>Typ příjemce</w:t>
            </w:r>
          </w:p>
        </w:tc>
        <w:tc>
          <w:tcPr>
            <w:tcW w:w="3327"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11F0FE02" w14:textId="77777777" w:rsidR="00384505" w:rsidRPr="003730B5" w:rsidRDefault="00384505" w:rsidP="00384505">
            <w:pPr>
              <w:keepNext/>
              <w:keepLines/>
              <w:jc w:val="center"/>
              <w:rPr>
                <w:b/>
                <w:bCs/>
                <w:sz w:val="20"/>
                <w:lang w:val="en-GB" w:eastAsia="en-GB"/>
              </w:rPr>
            </w:pPr>
            <w:r w:rsidRPr="003730B5">
              <w:rPr>
                <w:b/>
                <w:bCs/>
                <w:sz w:val="20"/>
                <w:lang w:eastAsia="en-GB"/>
              </w:rPr>
              <w:t>Odhadované náklady pro</w:t>
            </w:r>
            <w:r w:rsidRPr="003730B5">
              <w:rPr>
                <w:b/>
                <w:bCs/>
                <w:sz w:val="20"/>
                <w:lang w:val="en-GB" w:eastAsia="en-GB"/>
              </w:rPr>
              <w:t xml:space="preserve"> SR</w:t>
            </w:r>
          </w:p>
        </w:tc>
      </w:tr>
      <w:tr w:rsidR="00384505" w:rsidRPr="003730B5" w14:paraId="17896343" w14:textId="77777777" w:rsidTr="00384505">
        <w:trPr>
          <w:trHeight w:val="300"/>
          <w:jc w:val="center"/>
        </w:trPr>
        <w:tc>
          <w:tcPr>
            <w:tcW w:w="581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AD31FD" w14:textId="77777777" w:rsidR="00384505" w:rsidRPr="003730B5" w:rsidRDefault="00384505" w:rsidP="00384505">
            <w:pPr>
              <w:keepNext/>
              <w:keepLines/>
              <w:rPr>
                <w:b/>
                <w:bCs/>
                <w:sz w:val="20"/>
                <w:lang w:val="en-GB" w:eastAsia="en-GB"/>
              </w:rPr>
            </w:pPr>
          </w:p>
        </w:tc>
        <w:tc>
          <w:tcPr>
            <w:tcW w:w="1617" w:type="dxa"/>
            <w:tcBorders>
              <w:top w:val="nil"/>
              <w:left w:val="nil"/>
              <w:bottom w:val="single" w:sz="4" w:space="0" w:color="auto"/>
              <w:right w:val="single" w:sz="4" w:space="0" w:color="auto"/>
            </w:tcBorders>
            <w:shd w:val="clear" w:color="auto" w:fill="DBE5F1" w:themeFill="accent1" w:themeFillTint="33"/>
            <w:noWrap/>
            <w:vAlign w:val="center"/>
            <w:hideMark/>
          </w:tcPr>
          <w:p w14:paraId="2963A6EE" w14:textId="77777777" w:rsidR="00384505" w:rsidRPr="003730B5" w:rsidRDefault="00384505" w:rsidP="00384505">
            <w:pPr>
              <w:keepNext/>
              <w:keepLines/>
              <w:jc w:val="center"/>
              <w:rPr>
                <w:b/>
                <w:bCs/>
                <w:sz w:val="20"/>
                <w:lang w:val="en-GB" w:eastAsia="en-GB"/>
              </w:rPr>
            </w:pPr>
            <w:r w:rsidRPr="003730B5">
              <w:rPr>
                <w:b/>
                <w:bCs/>
                <w:sz w:val="20"/>
                <w:lang w:val="en-GB" w:eastAsia="en-GB"/>
              </w:rPr>
              <w:t>2014 - 2020</w:t>
            </w:r>
          </w:p>
        </w:tc>
        <w:tc>
          <w:tcPr>
            <w:tcW w:w="1710" w:type="dxa"/>
            <w:tcBorders>
              <w:top w:val="nil"/>
              <w:left w:val="nil"/>
              <w:bottom w:val="single" w:sz="4" w:space="0" w:color="auto"/>
              <w:right w:val="single" w:sz="4" w:space="0" w:color="auto"/>
            </w:tcBorders>
            <w:shd w:val="clear" w:color="auto" w:fill="DBE5F1" w:themeFill="accent1" w:themeFillTint="33"/>
            <w:noWrap/>
            <w:vAlign w:val="center"/>
            <w:hideMark/>
          </w:tcPr>
          <w:p w14:paraId="6F07C124" w14:textId="77777777" w:rsidR="00384505" w:rsidRPr="003730B5" w:rsidRDefault="00384505" w:rsidP="00384505">
            <w:pPr>
              <w:keepNext/>
              <w:keepLines/>
              <w:jc w:val="center"/>
              <w:rPr>
                <w:b/>
                <w:bCs/>
                <w:sz w:val="20"/>
                <w:lang w:val="en-GB" w:eastAsia="en-GB"/>
              </w:rPr>
            </w:pPr>
            <w:r w:rsidRPr="003730B5">
              <w:rPr>
                <w:b/>
                <w:bCs/>
                <w:sz w:val="20"/>
                <w:lang w:val="en-GB" w:eastAsia="en-GB"/>
              </w:rPr>
              <w:t>2021 - 2027</w:t>
            </w:r>
          </w:p>
        </w:tc>
      </w:tr>
      <w:tr w:rsidR="00384505" w:rsidRPr="003730B5" w14:paraId="2332A8EB" w14:textId="77777777" w:rsidTr="00384505">
        <w:trPr>
          <w:trHeight w:val="300"/>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0CB1CB73" w14:textId="77777777" w:rsidR="00384505" w:rsidRPr="003730B5" w:rsidRDefault="00384505" w:rsidP="00384505">
            <w:pPr>
              <w:keepNext/>
              <w:keepLines/>
              <w:rPr>
                <w:color w:val="000000"/>
                <w:sz w:val="20"/>
                <w:lang w:eastAsia="en-GB"/>
              </w:rPr>
            </w:pPr>
            <w:r w:rsidRPr="003730B5">
              <w:rPr>
                <w:color w:val="000000"/>
                <w:sz w:val="20"/>
                <w:lang w:eastAsia="en-GB"/>
              </w:rPr>
              <w:t>Školy (MŠ/ZŠ/SŠ)</w:t>
            </w:r>
          </w:p>
        </w:tc>
        <w:tc>
          <w:tcPr>
            <w:tcW w:w="1617" w:type="dxa"/>
            <w:tcBorders>
              <w:top w:val="nil"/>
              <w:left w:val="nil"/>
              <w:bottom w:val="single" w:sz="4" w:space="0" w:color="auto"/>
              <w:right w:val="single" w:sz="4" w:space="0" w:color="auto"/>
            </w:tcBorders>
            <w:shd w:val="clear" w:color="auto" w:fill="auto"/>
            <w:noWrap/>
            <w:vAlign w:val="center"/>
            <w:hideMark/>
          </w:tcPr>
          <w:p w14:paraId="1BD6A08B" w14:textId="77777777" w:rsidR="00384505" w:rsidRPr="003730B5" w:rsidRDefault="00384505" w:rsidP="00384505">
            <w:pPr>
              <w:keepNext/>
              <w:keepLines/>
              <w:jc w:val="center"/>
              <w:rPr>
                <w:color w:val="000000"/>
                <w:sz w:val="20"/>
                <w:lang w:val="en-GB" w:eastAsia="en-GB"/>
              </w:rPr>
            </w:pPr>
            <w:r w:rsidRPr="003730B5">
              <w:rPr>
                <w:color w:val="000000"/>
                <w:sz w:val="20"/>
                <w:lang w:val="en-GB" w:eastAsia="en-GB"/>
              </w:rPr>
              <w:t>2,7</w:t>
            </w:r>
          </w:p>
        </w:tc>
        <w:tc>
          <w:tcPr>
            <w:tcW w:w="1710" w:type="dxa"/>
            <w:tcBorders>
              <w:top w:val="nil"/>
              <w:left w:val="nil"/>
              <w:bottom w:val="single" w:sz="4" w:space="0" w:color="auto"/>
              <w:right w:val="single" w:sz="4" w:space="0" w:color="auto"/>
            </w:tcBorders>
            <w:shd w:val="clear" w:color="auto" w:fill="auto"/>
            <w:noWrap/>
            <w:vAlign w:val="center"/>
            <w:hideMark/>
          </w:tcPr>
          <w:p w14:paraId="13D9BCF4" w14:textId="77777777" w:rsidR="00384505" w:rsidRPr="003730B5" w:rsidRDefault="00384505" w:rsidP="00384505">
            <w:pPr>
              <w:keepNext/>
              <w:keepLines/>
              <w:jc w:val="center"/>
              <w:rPr>
                <w:color w:val="000000"/>
                <w:sz w:val="20"/>
                <w:lang w:val="en-GB" w:eastAsia="en-GB"/>
              </w:rPr>
            </w:pPr>
            <w:r w:rsidRPr="003730B5">
              <w:rPr>
                <w:color w:val="000000"/>
                <w:sz w:val="20"/>
                <w:lang w:val="en-GB" w:eastAsia="en-GB"/>
              </w:rPr>
              <w:t>2,9</w:t>
            </w:r>
          </w:p>
        </w:tc>
      </w:tr>
      <w:tr w:rsidR="00384505" w:rsidRPr="003730B5" w14:paraId="294E8067" w14:textId="77777777" w:rsidTr="00384505">
        <w:trPr>
          <w:trHeight w:val="300"/>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698715C3" w14:textId="175E1C44" w:rsidR="00384505" w:rsidRPr="003730B5" w:rsidRDefault="00384505" w:rsidP="00384505">
            <w:pPr>
              <w:keepNext/>
              <w:keepLines/>
              <w:rPr>
                <w:color w:val="000000"/>
                <w:sz w:val="20"/>
                <w:lang w:eastAsia="en-GB"/>
              </w:rPr>
            </w:pPr>
            <w:r w:rsidRPr="003730B5">
              <w:rPr>
                <w:color w:val="000000"/>
                <w:sz w:val="20"/>
                <w:lang w:eastAsia="en-GB"/>
              </w:rPr>
              <w:t xml:space="preserve">Veřejné VŠ </w:t>
            </w:r>
            <w:r w:rsidR="00C862B4" w:rsidRPr="003730B5">
              <w:rPr>
                <w:color w:val="000000"/>
                <w:sz w:val="20"/>
                <w:lang w:eastAsia="en-GB"/>
              </w:rPr>
              <w:t>a </w:t>
            </w:r>
            <w:r w:rsidRPr="003730B5">
              <w:rPr>
                <w:color w:val="000000"/>
                <w:sz w:val="20"/>
                <w:lang w:eastAsia="en-GB"/>
              </w:rPr>
              <w:t>V.V.I.</w:t>
            </w:r>
          </w:p>
        </w:tc>
        <w:tc>
          <w:tcPr>
            <w:tcW w:w="1617" w:type="dxa"/>
            <w:tcBorders>
              <w:top w:val="nil"/>
              <w:left w:val="nil"/>
              <w:bottom w:val="single" w:sz="4" w:space="0" w:color="auto"/>
              <w:right w:val="single" w:sz="4" w:space="0" w:color="auto"/>
            </w:tcBorders>
            <w:shd w:val="clear" w:color="auto" w:fill="auto"/>
            <w:noWrap/>
            <w:vAlign w:val="center"/>
            <w:hideMark/>
          </w:tcPr>
          <w:p w14:paraId="7E5AC43C" w14:textId="77777777" w:rsidR="00384505" w:rsidRPr="003730B5" w:rsidRDefault="00384505" w:rsidP="00384505">
            <w:pPr>
              <w:keepNext/>
              <w:keepLines/>
              <w:jc w:val="center"/>
              <w:rPr>
                <w:color w:val="000000"/>
                <w:sz w:val="20"/>
                <w:lang w:val="en-GB" w:eastAsia="en-GB"/>
              </w:rPr>
            </w:pPr>
            <w:r w:rsidRPr="003730B5">
              <w:rPr>
                <w:color w:val="000000"/>
                <w:sz w:val="20"/>
                <w:lang w:val="en-GB" w:eastAsia="en-GB"/>
              </w:rPr>
              <w:t>10,2</w:t>
            </w:r>
          </w:p>
        </w:tc>
        <w:tc>
          <w:tcPr>
            <w:tcW w:w="1710" w:type="dxa"/>
            <w:tcBorders>
              <w:top w:val="nil"/>
              <w:left w:val="nil"/>
              <w:bottom w:val="single" w:sz="4" w:space="0" w:color="auto"/>
              <w:right w:val="single" w:sz="4" w:space="0" w:color="auto"/>
            </w:tcBorders>
            <w:shd w:val="clear" w:color="auto" w:fill="auto"/>
            <w:noWrap/>
            <w:vAlign w:val="center"/>
            <w:hideMark/>
          </w:tcPr>
          <w:p w14:paraId="7B272F4C" w14:textId="77777777" w:rsidR="00384505" w:rsidRPr="003730B5" w:rsidRDefault="00384505" w:rsidP="00384505">
            <w:pPr>
              <w:keepNext/>
              <w:keepLines/>
              <w:jc w:val="center"/>
              <w:rPr>
                <w:color w:val="000000"/>
                <w:sz w:val="20"/>
                <w:lang w:val="en-GB" w:eastAsia="en-GB"/>
              </w:rPr>
            </w:pPr>
            <w:r w:rsidRPr="003730B5">
              <w:rPr>
                <w:color w:val="000000"/>
                <w:sz w:val="20"/>
                <w:lang w:val="en-GB" w:eastAsia="en-GB"/>
              </w:rPr>
              <w:t>10,9</w:t>
            </w:r>
          </w:p>
        </w:tc>
      </w:tr>
      <w:tr w:rsidR="00384505" w:rsidRPr="003730B5" w14:paraId="00E8FDF3" w14:textId="77777777" w:rsidTr="00384505">
        <w:trPr>
          <w:trHeight w:val="268"/>
          <w:jc w:val="center"/>
        </w:trPr>
        <w:tc>
          <w:tcPr>
            <w:tcW w:w="5812" w:type="dxa"/>
            <w:tcBorders>
              <w:top w:val="nil"/>
              <w:left w:val="single" w:sz="4" w:space="0" w:color="auto"/>
              <w:bottom w:val="single" w:sz="4" w:space="0" w:color="auto"/>
              <w:right w:val="single" w:sz="4" w:space="0" w:color="auto"/>
            </w:tcBorders>
            <w:shd w:val="clear" w:color="auto" w:fill="auto"/>
            <w:vAlign w:val="center"/>
            <w:hideMark/>
          </w:tcPr>
          <w:p w14:paraId="43A0CAC1" w14:textId="77777777" w:rsidR="00384505" w:rsidRPr="003730B5" w:rsidRDefault="00384505" w:rsidP="00384505">
            <w:pPr>
              <w:keepNext/>
              <w:keepLines/>
              <w:rPr>
                <w:color w:val="000000"/>
                <w:sz w:val="20"/>
                <w:lang w:eastAsia="en-GB"/>
              </w:rPr>
            </w:pPr>
            <w:r w:rsidRPr="003730B5">
              <w:rPr>
                <w:color w:val="000000"/>
                <w:sz w:val="20"/>
                <w:lang w:eastAsia="en-GB"/>
              </w:rPr>
              <w:t>Veřejně prospěšná činnost, Subjekty realizující územní dimenzi</w:t>
            </w:r>
          </w:p>
        </w:tc>
        <w:tc>
          <w:tcPr>
            <w:tcW w:w="1617" w:type="dxa"/>
            <w:tcBorders>
              <w:top w:val="nil"/>
              <w:left w:val="nil"/>
              <w:bottom w:val="single" w:sz="4" w:space="0" w:color="auto"/>
              <w:right w:val="single" w:sz="4" w:space="0" w:color="auto"/>
            </w:tcBorders>
            <w:shd w:val="clear" w:color="auto" w:fill="auto"/>
            <w:noWrap/>
            <w:vAlign w:val="center"/>
            <w:hideMark/>
          </w:tcPr>
          <w:p w14:paraId="0A8F3811" w14:textId="77777777" w:rsidR="00384505" w:rsidRPr="003730B5" w:rsidRDefault="00384505" w:rsidP="00384505">
            <w:pPr>
              <w:keepNext/>
              <w:keepLines/>
              <w:jc w:val="center"/>
              <w:rPr>
                <w:color w:val="000000"/>
                <w:sz w:val="20"/>
                <w:lang w:val="en-GB" w:eastAsia="en-GB"/>
              </w:rPr>
            </w:pPr>
            <w:r w:rsidRPr="003730B5">
              <w:rPr>
                <w:color w:val="000000"/>
                <w:sz w:val="20"/>
                <w:lang w:val="en-GB" w:eastAsia="en-GB"/>
              </w:rPr>
              <w:t>3,2</w:t>
            </w:r>
          </w:p>
        </w:tc>
        <w:tc>
          <w:tcPr>
            <w:tcW w:w="1710" w:type="dxa"/>
            <w:tcBorders>
              <w:top w:val="nil"/>
              <w:left w:val="nil"/>
              <w:bottom w:val="single" w:sz="4" w:space="0" w:color="auto"/>
              <w:right w:val="single" w:sz="4" w:space="0" w:color="auto"/>
            </w:tcBorders>
            <w:shd w:val="clear" w:color="auto" w:fill="auto"/>
            <w:noWrap/>
            <w:vAlign w:val="center"/>
            <w:hideMark/>
          </w:tcPr>
          <w:p w14:paraId="33669182" w14:textId="77777777" w:rsidR="00384505" w:rsidRPr="003730B5" w:rsidRDefault="00384505" w:rsidP="00384505">
            <w:pPr>
              <w:keepNext/>
              <w:keepLines/>
              <w:jc w:val="center"/>
              <w:rPr>
                <w:color w:val="000000"/>
                <w:sz w:val="20"/>
                <w:lang w:val="en-GB" w:eastAsia="en-GB"/>
              </w:rPr>
            </w:pPr>
            <w:r w:rsidRPr="003730B5">
              <w:rPr>
                <w:color w:val="000000"/>
                <w:sz w:val="20"/>
                <w:lang w:val="en-GB" w:eastAsia="en-GB"/>
              </w:rPr>
              <w:t>3,3</w:t>
            </w:r>
          </w:p>
        </w:tc>
      </w:tr>
      <w:tr w:rsidR="00384505" w:rsidRPr="003730B5" w14:paraId="162E9E77" w14:textId="77777777" w:rsidTr="00384505">
        <w:trPr>
          <w:trHeight w:val="300"/>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0562FEF7" w14:textId="77777777" w:rsidR="00384505" w:rsidRPr="003730B5" w:rsidRDefault="00384505" w:rsidP="00384505">
            <w:pPr>
              <w:keepNext/>
              <w:keepLines/>
              <w:rPr>
                <w:color w:val="000000"/>
                <w:sz w:val="20"/>
                <w:lang w:eastAsia="en-GB"/>
              </w:rPr>
            </w:pPr>
            <w:r w:rsidRPr="003730B5">
              <w:rPr>
                <w:color w:val="000000"/>
                <w:sz w:val="20"/>
                <w:lang w:eastAsia="en-GB"/>
              </w:rPr>
              <w:t>Obce</w:t>
            </w:r>
          </w:p>
        </w:tc>
        <w:tc>
          <w:tcPr>
            <w:tcW w:w="1617" w:type="dxa"/>
            <w:tcBorders>
              <w:top w:val="nil"/>
              <w:left w:val="nil"/>
              <w:bottom w:val="single" w:sz="4" w:space="0" w:color="auto"/>
              <w:right w:val="single" w:sz="4" w:space="0" w:color="auto"/>
            </w:tcBorders>
            <w:shd w:val="clear" w:color="auto" w:fill="auto"/>
            <w:noWrap/>
            <w:vAlign w:val="center"/>
            <w:hideMark/>
          </w:tcPr>
          <w:p w14:paraId="41DBF93D" w14:textId="77777777" w:rsidR="00384505" w:rsidRPr="003730B5" w:rsidRDefault="00384505" w:rsidP="00384505">
            <w:pPr>
              <w:keepNext/>
              <w:keepLines/>
              <w:jc w:val="center"/>
              <w:rPr>
                <w:color w:val="000000"/>
                <w:sz w:val="20"/>
                <w:lang w:val="en-GB" w:eastAsia="en-GB"/>
              </w:rPr>
            </w:pPr>
            <w:r w:rsidRPr="003730B5">
              <w:rPr>
                <w:color w:val="000000"/>
                <w:sz w:val="20"/>
                <w:lang w:val="en-GB" w:eastAsia="en-GB"/>
              </w:rPr>
              <w:t>2,5</w:t>
            </w:r>
          </w:p>
        </w:tc>
        <w:tc>
          <w:tcPr>
            <w:tcW w:w="1710" w:type="dxa"/>
            <w:tcBorders>
              <w:top w:val="nil"/>
              <w:left w:val="nil"/>
              <w:bottom w:val="single" w:sz="4" w:space="0" w:color="auto"/>
              <w:right w:val="single" w:sz="4" w:space="0" w:color="auto"/>
            </w:tcBorders>
            <w:shd w:val="clear" w:color="auto" w:fill="auto"/>
            <w:noWrap/>
            <w:vAlign w:val="center"/>
            <w:hideMark/>
          </w:tcPr>
          <w:p w14:paraId="2EF55E47" w14:textId="77777777" w:rsidR="00384505" w:rsidRPr="003730B5" w:rsidRDefault="00384505" w:rsidP="00384505">
            <w:pPr>
              <w:keepNext/>
              <w:keepLines/>
              <w:jc w:val="center"/>
              <w:rPr>
                <w:color w:val="000000"/>
                <w:sz w:val="20"/>
                <w:lang w:val="en-GB" w:eastAsia="en-GB"/>
              </w:rPr>
            </w:pPr>
            <w:r w:rsidRPr="003730B5">
              <w:rPr>
                <w:color w:val="000000"/>
                <w:sz w:val="20"/>
                <w:lang w:val="en-GB" w:eastAsia="en-GB"/>
              </w:rPr>
              <w:t>3,5</w:t>
            </w:r>
          </w:p>
        </w:tc>
      </w:tr>
      <w:tr w:rsidR="00384505" w:rsidRPr="003730B5" w14:paraId="2C24077F" w14:textId="77777777" w:rsidTr="00384505">
        <w:trPr>
          <w:trHeight w:val="300"/>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581F873" w14:textId="77777777" w:rsidR="00384505" w:rsidRPr="003730B5" w:rsidRDefault="00384505" w:rsidP="00384505">
            <w:pPr>
              <w:keepNext/>
              <w:keepLines/>
              <w:rPr>
                <w:color w:val="000000"/>
                <w:sz w:val="20"/>
                <w:lang w:eastAsia="en-GB"/>
              </w:rPr>
            </w:pPr>
            <w:r w:rsidRPr="003730B5">
              <w:rPr>
                <w:color w:val="000000"/>
                <w:sz w:val="20"/>
                <w:lang w:eastAsia="en-GB"/>
              </w:rPr>
              <w:t>Kraje</w:t>
            </w:r>
          </w:p>
        </w:tc>
        <w:tc>
          <w:tcPr>
            <w:tcW w:w="1617" w:type="dxa"/>
            <w:tcBorders>
              <w:top w:val="nil"/>
              <w:left w:val="nil"/>
              <w:bottom w:val="single" w:sz="4" w:space="0" w:color="auto"/>
              <w:right w:val="single" w:sz="4" w:space="0" w:color="auto"/>
            </w:tcBorders>
            <w:shd w:val="clear" w:color="auto" w:fill="auto"/>
            <w:noWrap/>
            <w:vAlign w:val="center"/>
            <w:hideMark/>
          </w:tcPr>
          <w:p w14:paraId="3625169D" w14:textId="77777777" w:rsidR="00384505" w:rsidRPr="003730B5" w:rsidRDefault="00384505" w:rsidP="00384505">
            <w:pPr>
              <w:keepNext/>
              <w:keepLines/>
              <w:jc w:val="center"/>
              <w:rPr>
                <w:color w:val="000000"/>
                <w:sz w:val="20"/>
                <w:lang w:val="en-GB" w:eastAsia="en-GB"/>
              </w:rPr>
            </w:pPr>
            <w:r w:rsidRPr="003730B5">
              <w:rPr>
                <w:color w:val="000000"/>
                <w:sz w:val="20"/>
                <w:lang w:val="en-GB" w:eastAsia="en-GB"/>
              </w:rPr>
              <w:t>3,2</w:t>
            </w:r>
          </w:p>
        </w:tc>
        <w:tc>
          <w:tcPr>
            <w:tcW w:w="1710" w:type="dxa"/>
            <w:tcBorders>
              <w:top w:val="nil"/>
              <w:left w:val="nil"/>
              <w:bottom w:val="single" w:sz="4" w:space="0" w:color="auto"/>
              <w:right w:val="single" w:sz="4" w:space="0" w:color="auto"/>
            </w:tcBorders>
            <w:shd w:val="clear" w:color="auto" w:fill="auto"/>
            <w:noWrap/>
            <w:vAlign w:val="center"/>
            <w:hideMark/>
          </w:tcPr>
          <w:p w14:paraId="47E15FC6" w14:textId="77777777" w:rsidR="00384505" w:rsidRPr="003730B5" w:rsidRDefault="00384505" w:rsidP="00384505">
            <w:pPr>
              <w:keepNext/>
              <w:keepLines/>
              <w:jc w:val="center"/>
              <w:rPr>
                <w:color w:val="000000"/>
                <w:sz w:val="20"/>
                <w:lang w:val="en-GB" w:eastAsia="en-GB"/>
              </w:rPr>
            </w:pPr>
            <w:r w:rsidRPr="003730B5">
              <w:rPr>
                <w:color w:val="000000"/>
                <w:sz w:val="20"/>
                <w:lang w:val="en-GB" w:eastAsia="en-GB"/>
              </w:rPr>
              <w:t>5,1</w:t>
            </w:r>
          </w:p>
        </w:tc>
      </w:tr>
      <w:tr w:rsidR="00384505" w:rsidRPr="003730B5" w14:paraId="2BB86D42" w14:textId="77777777" w:rsidTr="00384505">
        <w:trPr>
          <w:trHeight w:val="300"/>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7D40616F" w14:textId="77777777" w:rsidR="00384505" w:rsidRPr="003730B5" w:rsidRDefault="00384505" w:rsidP="00384505">
            <w:pPr>
              <w:keepNext/>
              <w:keepLines/>
              <w:rPr>
                <w:color w:val="000000"/>
                <w:sz w:val="20"/>
                <w:lang w:eastAsia="en-GB"/>
              </w:rPr>
            </w:pPr>
            <w:r w:rsidRPr="003730B5">
              <w:rPr>
                <w:color w:val="000000"/>
                <w:sz w:val="20"/>
                <w:lang w:eastAsia="en-GB"/>
              </w:rPr>
              <w:t>OSS, PO OSS včetně státních fondů</w:t>
            </w:r>
          </w:p>
        </w:tc>
        <w:tc>
          <w:tcPr>
            <w:tcW w:w="1617" w:type="dxa"/>
            <w:tcBorders>
              <w:top w:val="nil"/>
              <w:left w:val="nil"/>
              <w:bottom w:val="single" w:sz="4" w:space="0" w:color="auto"/>
              <w:right w:val="single" w:sz="4" w:space="0" w:color="auto"/>
            </w:tcBorders>
            <w:shd w:val="clear" w:color="auto" w:fill="auto"/>
            <w:noWrap/>
            <w:vAlign w:val="center"/>
            <w:hideMark/>
          </w:tcPr>
          <w:p w14:paraId="29E6D869" w14:textId="77777777" w:rsidR="00384505" w:rsidRPr="003730B5" w:rsidRDefault="00384505" w:rsidP="00384505">
            <w:pPr>
              <w:keepNext/>
              <w:keepLines/>
              <w:jc w:val="center"/>
              <w:rPr>
                <w:color w:val="000000"/>
                <w:sz w:val="20"/>
                <w:lang w:val="en-GB" w:eastAsia="en-GB"/>
              </w:rPr>
            </w:pPr>
            <w:r w:rsidRPr="003730B5">
              <w:rPr>
                <w:color w:val="000000"/>
                <w:sz w:val="20"/>
                <w:lang w:val="en-GB" w:eastAsia="en-GB"/>
              </w:rPr>
              <w:t>37,9</w:t>
            </w:r>
          </w:p>
        </w:tc>
        <w:tc>
          <w:tcPr>
            <w:tcW w:w="1710" w:type="dxa"/>
            <w:tcBorders>
              <w:top w:val="nil"/>
              <w:left w:val="nil"/>
              <w:bottom w:val="single" w:sz="4" w:space="0" w:color="auto"/>
              <w:right w:val="single" w:sz="4" w:space="0" w:color="auto"/>
            </w:tcBorders>
            <w:shd w:val="clear" w:color="auto" w:fill="auto"/>
            <w:noWrap/>
            <w:vAlign w:val="center"/>
            <w:hideMark/>
          </w:tcPr>
          <w:p w14:paraId="1808FC01" w14:textId="77777777" w:rsidR="00384505" w:rsidRPr="003730B5" w:rsidRDefault="00384505" w:rsidP="00384505">
            <w:pPr>
              <w:keepNext/>
              <w:keepLines/>
              <w:jc w:val="center"/>
              <w:rPr>
                <w:color w:val="000000"/>
                <w:sz w:val="20"/>
                <w:lang w:val="en-GB" w:eastAsia="en-GB"/>
              </w:rPr>
            </w:pPr>
            <w:r w:rsidRPr="003730B5">
              <w:rPr>
                <w:color w:val="000000"/>
                <w:sz w:val="20"/>
                <w:lang w:val="en-GB" w:eastAsia="en-GB"/>
              </w:rPr>
              <w:t>41,9</w:t>
            </w:r>
          </w:p>
        </w:tc>
      </w:tr>
      <w:tr w:rsidR="00384505" w:rsidRPr="003730B5" w14:paraId="616C3DC1" w14:textId="77777777" w:rsidTr="00384505">
        <w:trPr>
          <w:trHeight w:val="300"/>
          <w:jc w:val="center"/>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D444DF9" w14:textId="77777777" w:rsidR="00384505" w:rsidRPr="003730B5" w:rsidRDefault="00384505" w:rsidP="00384505">
            <w:pPr>
              <w:keepNext/>
              <w:keepLines/>
              <w:rPr>
                <w:b/>
                <w:bCs/>
                <w:color w:val="000000"/>
                <w:sz w:val="20"/>
                <w:lang w:val="en-GB" w:eastAsia="en-GB"/>
              </w:rPr>
            </w:pPr>
            <w:r w:rsidRPr="003730B5">
              <w:rPr>
                <w:b/>
                <w:bCs/>
                <w:color w:val="000000"/>
                <w:sz w:val="20"/>
                <w:lang w:val="en-GB" w:eastAsia="en-GB"/>
              </w:rPr>
              <w:t>CELKEM</w:t>
            </w:r>
          </w:p>
        </w:tc>
        <w:tc>
          <w:tcPr>
            <w:tcW w:w="1617" w:type="dxa"/>
            <w:tcBorders>
              <w:top w:val="nil"/>
              <w:left w:val="nil"/>
              <w:bottom w:val="single" w:sz="4" w:space="0" w:color="auto"/>
              <w:right w:val="single" w:sz="4" w:space="0" w:color="auto"/>
            </w:tcBorders>
            <w:shd w:val="clear" w:color="auto" w:fill="auto"/>
            <w:noWrap/>
            <w:vAlign w:val="center"/>
            <w:hideMark/>
          </w:tcPr>
          <w:p w14:paraId="207030DC" w14:textId="77777777" w:rsidR="00384505" w:rsidRPr="003730B5" w:rsidRDefault="00384505" w:rsidP="00384505">
            <w:pPr>
              <w:keepNext/>
              <w:keepLines/>
              <w:jc w:val="center"/>
              <w:rPr>
                <w:b/>
                <w:bCs/>
                <w:color w:val="000000"/>
                <w:sz w:val="20"/>
                <w:lang w:val="en-GB" w:eastAsia="en-GB"/>
              </w:rPr>
            </w:pPr>
            <w:r w:rsidRPr="003730B5">
              <w:rPr>
                <w:b/>
                <w:bCs/>
                <w:color w:val="000000"/>
                <w:sz w:val="20"/>
                <w:lang w:val="en-GB" w:eastAsia="en-GB"/>
              </w:rPr>
              <w:t>59,7</w:t>
            </w:r>
          </w:p>
        </w:tc>
        <w:tc>
          <w:tcPr>
            <w:tcW w:w="1710" w:type="dxa"/>
            <w:tcBorders>
              <w:top w:val="nil"/>
              <w:left w:val="nil"/>
              <w:bottom w:val="single" w:sz="4" w:space="0" w:color="auto"/>
              <w:right w:val="single" w:sz="4" w:space="0" w:color="auto"/>
            </w:tcBorders>
            <w:shd w:val="clear" w:color="auto" w:fill="auto"/>
            <w:noWrap/>
            <w:vAlign w:val="center"/>
            <w:hideMark/>
          </w:tcPr>
          <w:p w14:paraId="0B0F34E0" w14:textId="77777777" w:rsidR="00384505" w:rsidRPr="003730B5" w:rsidRDefault="00384505" w:rsidP="00384505">
            <w:pPr>
              <w:keepNext/>
              <w:keepLines/>
              <w:jc w:val="center"/>
              <w:rPr>
                <w:b/>
                <w:bCs/>
                <w:color w:val="000000"/>
                <w:sz w:val="20"/>
                <w:lang w:val="en-GB" w:eastAsia="en-GB"/>
              </w:rPr>
            </w:pPr>
            <w:r w:rsidRPr="003730B5">
              <w:rPr>
                <w:b/>
                <w:bCs/>
                <w:color w:val="000000"/>
                <w:sz w:val="20"/>
                <w:lang w:val="en-GB" w:eastAsia="en-GB"/>
              </w:rPr>
              <w:t>67,6</w:t>
            </w:r>
          </w:p>
        </w:tc>
      </w:tr>
    </w:tbl>
    <w:p w14:paraId="5B9A7EE8" w14:textId="77777777" w:rsidR="00312E4E" w:rsidRPr="003730B5" w:rsidRDefault="00312E4E" w:rsidP="00384505">
      <w:pPr>
        <w:widowControl w:val="0"/>
        <w:spacing w:before="240" w:after="120"/>
        <w:rPr>
          <w:u w:val="single"/>
        </w:rPr>
      </w:pPr>
      <w:r w:rsidRPr="003730B5">
        <w:rPr>
          <w:u w:val="single"/>
        </w:rPr>
        <w:t>Navržené řešení:</w:t>
      </w:r>
    </w:p>
    <w:p w14:paraId="120F624F" w14:textId="0258FD9C" w:rsidR="004E1ADB" w:rsidRPr="003730B5" w:rsidRDefault="004E1ADB" w:rsidP="004E1ADB">
      <w:pPr>
        <w:widowControl w:val="0"/>
        <w:spacing w:after="120"/>
      </w:pPr>
      <w:r w:rsidRPr="003730B5">
        <w:t xml:space="preserve">Snížení podílu státního rozpočtu na spolufinancování </w:t>
      </w:r>
      <w:r w:rsidR="00CA40A9" w:rsidRPr="003730B5">
        <w:t>z </w:t>
      </w:r>
      <w:r w:rsidRPr="003730B5">
        <w:t>fondů E</w:t>
      </w:r>
      <w:r w:rsidR="009655EE" w:rsidRPr="003730B5">
        <w:t>vropské unie</w:t>
      </w:r>
      <w:r w:rsidRPr="003730B5">
        <w:t xml:space="preserve"> zvýšením spoluúčasti konečných příjemců dotací v přechodových regionech </w:t>
      </w:r>
      <w:r w:rsidR="00CA40A9" w:rsidRPr="003730B5">
        <w:t>a </w:t>
      </w:r>
      <w:r w:rsidRPr="003730B5">
        <w:t>více rozvinutém regionu Praha.</w:t>
      </w:r>
    </w:p>
    <w:p w14:paraId="5EFF4D1C" w14:textId="1FCBF3AB" w:rsidR="00E253CB" w:rsidRPr="003730B5" w:rsidRDefault="004667C1" w:rsidP="00805C42">
      <w:pPr>
        <w:pStyle w:val="Nadpis2"/>
        <w:widowControl w:val="0"/>
        <w:numPr>
          <w:ilvl w:val="3"/>
          <w:numId w:val="28"/>
        </w:numPr>
        <w:shd w:val="clear" w:color="auto" w:fill="FFFFFF"/>
        <w:tabs>
          <w:tab w:val="left" w:pos="567"/>
        </w:tabs>
        <w:jc w:val="both"/>
        <w:rPr>
          <w:i/>
          <w:sz w:val="24"/>
        </w:rPr>
      </w:pPr>
      <w:r w:rsidRPr="003730B5">
        <w:rPr>
          <w:i/>
          <w:sz w:val="24"/>
        </w:rPr>
        <w:t>Snížení provozních výdajů ve státní sféře</w:t>
      </w:r>
    </w:p>
    <w:p w14:paraId="033E07CA" w14:textId="7F47C857" w:rsidR="00E253CB" w:rsidRPr="003730B5" w:rsidRDefault="00E253CB" w:rsidP="00E253CB">
      <w:pPr>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p w14:paraId="3B780F3F" w14:textId="4A04C118" w:rsidR="004667C1" w:rsidRPr="003730B5" w:rsidRDefault="004667C1" w:rsidP="00E253CB">
      <w:pPr>
        <w:widowControl w:val="0"/>
        <w:spacing w:after="120"/>
      </w:pPr>
      <w:r w:rsidRPr="003730B5">
        <w:t xml:space="preserve">Položka na provozní výdaje představuje poměrně velký pravidelný výdaj státního rozpočtu. </w:t>
      </w:r>
      <w:r w:rsidR="00E84683" w:rsidRPr="003730B5">
        <w:t xml:space="preserve">Jedná se </w:t>
      </w:r>
      <w:r w:rsidR="00CA40A9" w:rsidRPr="003730B5">
        <w:t>o </w:t>
      </w:r>
      <w:r w:rsidR="00E84683" w:rsidRPr="003730B5">
        <w:t xml:space="preserve">výdaje na nákup materiálu, energií, služeb, opravy apod. </w:t>
      </w:r>
      <w:r w:rsidR="00322EC1" w:rsidRPr="003730B5">
        <w:t xml:space="preserve">Celkový objem prostředků na provozní výdaje tvoří cca </w:t>
      </w:r>
      <w:r w:rsidR="00E84683" w:rsidRPr="003730B5">
        <w:t>77</w:t>
      </w:r>
      <w:r w:rsidR="00322EC1" w:rsidRPr="003730B5">
        <w:t xml:space="preserve"> mld. Kč.</w:t>
      </w:r>
      <w:r w:rsidR="00A27A02" w:rsidRPr="003730B5">
        <w:t xml:space="preserve"> </w:t>
      </w:r>
    </w:p>
    <w:p w14:paraId="67A4012F" w14:textId="2B1E10D2" w:rsidR="00E253CB" w:rsidRPr="003730B5" w:rsidRDefault="00E253CB" w:rsidP="00E253CB">
      <w:pPr>
        <w:widowControl w:val="0"/>
        <w:spacing w:after="120"/>
        <w:rPr>
          <w:u w:val="single"/>
        </w:rPr>
      </w:pPr>
      <w:r w:rsidRPr="003730B5">
        <w:rPr>
          <w:u w:val="single"/>
        </w:rPr>
        <w:t>Navržené řešení:</w:t>
      </w:r>
    </w:p>
    <w:p w14:paraId="4C132ACE" w14:textId="49B89A15" w:rsidR="005D3435" w:rsidRPr="003730B5" w:rsidRDefault="007C6C1D" w:rsidP="00E253CB">
      <w:pPr>
        <w:widowControl w:val="0"/>
        <w:spacing w:after="120"/>
      </w:pPr>
      <w:r w:rsidRPr="003730B5">
        <w:t>V </w:t>
      </w:r>
      <w:r w:rsidR="004667C1" w:rsidRPr="003730B5">
        <w:t xml:space="preserve">souladu se strategií konsolidovat veřejné finance vláda sníží výdaje na provoz jednotlivých ministerstev </w:t>
      </w:r>
      <w:r w:rsidRPr="003730B5">
        <w:t>a </w:t>
      </w:r>
      <w:r w:rsidR="004667C1" w:rsidRPr="003730B5">
        <w:t xml:space="preserve">centrálních vládních institucí, čímž se demonstruje závazek začínat „sami u sebe“. Dojde </w:t>
      </w:r>
      <w:r w:rsidR="00CA40A9" w:rsidRPr="003730B5">
        <w:t>k </w:t>
      </w:r>
      <w:r w:rsidR="00E84683" w:rsidRPr="003730B5">
        <w:t>celkovému</w:t>
      </w:r>
      <w:r w:rsidR="004667C1" w:rsidRPr="003730B5">
        <w:t xml:space="preserve"> snížení </w:t>
      </w:r>
      <w:r w:rsidR="00E84683" w:rsidRPr="003730B5">
        <w:t xml:space="preserve">užších </w:t>
      </w:r>
      <w:r w:rsidR="004667C1" w:rsidRPr="003730B5">
        <w:t xml:space="preserve">provozních výdajů </w:t>
      </w:r>
      <w:r w:rsidRPr="003730B5">
        <w:t>o 5 </w:t>
      </w:r>
      <w:r w:rsidR="004667C1" w:rsidRPr="003730B5">
        <w:t xml:space="preserve">% na každém rezortu. </w:t>
      </w:r>
    </w:p>
    <w:p w14:paraId="649286FB" w14:textId="2EE6B8AE" w:rsidR="00E253CB" w:rsidRPr="003730B5" w:rsidRDefault="00E13B70" w:rsidP="00805C42">
      <w:pPr>
        <w:pStyle w:val="Nadpis2"/>
        <w:widowControl w:val="0"/>
        <w:numPr>
          <w:ilvl w:val="3"/>
          <w:numId w:val="28"/>
        </w:numPr>
        <w:shd w:val="clear" w:color="auto" w:fill="FFFFFF"/>
        <w:tabs>
          <w:tab w:val="left" w:pos="567"/>
        </w:tabs>
        <w:jc w:val="both"/>
        <w:rPr>
          <w:i/>
          <w:sz w:val="24"/>
        </w:rPr>
      </w:pPr>
      <w:r w:rsidRPr="003730B5">
        <w:rPr>
          <w:i/>
          <w:sz w:val="24"/>
        </w:rPr>
        <w:t>Snížení objemu platů ve státní sféře</w:t>
      </w:r>
    </w:p>
    <w:p w14:paraId="645147F0" w14:textId="6B2C391C" w:rsidR="00E253CB" w:rsidRPr="003730B5" w:rsidRDefault="00E253CB" w:rsidP="00E253CB">
      <w:pPr>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p w14:paraId="18DA1203" w14:textId="77777777" w:rsidR="00E13B70" w:rsidRPr="003730B5" w:rsidRDefault="00E13B70" w:rsidP="00E253CB">
      <w:pPr>
        <w:widowControl w:val="0"/>
        <w:spacing w:after="120"/>
      </w:pPr>
      <w:r w:rsidRPr="003730B5">
        <w:t>Položka na platy představuje poměrně velký pravidelný výdaj státního rozpočtu. Celkový objem prostředků na platy tvoří cca 250 mld. Kč (předpoklad roku 2024).</w:t>
      </w:r>
    </w:p>
    <w:p w14:paraId="7B86CDA1" w14:textId="25466694" w:rsidR="00E253CB" w:rsidRPr="003730B5" w:rsidRDefault="00E253CB" w:rsidP="00E253CB">
      <w:pPr>
        <w:widowControl w:val="0"/>
        <w:spacing w:after="120"/>
        <w:rPr>
          <w:u w:val="single"/>
        </w:rPr>
      </w:pPr>
      <w:r w:rsidRPr="003730B5">
        <w:rPr>
          <w:u w:val="single"/>
        </w:rPr>
        <w:t>Navržené řešení:</w:t>
      </w:r>
    </w:p>
    <w:p w14:paraId="2219DDA5" w14:textId="7F0D47FF" w:rsidR="00E13B70" w:rsidRPr="003730B5" w:rsidRDefault="00E13B70" w:rsidP="00E13B70">
      <w:pPr>
        <w:widowControl w:val="0"/>
        <w:spacing w:after="120"/>
      </w:pPr>
      <w:r w:rsidRPr="003730B5">
        <w:t xml:space="preserve">Snížení objemu finančních prostředků na platy ve státní správě </w:t>
      </w:r>
      <w:r w:rsidR="007C6C1D" w:rsidRPr="003730B5">
        <w:t>o 2 </w:t>
      </w:r>
      <w:r w:rsidRPr="003730B5">
        <w:t xml:space="preserve">% </w:t>
      </w:r>
      <w:r w:rsidR="007C6C1D" w:rsidRPr="003730B5">
        <w:t>v </w:t>
      </w:r>
      <w:r w:rsidRPr="003730B5">
        <w:t xml:space="preserve">návaznosti na snižování agend státu, včetně organizačních složek státu </w:t>
      </w:r>
      <w:r w:rsidR="007C6C1D" w:rsidRPr="003730B5">
        <w:t>a </w:t>
      </w:r>
      <w:r w:rsidRPr="003730B5">
        <w:t xml:space="preserve">příspěvkových organizacích. </w:t>
      </w:r>
    </w:p>
    <w:p w14:paraId="0141164D" w14:textId="77777777" w:rsidR="0005195D" w:rsidRPr="003730B5" w:rsidRDefault="0005195D" w:rsidP="0005195D">
      <w:pPr>
        <w:pStyle w:val="Nadpis2"/>
        <w:widowControl w:val="0"/>
        <w:numPr>
          <w:ilvl w:val="3"/>
          <w:numId w:val="28"/>
        </w:numPr>
        <w:shd w:val="clear" w:color="auto" w:fill="FFFFFF"/>
        <w:tabs>
          <w:tab w:val="left" w:pos="567"/>
        </w:tabs>
        <w:jc w:val="both"/>
        <w:rPr>
          <w:i/>
          <w:sz w:val="24"/>
        </w:rPr>
      </w:pPr>
      <w:r w:rsidRPr="003730B5">
        <w:rPr>
          <w:i/>
          <w:sz w:val="24"/>
        </w:rPr>
        <w:t>Zjednodušení procesu náhrady platu při dočasné pracovní neschopnosti</w:t>
      </w:r>
    </w:p>
    <w:p w14:paraId="39013DC6" w14:textId="77777777" w:rsidR="0005195D" w:rsidRPr="003730B5" w:rsidRDefault="0005195D" w:rsidP="0005195D">
      <w:pPr>
        <w:widowControl w:val="0"/>
        <w:spacing w:after="120"/>
        <w:rPr>
          <w:u w:val="single"/>
        </w:rPr>
      </w:pPr>
      <w:r w:rsidRPr="003730B5">
        <w:rPr>
          <w:u w:val="single"/>
        </w:rPr>
        <w:t>Popis a zhodnocení současného stavu:</w:t>
      </w:r>
    </w:p>
    <w:p w14:paraId="7FAB9870" w14:textId="77777777" w:rsidR="0005195D" w:rsidRPr="003730B5" w:rsidRDefault="0005195D" w:rsidP="0005195D">
      <w:pPr>
        <w:widowControl w:val="0"/>
        <w:spacing w:after="120"/>
      </w:pPr>
      <w:r w:rsidRPr="003730B5">
        <w:t xml:space="preserve">V současné době platí, že náhrady platu při dočasné pracovní neschopnosti (karanténě) jsou vypláceny z výdajových limitů stanovených mimo platovou oblast, přestože jiné náhrady platu (náhrady za dovolenou, při překážkách v práci, atd.), jsou hrazeny z platového limitu. V organizačních složkách státu je pro tyto účely využívána rozpočtová položka </w:t>
      </w:r>
      <w:r w:rsidRPr="003730B5">
        <w:rPr>
          <w:i/>
        </w:rPr>
        <w:t>5424 -</w:t>
      </w:r>
      <w:r w:rsidRPr="003730B5">
        <w:t xml:space="preserve"> </w:t>
      </w:r>
      <w:r w:rsidRPr="003730B5">
        <w:rPr>
          <w:i/>
        </w:rPr>
        <w:t>Náhrady mezd a příspěvky v době nemoci nebo karantény</w:t>
      </w:r>
      <w:r w:rsidRPr="003730B5">
        <w:t xml:space="preserve">, v příspěvkových organizacích pak limit ostatních neinvestičních výdajů. </w:t>
      </w:r>
    </w:p>
    <w:p w14:paraId="7503FF3D" w14:textId="77777777" w:rsidR="0005195D" w:rsidRPr="003730B5" w:rsidRDefault="0005195D" w:rsidP="0005195D">
      <w:pPr>
        <w:widowControl w:val="0"/>
        <w:spacing w:after="120"/>
        <w:rPr>
          <w:u w:val="single"/>
        </w:rPr>
      </w:pPr>
      <w:r w:rsidRPr="003730B5">
        <w:rPr>
          <w:u w:val="single"/>
        </w:rPr>
        <w:lastRenderedPageBreak/>
        <w:t>Navržené řešení:</w:t>
      </w:r>
    </w:p>
    <w:p w14:paraId="3563BF6C" w14:textId="28B06D4E" w:rsidR="0005195D" w:rsidRPr="003730B5" w:rsidRDefault="0005195D" w:rsidP="0005195D">
      <w:pPr>
        <w:widowControl w:val="0"/>
        <w:spacing w:after="120"/>
      </w:pPr>
      <w:r w:rsidRPr="003730B5">
        <w:t xml:space="preserve">Náhrada platu při dočasné pracovní neschopnosti bude nově plně hrazena ze stanoveného limitu objemu prostředků na platy namísto současné praxe, kdy je tato náhrada platu vyplácena z výdajového limitu mimo platovou oblast. V důsledku toho lze očekávat trvalou úsporu na straně výdajů státního rozpočtu. Toto opatření nevyžaduje legislativní změnu </w:t>
      </w:r>
      <w:r w:rsidR="00E712DE" w:rsidRPr="003730B5">
        <w:t>a </w:t>
      </w:r>
      <w:r w:rsidRPr="003730B5">
        <w:t>bude realizováno na úrovni exekutivních nástrojů.</w:t>
      </w:r>
    </w:p>
    <w:p w14:paraId="5BF08734" w14:textId="20C4BBFE" w:rsidR="00E253CB" w:rsidRPr="003730B5" w:rsidRDefault="007A7289" w:rsidP="007A7289">
      <w:pPr>
        <w:pStyle w:val="Nadpis2"/>
        <w:widowControl w:val="0"/>
        <w:numPr>
          <w:ilvl w:val="3"/>
          <w:numId w:val="28"/>
        </w:numPr>
        <w:shd w:val="clear" w:color="auto" w:fill="FFFFFF"/>
        <w:tabs>
          <w:tab w:val="left" w:pos="567"/>
        </w:tabs>
        <w:jc w:val="both"/>
        <w:rPr>
          <w:i/>
          <w:sz w:val="24"/>
        </w:rPr>
      </w:pPr>
      <w:r w:rsidRPr="003730B5">
        <w:rPr>
          <w:i/>
          <w:sz w:val="24"/>
        </w:rPr>
        <w:t>Minimální globální efektivní zdanění velkých korporací</w:t>
      </w:r>
    </w:p>
    <w:p w14:paraId="357FB86C" w14:textId="731B2005" w:rsidR="00E253CB" w:rsidRPr="003730B5" w:rsidRDefault="00E253CB" w:rsidP="00E253CB">
      <w:pPr>
        <w:widowControl w:val="0"/>
        <w:spacing w:after="120"/>
        <w:rPr>
          <w:u w:val="single"/>
        </w:rPr>
      </w:pPr>
      <w:r w:rsidRPr="003730B5">
        <w:rPr>
          <w:u w:val="single"/>
        </w:rPr>
        <w:t xml:space="preserve">Popis </w:t>
      </w:r>
      <w:r w:rsidR="007C6C1D" w:rsidRPr="003730B5">
        <w:rPr>
          <w:u w:val="single"/>
        </w:rPr>
        <w:t>a </w:t>
      </w:r>
      <w:r w:rsidRPr="003730B5">
        <w:rPr>
          <w:u w:val="single"/>
        </w:rPr>
        <w:t>zhodnocení současného stavu:</w:t>
      </w:r>
    </w:p>
    <w:p w14:paraId="73F0AF33" w14:textId="2B05FB20" w:rsidR="00711278" w:rsidRPr="003730B5" w:rsidRDefault="00E712DE" w:rsidP="00E253CB">
      <w:pPr>
        <w:widowControl w:val="0"/>
        <w:spacing w:after="120"/>
      </w:pPr>
      <w:r w:rsidRPr="003730B5">
        <w:t>V </w:t>
      </w:r>
      <w:r w:rsidR="00711278" w:rsidRPr="003730B5">
        <w:t xml:space="preserve">rámci pokračujícího úsilí </w:t>
      </w:r>
      <w:r w:rsidRPr="003730B5">
        <w:t>o </w:t>
      </w:r>
      <w:r w:rsidR="00711278" w:rsidRPr="003730B5">
        <w:t xml:space="preserve">ukončení daňových praktik nadnárodních skupin, které jim umožňují přesouvat zisky do států, kde nepodléhají žádnému nebo jen nízkému zdanění, rozšířila OECD soubor mezinárodních daňových pravidel </w:t>
      </w:r>
      <w:r w:rsidRPr="003730B5">
        <w:t>s </w:t>
      </w:r>
      <w:r w:rsidR="00711278" w:rsidRPr="003730B5">
        <w:t xml:space="preserve">cílem zajistit, aby nadnárodní skupiny platily spravedlivý podíl daní bez ohledu na to, kde působí. Tato pravidla byla posléze zakotvena na úrovni Evropské unie směrnicí Rady EU 2022/2523 </w:t>
      </w:r>
      <w:r w:rsidRPr="003730B5">
        <w:t>o </w:t>
      </w:r>
      <w:r w:rsidR="00711278" w:rsidRPr="003730B5">
        <w:t xml:space="preserve">zajištění globální minimální úrovně zdanění nadnárodních skupin podniků </w:t>
      </w:r>
      <w:r w:rsidRPr="003730B5">
        <w:t>a </w:t>
      </w:r>
      <w:r w:rsidR="00711278" w:rsidRPr="003730B5">
        <w:t xml:space="preserve">velkým vnitrostátních skupin </w:t>
      </w:r>
      <w:r w:rsidRPr="003730B5">
        <w:t>v </w:t>
      </w:r>
      <w:r w:rsidR="00711278" w:rsidRPr="003730B5">
        <w:t xml:space="preserve">Unii, která byla schválena dne 14. </w:t>
      </w:r>
      <w:r w:rsidR="006348FF" w:rsidRPr="003730B5">
        <w:t>12.</w:t>
      </w:r>
      <w:r w:rsidR="00711278" w:rsidRPr="003730B5">
        <w:t xml:space="preserve"> 2022. Vzhledem </w:t>
      </w:r>
      <w:r w:rsidRPr="003730B5">
        <w:t>k </w:t>
      </w:r>
      <w:r w:rsidR="00711278" w:rsidRPr="003730B5">
        <w:t xml:space="preserve">tomu, že tato směrnice zavádí komplexní pravidla, která </w:t>
      </w:r>
      <w:r w:rsidRPr="003730B5">
        <w:t>v </w:t>
      </w:r>
      <w:r w:rsidR="00711278" w:rsidRPr="003730B5">
        <w:t xml:space="preserve">současné době nejsou </w:t>
      </w:r>
      <w:r w:rsidRPr="003730B5">
        <w:t>v </w:t>
      </w:r>
      <w:r w:rsidR="00711278" w:rsidRPr="003730B5">
        <w:t xml:space="preserve">právním řádu České republiky zakotvena, </w:t>
      </w:r>
      <w:r w:rsidRPr="003730B5">
        <w:t>a </w:t>
      </w:r>
      <w:r w:rsidR="00711278" w:rsidRPr="003730B5">
        <w:t xml:space="preserve">vzhledem </w:t>
      </w:r>
      <w:r w:rsidRPr="003730B5">
        <w:t>k </w:t>
      </w:r>
      <w:r w:rsidR="00711278" w:rsidRPr="003730B5">
        <w:t xml:space="preserve">tomu, že Česká republika je povinna směrnici implementovat, je nezbytné přijmout </w:t>
      </w:r>
      <w:r w:rsidR="005D7B6F" w:rsidRPr="003730B5">
        <w:t>příslušnou</w:t>
      </w:r>
      <w:r w:rsidR="00711278" w:rsidRPr="003730B5">
        <w:t xml:space="preserve"> úpravu.</w:t>
      </w:r>
    </w:p>
    <w:p w14:paraId="573F9104" w14:textId="71DE3052" w:rsidR="00E253CB" w:rsidRPr="003730B5" w:rsidRDefault="00E253CB" w:rsidP="00E253CB">
      <w:pPr>
        <w:widowControl w:val="0"/>
        <w:spacing w:after="120"/>
        <w:rPr>
          <w:u w:val="single"/>
        </w:rPr>
      </w:pPr>
      <w:r w:rsidRPr="003730B5">
        <w:rPr>
          <w:u w:val="single"/>
        </w:rPr>
        <w:t>Navržené řešení:</w:t>
      </w:r>
    </w:p>
    <w:p w14:paraId="2C0B8462" w14:textId="32B1E093" w:rsidR="00711278" w:rsidRPr="003730B5" w:rsidRDefault="00711278" w:rsidP="00711278">
      <w:pPr>
        <w:spacing w:after="120"/>
        <w:rPr>
          <w:bCs/>
          <w:szCs w:val="22"/>
        </w:rPr>
      </w:pPr>
      <w:r w:rsidRPr="003730B5">
        <w:rPr>
          <w:bCs/>
          <w:szCs w:val="22"/>
        </w:rPr>
        <w:t xml:space="preserve">Cílem je zastavit soutěž mezi jednotlivými státy týkající se různých sazeb daní z příjmů právnických osob tím, že bude zavedena jednotná minimální daňová sazba, zajistit rovné podmínky pro entity po celém světě a umožnit jednotlivým státům lépe chránit jejich základy daně. K zajištění výše uvedeného byl vytvořen systém dvou vzájemně propojených pravidel (tzv. „pravidla GloBE“ z angl. Global Anti-Base Erosion), jejichž prostřednictvím budou vybírány dorovnávací daně. Cílem zaváděných dorovnávacích daní je zajistit minimální efektivní úroveň zdanění velkých nadnárodních skupin </w:t>
      </w:r>
      <w:r w:rsidR="00E712DE" w:rsidRPr="003730B5">
        <w:rPr>
          <w:bCs/>
          <w:szCs w:val="22"/>
        </w:rPr>
        <w:t>a </w:t>
      </w:r>
      <w:r w:rsidRPr="003730B5">
        <w:rPr>
          <w:bCs/>
          <w:szCs w:val="22"/>
        </w:rPr>
        <w:t xml:space="preserve">velkých vnitrostátních skupin, které mají roční výnosy 750 mil. EUR nebo více, ve dvou ze čtyř předchozích účetních období předcházejících zdaňovacímu období. Úroveň minimálního efektivního zdanění je </w:t>
      </w:r>
      <w:r w:rsidR="00E712DE" w:rsidRPr="003730B5">
        <w:rPr>
          <w:bCs/>
          <w:szCs w:val="22"/>
        </w:rPr>
        <w:t>v </w:t>
      </w:r>
      <w:r w:rsidRPr="003730B5">
        <w:rPr>
          <w:bCs/>
          <w:szCs w:val="22"/>
        </w:rPr>
        <w:t>souladu se směrnicí stanovena ve výši 15 %. Navržené řešení bude realizováno cestou samostatného legislativního n</w:t>
      </w:r>
      <w:r w:rsidR="0005195D" w:rsidRPr="003730B5">
        <w:rPr>
          <w:bCs/>
          <w:szCs w:val="22"/>
        </w:rPr>
        <w:t>ávrhu</w:t>
      </w:r>
      <w:r w:rsidRPr="003730B5">
        <w:rPr>
          <w:bCs/>
          <w:szCs w:val="22"/>
        </w:rPr>
        <w:t xml:space="preserve"> - </w:t>
      </w:r>
      <w:r w:rsidR="0005195D" w:rsidRPr="003730B5">
        <w:rPr>
          <w:bCs/>
          <w:i/>
          <w:szCs w:val="22"/>
        </w:rPr>
        <w:t>n</w:t>
      </w:r>
      <w:r w:rsidRPr="003730B5">
        <w:rPr>
          <w:bCs/>
          <w:i/>
          <w:szCs w:val="22"/>
        </w:rPr>
        <w:t xml:space="preserve">ávrhem zákona o dorovnávacích daních pro účely zajištění minimální úrovně zdanění velkých nadnárodních skupin </w:t>
      </w:r>
      <w:r w:rsidR="00E712DE" w:rsidRPr="003730B5">
        <w:rPr>
          <w:bCs/>
          <w:i/>
          <w:szCs w:val="22"/>
        </w:rPr>
        <w:t>a </w:t>
      </w:r>
      <w:r w:rsidRPr="003730B5">
        <w:rPr>
          <w:bCs/>
          <w:i/>
          <w:szCs w:val="22"/>
        </w:rPr>
        <w:t>velkých vnitrostátních skupin</w:t>
      </w:r>
      <w:r w:rsidRPr="003730B5">
        <w:rPr>
          <w:bCs/>
          <w:szCs w:val="22"/>
        </w:rPr>
        <w:t>.</w:t>
      </w:r>
    </w:p>
    <w:p w14:paraId="67EC03E3" w14:textId="77777777" w:rsidR="0003045D" w:rsidRPr="003730B5" w:rsidRDefault="0003045D" w:rsidP="006F504E">
      <w:pPr>
        <w:pStyle w:val="Nadpis2"/>
        <w:keepNext w:val="0"/>
        <w:widowControl w:val="0"/>
        <w:numPr>
          <w:ilvl w:val="1"/>
          <w:numId w:val="28"/>
        </w:numPr>
        <w:shd w:val="clear" w:color="auto" w:fill="FFFFFF"/>
        <w:jc w:val="both"/>
        <w:rPr>
          <w:rFonts w:cs="Times New Roman"/>
        </w:rPr>
      </w:pPr>
      <w:r w:rsidRPr="003730B5">
        <w:rPr>
          <w:rFonts w:cs="Times New Roman"/>
        </w:rPr>
        <w:t>Zhodnocení souladu navrhované právní úpravy s ústavním pořádkem</w:t>
      </w:r>
    </w:p>
    <w:p w14:paraId="645E039D" w14:textId="32D2419F" w:rsidR="0003045D" w:rsidRPr="003730B5" w:rsidRDefault="0003045D" w:rsidP="008F2906">
      <w:pPr>
        <w:pStyle w:val="Odstavecseseznamem"/>
        <w:widowControl w:val="0"/>
        <w:spacing w:after="120"/>
        <w:ind w:left="0"/>
        <w:rPr>
          <w:szCs w:val="24"/>
        </w:rPr>
      </w:pPr>
      <w:r w:rsidRPr="003730B5">
        <w:rPr>
          <w:szCs w:val="24"/>
        </w:rPr>
        <w:t xml:space="preserve">Základní meze pro uplatňování právních předpisů stanoví Ústava České republiky (dále </w:t>
      </w:r>
      <w:r w:rsidR="00EB5F51" w:rsidRPr="003730B5">
        <w:rPr>
          <w:szCs w:val="24"/>
        </w:rPr>
        <w:t>též</w:t>
      </w:r>
      <w:r w:rsidRPr="003730B5">
        <w:rPr>
          <w:szCs w:val="24"/>
        </w:rPr>
        <w:t xml:space="preserve"> „Ústava“) a Listina základních práv a svobod (dále </w:t>
      </w:r>
      <w:r w:rsidR="00EB5F51" w:rsidRPr="003730B5">
        <w:rPr>
          <w:szCs w:val="24"/>
        </w:rPr>
        <w:t>též</w:t>
      </w:r>
      <w:r w:rsidRPr="003730B5">
        <w:rPr>
          <w:szCs w:val="24"/>
        </w:rPr>
        <w:t xml:space="preserve"> „Listina“).</w:t>
      </w:r>
    </w:p>
    <w:p w14:paraId="05BD8A4F" w14:textId="77777777" w:rsidR="0003045D" w:rsidRPr="003730B5" w:rsidRDefault="0003045D" w:rsidP="008F2906">
      <w:pPr>
        <w:widowControl w:val="0"/>
        <w:spacing w:after="120"/>
        <w:rPr>
          <w:szCs w:val="24"/>
        </w:rPr>
      </w:pPr>
      <w:r w:rsidRPr="003730B5">
        <w:rPr>
          <w:szCs w:val="24"/>
        </w:rPr>
        <w:t>Návrh je v souladu s čl. 2 odst. 3 Ústavy, podle něhož slouží státní moc všem občanům a lze ji uplatňovat jen v případech, v mezích a způsoby, které stanoví zákon.</w:t>
      </w:r>
    </w:p>
    <w:p w14:paraId="536FBE3B" w14:textId="41F6BE35" w:rsidR="0003045D" w:rsidRPr="003730B5" w:rsidRDefault="0003045D" w:rsidP="008F2906">
      <w:pPr>
        <w:widowControl w:val="0"/>
        <w:spacing w:after="120"/>
        <w:rPr>
          <w:szCs w:val="24"/>
        </w:rPr>
      </w:pPr>
      <w:r w:rsidRPr="003730B5">
        <w:rPr>
          <w:szCs w:val="24"/>
        </w:rPr>
        <w:t>Navrhovaná právní úprava je rovněž v souladu s příslušnými ustanoveními Listiny. Podle čl. 2 odst. 2 Listiny lze státní moc uplatňovat jen v případech a v mezích stanovených zákonem, a to způsobem, který zákon stanoví. Povinnosti mohou být také ukládány toliko na základě zákona a v jeho mezích a jen při zachování základních práv a svobod (čl. 4 odst. 1 Listiny). K tomu se v daňové oblasti uplatní ještě ustanovení čl. 11 odst. 5, které stanovuje, že daně a poplatky lze ukládat jen na základě zákona.</w:t>
      </w:r>
    </w:p>
    <w:p w14:paraId="7FF8320D" w14:textId="77777777" w:rsidR="005B7E57" w:rsidRPr="003730B5" w:rsidRDefault="005B7E57" w:rsidP="005B7E57">
      <w:pPr>
        <w:widowControl w:val="0"/>
        <w:spacing w:after="120"/>
        <w:rPr>
          <w:szCs w:val="24"/>
        </w:rPr>
      </w:pPr>
      <w:r w:rsidRPr="003730B5">
        <w:rPr>
          <w:szCs w:val="24"/>
        </w:rPr>
        <w:t xml:space="preserve">Přezkumu ústavnosti zákonné úpravy daní, poplatků nebo jiných obdobných peněžitých plnění </w:t>
      </w:r>
      <w:r w:rsidRPr="003730B5">
        <w:rPr>
          <w:szCs w:val="24"/>
        </w:rPr>
        <w:lastRenderedPageBreak/>
        <w:t>se Ústavní soud věnoval již mnohokrát, např. v nálezech sp. zn. Pl. ÚS 3/02, Pl. ÚS 12/03 či Pl. ÚS 7/03 (vyhlášeném pod č. 512/2004 Sb.). Z této judikatury vyplývá, že:</w:t>
      </w:r>
    </w:p>
    <w:p w14:paraId="6FA5137B" w14:textId="77777777" w:rsidR="005B7E57" w:rsidRPr="003730B5" w:rsidRDefault="005B7E57" w:rsidP="00D16775">
      <w:pPr>
        <w:widowControl w:val="0"/>
        <w:numPr>
          <w:ilvl w:val="1"/>
          <w:numId w:val="38"/>
        </w:numPr>
        <w:spacing w:after="120"/>
        <w:ind w:left="568" w:hanging="284"/>
      </w:pPr>
      <w:r w:rsidRPr="003730B5">
        <w:t>Z ústavního principu dělby moci (čl. 2 odst. 1 Ústavy), jakož i z ústavního vymezení zákonodárné moci (čl. 15 odst. 1 Ústavy), plyne pro zákonodárce široký prostor pro rozhodování o předmětu, míře a rozsahu daní, poplatků a peněžitých sankcí. Zákonodárce přitom nese za důsledky tohoto rozhodování politickou odpovědnost.</w:t>
      </w:r>
    </w:p>
    <w:p w14:paraId="2AE95224" w14:textId="5639864E" w:rsidR="005B7E57" w:rsidRPr="003730B5" w:rsidRDefault="005B7E57" w:rsidP="00D16775">
      <w:pPr>
        <w:widowControl w:val="0"/>
        <w:numPr>
          <w:ilvl w:val="1"/>
          <w:numId w:val="38"/>
        </w:numPr>
        <w:spacing w:after="120"/>
        <w:ind w:left="568" w:hanging="284"/>
      </w:pPr>
      <w:r w:rsidRPr="003730B5">
        <w:t>Jakkoli je daň, poplatek, příp. peněžitá sankce veřejnoprávním povinným peněžitým plněním státu, a tedy zásahem do majetkového substrátu, a tudíž i vlastnického práva povinného subjektu, bez naplnění dalších podmínek nepředstavuje dotčení v ústavním pořádkem</w:t>
      </w:r>
      <w:r w:rsidR="00FA6F01" w:rsidRPr="003730B5">
        <w:t xml:space="preserve"> </w:t>
      </w:r>
      <w:r w:rsidRPr="003730B5">
        <w:t>chráněné vlastnické pozici (čl. 11 Listiny, čl. 1 Dodatkového protokolu č. 1 k Úmluvě o ochraně lidských práv a základních svobod).</w:t>
      </w:r>
    </w:p>
    <w:p w14:paraId="5400FDAD" w14:textId="77777777" w:rsidR="005B7E57" w:rsidRPr="003730B5" w:rsidRDefault="005B7E57" w:rsidP="00D16775">
      <w:pPr>
        <w:widowControl w:val="0"/>
        <w:numPr>
          <w:ilvl w:val="1"/>
          <w:numId w:val="38"/>
        </w:numPr>
        <w:spacing w:after="120"/>
        <w:ind w:left="568" w:hanging="284"/>
      </w:pPr>
      <w:r w:rsidRPr="003730B5">
        <w:t>Ústavní přezkum daní, poplatků a peněžitých sankcí zahrnuje posouzení z pohledu dodržení kautel plynoucích z ústavního principu rovnosti, a to jak neakcesorické (čl. 1 Listiny), tj. plynoucí z požadavku vyloučení svévole při odlišování subjektů a práv, tak i akcesorické v rozsahu vymezeném v čl. 3 odst. 1 Listiny. K principu rovnosti Ústavní soud ve své konstantní judikatuře uvádí, že se nejedná o kategorii absolutní, nýbrž relativní (srov. Pl. ÚS 22/92).</w:t>
      </w:r>
    </w:p>
    <w:p w14:paraId="4510C471" w14:textId="77777777" w:rsidR="005B7E57" w:rsidRPr="003730B5" w:rsidRDefault="005B7E57" w:rsidP="00D16775">
      <w:pPr>
        <w:widowControl w:val="0"/>
        <w:numPr>
          <w:ilvl w:val="1"/>
          <w:numId w:val="38"/>
        </w:numPr>
        <w:spacing w:after="120"/>
        <w:ind w:left="568" w:hanging="284"/>
      </w:pPr>
      <w:r w:rsidRPr="003730B5">
        <w:t>Je-li předmětem posouzení ústavnost akcesorické nerovnosti vzhledem k vyloučení majetkové diskriminace, případně toliko posouzení skutečnosti nepředstavuje-li daň, poplatek nebo jiná peněžitá sankce případný zásah do práva vlastnického (čl. 11 Listiny), je takový přezkum omezen na případy, v nichž hranice veřejnoprávního povinného peněžitého plnění jednotlivce státu, vůči majetkovému substrátu jednotlivce, nabývá škrtícího (rdousícího) působení. Jinými slovy ke škrtícímu (rdousícímu) působení dochází, má-li posuzovaná daň, poplatek nebo peněžitá sankce ve svých důsledcích konfiskační dopady ve vztahu k majetkové podstatě jednotlivce.</w:t>
      </w:r>
    </w:p>
    <w:p w14:paraId="2F4D00CA" w14:textId="77777777" w:rsidR="005B7E57" w:rsidRPr="003730B5" w:rsidRDefault="005B7E57" w:rsidP="00F60EA0">
      <w:pPr>
        <w:widowControl w:val="0"/>
        <w:spacing w:after="120"/>
        <w:rPr>
          <w:szCs w:val="24"/>
        </w:rPr>
      </w:pPr>
      <w:r w:rsidRPr="003730B5">
        <w:rPr>
          <w:szCs w:val="24"/>
        </w:rPr>
        <w:t xml:space="preserve">Nad rámec výše uvedeného Ústavní soud zejména v novější judikatuře v určitých případech v daňové oblasti provádí test proporcionality (např. při zásahu do práva na ochranu soukromí), nebo test racionality (např. při zásahu do práva na podnikání). </w:t>
      </w:r>
    </w:p>
    <w:p w14:paraId="382401C7" w14:textId="0E70CE07" w:rsidR="005B7E57" w:rsidRPr="003730B5" w:rsidRDefault="005B7E57" w:rsidP="00F60EA0">
      <w:pPr>
        <w:widowControl w:val="0"/>
        <w:spacing w:after="120"/>
        <w:rPr>
          <w:szCs w:val="24"/>
        </w:rPr>
      </w:pPr>
      <w:r w:rsidRPr="003730B5">
        <w:rPr>
          <w:szCs w:val="24"/>
        </w:rPr>
        <w:t>Navrhovaná právní úprava je z výše uvedených hledisek plně v souladu s ústavním pořádkem České republiky, a to i s judikaturou Ústavního soudu, vztahující se k této problematice.</w:t>
      </w:r>
    </w:p>
    <w:p w14:paraId="6E184A83" w14:textId="05D9525A" w:rsidR="008B0892" w:rsidRPr="003730B5" w:rsidRDefault="00CA40A9" w:rsidP="008B0892">
      <w:pPr>
        <w:widowControl w:val="0"/>
        <w:spacing w:after="120"/>
        <w:rPr>
          <w:szCs w:val="24"/>
        </w:rPr>
      </w:pPr>
      <w:r w:rsidRPr="003730B5">
        <w:rPr>
          <w:szCs w:val="24"/>
        </w:rPr>
        <w:t>V </w:t>
      </w:r>
      <w:r w:rsidR="008B0892" w:rsidRPr="003730B5">
        <w:rPr>
          <w:szCs w:val="24"/>
        </w:rPr>
        <w:t xml:space="preserve">oblasti práva sociálního zabezpečení je navrhovaná právní úprava </w:t>
      </w:r>
      <w:r w:rsidRPr="003730B5">
        <w:rPr>
          <w:szCs w:val="24"/>
        </w:rPr>
        <w:t>v </w:t>
      </w:r>
      <w:r w:rsidR="008B0892" w:rsidRPr="003730B5">
        <w:rPr>
          <w:szCs w:val="24"/>
        </w:rPr>
        <w:t xml:space="preserve">souladu </w:t>
      </w:r>
      <w:r w:rsidRPr="003730B5">
        <w:rPr>
          <w:szCs w:val="24"/>
        </w:rPr>
        <w:t>s </w:t>
      </w:r>
      <w:r w:rsidR="008B0892" w:rsidRPr="003730B5">
        <w:rPr>
          <w:szCs w:val="24"/>
        </w:rPr>
        <w:t xml:space="preserve">Hlavou čtvrtou Listiny základních práv </w:t>
      </w:r>
      <w:r w:rsidRPr="003730B5">
        <w:rPr>
          <w:szCs w:val="24"/>
        </w:rPr>
        <w:t>a </w:t>
      </w:r>
      <w:r w:rsidR="008B0892" w:rsidRPr="003730B5">
        <w:rPr>
          <w:szCs w:val="24"/>
        </w:rPr>
        <w:t xml:space="preserve">svobod, která upravuje hospodářská, sociální </w:t>
      </w:r>
      <w:r w:rsidRPr="003730B5">
        <w:rPr>
          <w:szCs w:val="24"/>
        </w:rPr>
        <w:t>a </w:t>
      </w:r>
      <w:r w:rsidR="008B0892" w:rsidRPr="003730B5">
        <w:rPr>
          <w:szCs w:val="24"/>
        </w:rPr>
        <w:t xml:space="preserve">kulturní práva, přičemž relevantními jsou zejména články 26, 28 </w:t>
      </w:r>
      <w:r w:rsidRPr="003730B5">
        <w:rPr>
          <w:szCs w:val="24"/>
        </w:rPr>
        <w:t>a </w:t>
      </w:r>
      <w:r w:rsidR="008B0892" w:rsidRPr="003730B5">
        <w:rPr>
          <w:szCs w:val="24"/>
        </w:rPr>
        <w:t xml:space="preserve">30 Listiny základních práv </w:t>
      </w:r>
      <w:r w:rsidRPr="003730B5">
        <w:rPr>
          <w:szCs w:val="24"/>
        </w:rPr>
        <w:t>a </w:t>
      </w:r>
      <w:r w:rsidR="008B0892" w:rsidRPr="003730B5">
        <w:rPr>
          <w:szCs w:val="24"/>
        </w:rPr>
        <w:t>svobod.</w:t>
      </w:r>
    </w:p>
    <w:p w14:paraId="5864F234" w14:textId="73C8E029" w:rsidR="005B7E57" w:rsidRPr="003730B5" w:rsidRDefault="005B7E57" w:rsidP="00F60EA0">
      <w:pPr>
        <w:widowControl w:val="0"/>
        <w:spacing w:after="120"/>
      </w:pPr>
      <w:r w:rsidRPr="003730B5">
        <w:t xml:space="preserve">Ke </w:t>
      </w:r>
      <w:r w:rsidRPr="003730B5">
        <w:rPr>
          <w:szCs w:val="24"/>
        </w:rPr>
        <w:t>koncepci</w:t>
      </w:r>
      <w:r w:rsidRPr="003730B5">
        <w:t xml:space="preserve"> návrhu zákona, tj. spojení novel daňových zákonů do jednoho návrhu, lze uvést, že Ústavní soud v nálezu sp. zn. Pl. ÚS 21/01 uvedl, že „</w:t>
      </w:r>
      <w:r w:rsidRPr="003730B5">
        <w:rPr>
          <w:i/>
        </w:rPr>
        <w:t>praxe, kdy jedním zákonem je současně novelizováno několik různých zákonů, je v legislativní praxi relativně častá. K tomu Ústavní soud v obecné rovině uvádí, že tato praxe je v zásadě ústavně konformní, leč pouze tehdy, jestliže novelizované zákony vzájemně meritorně souvisí. Naopak za nežádoucí jev, nekorespondující se smyslem a zásadami legislativního procesu, je nutno označit situaci, kdy jedním zákonem jsou novelizovány zákony vzájemně obsahově bezprostředně nesouvisející, k čemuž dochází např. z důvodu urychlení legislativní procedury, a to začasté formou podaných pozměňovacích návrhů.</w:t>
      </w:r>
      <w:r w:rsidRPr="003730B5">
        <w:t>“. K tomu je třeba doplnit, že ústavně konformním byl shledán i zákon č. 261/2007 Sb., kde meritorní souvislost zákonů spočívala ve</w:t>
      </w:r>
      <w:r w:rsidR="00F60EA0" w:rsidRPr="003730B5">
        <w:t> </w:t>
      </w:r>
      <w:r w:rsidRPr="003730B5">
        <w:t>snaze o stabilizaci veřejných rozpočtů. S ohledem na uvedené není možné mít výhrady k protiústavnosti navrženého řešení z hlediska spojení novel do jednoho souboru.</w:t>
      </w:r>
    </w:p>
    <w:p w14:paraId="5485EF2E" w14:textId="7FF6361F" w:rsidR="00B1298C" w:rsidRPr="003730B5" w:rsidRDefault="00B1298C" w:rsidP="00F60EA0">
      <w:pPr>
        <w:widowControl w:val="0"/>
        <w:spacing w:after="120"/>
      </w:pPr>
      <w:r w:rsidRPr="003730B5">
        <w:t xml:space="preserve">Dále jsou uvedeny </w:t>
      </w:r>
      <w:r w:rsidR="006D3DCB" w:rsidRPr="003730B5">
        <w:t>konkrétní</w:t>
      </w:r>
      <w:r w:rsidRPr="003730B5">
        <w:t xml:space="preserve"> navržen</w:t>
      </w:r>
      <w:r w:rsidR="006D3DCB" w:rsidRPr="003730B5">
        <w:t>é</w:t>
      </w:r>
      <w:r w:rsidRPr="003730B5">
        <w:t xml:space="preserve"> změn</w:t>
      </w:r>
      <w:r w:rsidR="006D3DCB" w:rsidRPr="003730B5">
        <w:t>y</w:t>
      </w:r>
      <w:r w:rsidRPr="003730B5">
        <w:t xml:space="preserve">, v jejichž případě lze identifikovat specifický </w:t>
      </w:r>
      <w:r w:rsidRPr="003730B5">
        <w:lastRenderedPageBreak/>
        <w:t>ústavněprávní rozměr</w:t>
      </w:r>
      <w:r w:rsidR="006D3DCB" w:rsidRPr="003730B5">
        <w:t xml:space="preserve"> nad rámec výše uvedeného</w:t>
      </w:r>
      <w:r w:rsidRPr="003730B5">
        <w:t>.</w:t>
      </w:r>
    </w:p>
    <w:p w14:paraId="751599F1" w14:textId="56916218" w:rsidR="00D8498B" w:rsidRPr="003730B5" w:rsidRDefault="00D8498B" w:rsidP="004C0569">
      <w:pPr>
        <w:pStyle w:val="Nadpis2"/>
        <w:widowControl w:val="0"/>
        <w:numPr>
          <w:ilvl w:val="0"/>
          <w:numId w:val="0"/>
        </w:numPr>
        <w:shd w:val="clear" w:color="auto" w:fill="FFFFFF"/>
        <w:tabs>
          <w:tab w:val="left" w:pos="567"/>
        </w:tabs>
        <w:jc w:val="both"/>
        <w:rPr>
          <w:i/>
          <w:sz w:val="24"/>
        </w:rPr>
      </w:pPr>
      <w:r w:rsidRPr="003730B5">
        <w:rPr>
          <w:i/>
          <w:sz w:val="24"/>
        </w:rPr>
        <w:t>Snížení státní podpory stavebního spoření</w:t>
      </w:r>
    </w:p>
    <w:p w14:paraId="17404B8E" w14:textId="1C15B026" w:rsidR="00D8498B" w:rsidRPr="003730B5" w:rsidRDefault="00D8498B" w:rsidP="00D8498B">
      <w:pPr>
        <w:widowControl w:val="0"/>
        <w:spacing w:after="120"/>
        <w:rPr>
          <w:szCs w:val="24"/>
        </w:rPr>
      </w:pPr>
      <w:r w:rsidRPr="003730B5">
        <w:rPr>
          <w:szCs w:val="24"/>
        </w:rPr>
        <w:t xml:space="preserve">Návrh zvolené úpravy se dotýká zákazu retroaktivity. Nicméně jedná se </w:t>
      </w:r>
      <w:r w:rsidR="00CA40A9" w:rsidRPr="003730B5">
        <w:rPr>
          <w:szCs w:val="24"/>
        </w:rPr>
        <w:t>o </w:t>
      </w:r>
      <w:r w:rsidRPr="003730B5">
        <w:rPr>
          <w:szCs w:val="24"/>
        </w:rPr>
        <w:t xml:space="preserve">retroaktivitu nepravou, která je podle nálezu Ústavního soudu sp. zn. Pl. ÚS 53/10 ze dne 19. dubna 2011, vyhlášeným pod </w:t>
      </w:r>
      <w:r w:rsidR="00CA40A9" w:rsidRPr="003730B5">
        <w:rPr>
          <w:szCs w:val="24"/>
        </w:rPr>
        <w:t>č. </w:t>
      </w:r>
      <w:r w:rsidRPr="003730B5">
        <w:rPr>
          <w:szCs w:val="24"/>
        </w:rPr>
        <w:t xml:space="preserve">119/2011 Sb. za určitých okolností akceptovatelná. V tomto ohledu je třeba zdůraznit, že snížení státní podpory </w:t>
      </w:r>
      <w:r w:rsidR="00CA40A9" w:rsidRPr="003730B5">
        <w:rPr>
          <w:szCs w:val="24"/>
        </w:rPr>
        <w:t>i </w:t>
      </w:r>
      <w:r w:rsidRPr="003730B5">
        <w:rPr>
          <w:szCs w:val="24"/>
        </w:rPr>
        <w:t xml:space="preserve">pro již uzavřené smlouvy prošlo testem Ústavního soudu, který dospěl k závěru, že se v takovém případě jedná </w:t>
      </w:r>
      <w:r w:rsidR="00CA40A9" w:rsidRPr="003730B5">
        <w:rPr>
          <w:szCs w:val="24"/>
        </w:rPr>
        <w:t>o </w:t>
      </w:r>
      <w:r w:rsidRPr="003730B5">
        <w:rPr>
          <w:szCs w:val="24"/>
        </w:rPr>
        <w:t xml:space="preserve">nepravou retroaktivitu, která však je za splnění určitých předpokladů přípustná. Z tohoto pohledu je podle Ústavního soudu zejména potřeba zvážit, nakolik tato zasahuje do ústavních principů, </w:t>
      </w:r>
      <w:r w:rsidR="00CA40A9" w:rsidRPr="003730B5">
        <w:rPr>
          <w:szCs w:val="24"/>
        </w:rPr>
        <w:t>a </w:t>
      </w:r>
      <w:r w:rsidRPr="003730B5">
        <w:rPr>
          <w:szCs w:val="24"/>
        </w:rPr>
        <w:t xml:space="preserve">to zejména do ochrany důvěry v právo </w:t>
      </w:r>
      <w:r w:rsidR="00CA40A9" w:rsidRPr="003730B5">
        <w:rPr>
          <w:szCs w:val="24"/>
        </w:rPr>
        <w:t>a </w:t>
      </w:r>
      <w:r w:rsidRPr="003730B5">
        <w:rPr>
          <w:szCs w:val="24"/>
        </w:rPr>
        <w:t xml:space="preserve">do principu právní jistoty. Ústavní soud zde poukázal zejména na ekonomickou stránku věci, když ve výše uvedeném rozsudku konstatoval, že </w:t>
      </w:r>
      <w:r w:rsidRPr="003730B5">
        <w:rPr>
          <w:i/>
          <w:szCs w:val="24"/>
        </w:rPr>
        <w:t xml:space="preserve">„stanovení příspěvku ze státního rozpočtu za určitým účelem </w:t>
      </w:r>
      <w:r w:rsidR="00CA40A9" w:rsidRPr="003730B5">
        <w:rPr>
          <w:i/>
          <w:szCs w:val="24"/>
        </w:rPr>
        <w:t>a </w:t>
      </w:r>
      <w:r w:rsidRPr="003730B5">
        <w:rPr>
          <w:i/>
          <w:szCs w:val="24"/>
        </w:rPr>
        <w:t xml:space="preserve">pro určitou skupinu osob závisí vždy na tom, do jaké míry je ze strany zákonodárce shledána jeho účelnost, resp. veřejný zájem na jeho poskytování. To platí obzvlášť </w:t>
      </w:r>
      <w:r w:rsidR="00CA40A9" w:rsidRPr="003730B5">
        <w:rPr>
          <w:i/>
          <w:szCs w:val="24"/>
        </w:rPr>
        <w:t>v </w:t>
      </w:r>
      <w:r w:rsidRPr="003730B5">
        <w:rPr>
          <w:i/>
          <w:szCs w:val="24"/>
        </w:rPr>
        <w:t xml:space="preserve">případě, kdy se jedná </w:t>
      </w:r>
      <w:r w:rsidR="00CA40A9" w:rsidRPr="003730B5">
        <w:rPr>
          <w:i/>
          <w:szCs w:val="24"/>
        </w:rPr>
        <w:t>o </w:t>
      </w:r>
      <w:r w:rsidRPr="003730B5">
        <w:rPr>
          <w:i/>
          <w:szCs w:val="24"/>
        </w:rPr>
        <w:t xml:space="preserve">příspěvek, jehož poskytování je pouze beneficiem ze strany zákonodárce, aniž by </w:t>
      </w:r>
      <w:r w:rsidR="00CA40A9" w:rsidRPr="003730B5">
        <w:rPr>
          <w:i/>
          <w:szCs w:val="24"/>
        </w:rPr>
        <w:t>s </w:t>
      </w:r>
      <w:r w:rsidRPr="003730B5">
        <w:rPr>
          <w:i/>
          <w:szCs w:val="24"/>
        </w:rPr>
        <w:t xml:space="preserve">ním současně bylo spojeno naplňování určitého základního práva nebo svobody. Dotčené subjekty přitom nemohly spoléhat na to, že postupem času zákonodárce tuto výši nepřehodnotí. Nelze přitom opomenout ani související odpovědnost vlády </w:t>
      </w:r>
      <w:r w:rsidR="00CA40A9" w:rsidRPr="003730B5">
        <w:rPr>
          <w:i/>
          <w:szCs w:val="24"/>
        </w:rPr>
        <w:t>a </w:t>
      </w:r>
      <w:r w:rsidRPr="003730B5">
        <w:rPr>
          <w:i/>
          <w:szCs w:val="24"/>
        </w:rPr>
        <w:t xml:space="preserve">Parlamentu za stav veřejných financí, </w:t>
      </w:r>
      <w:r w:rsidR="00CA40A9" w:rsidRPr="003730B5">
        <w:rPr>
          <w:i/>
          <w:szCs w:val="24"/>
        </w:rPr>
        <w:t>s </w:t>
      </w:r>
      <w:r w:rsidRPr="003730B5">
        <w:rPr>
          <w:i/>
          <w:szCs w:val="24"/>
        </w:rPr>
        <w:t xml:space="preserve">čímž souvisí </w:t>
      </w:r>
      <w:r w:rsidR="00CA40A9" w:rsidRPr="003730B5">
        <w:rPr>
          <w:i/>
          <w:szCs w:val="24"/>
        </w:rPr>
        <w:t>i </w:t>
      </w:r>
      <w:r w:rsidRPr="003730B5">
        <w:rPr>
          <w:i/>
          <w:szCs w:val="24"/>
        </w:rPr>
        <w:t xml:space="preserve">oprávnění zákonodárce přizpůsobit výdaje státního rozpočtu jeho reálným možnostem </w:t>
      </w:r>
      <w:r w:rsidR="00CA40A9" w:rsidRPr="003730B5">
        <w:rPr>
          <w:i/>
          <w:szCs w:val="24"/>
        </w:rPr>
        <w:t>a </w:t>
      </w:r>
      <w:r w:rsidRPr="003730B5">
        <w:rPr>
          <w:i/>
          <w:szCs w:val="24"/>
        </w:rPr>
        <w:t>aktuálním potřebám formou změn právní úpravy mandatorních výdajů, státní podporu nevyjímaje.“</w:t>
      </w:r>
      <w:r w:rsidRPr="003730B5">
        <w:rPr>
          <w:szCs w:val="24"/>
        </w:rPr>
        <w:t>.</w:t>
      </w:r>
    </w:p>
    <w:p w14:paraId="60193635" w14:textId="5F844DA6" w:rsidR="00D8498B" w:rsidRPr="003730B5" w:rsidRDefault="00D8498B" w:rsidP="00D8498B">
      <w:pPr>
        <w:widowControl w:val="0"/>
        <w:spacing w:after="120"/>
        <w:rPr>
          <w:szCs w:val="24"/>
        </w:rPr>
      </w:pPr>
      <w:r w:rsidRPr="003730B5">
        <w:rPr>
          <w:szCs w:val="24"/>
        </w:rPr>
        <w:t xml:space="preserve">Zvoleným produktovým pojetím stavebního spoření </w:t>
      </w:r>
      <w:r w:rsidR="00CA40A9" w:rsidRPr="003730B5">
        <w:rPr>
          <w:szCs w:val="24"/>
        </w:rPr>
        <w:t>a </w:t>
      </w:r>
      <w:r w:rsidRPr="003730B5">
        <w:rPr>
          <w:szCs w:val="24"/>
        </w:rPr>
        <w:t>změnami ve státní podpoře je sice zasahováno do práva stavebních spořitelen na svobodné podnikání, nicméně tento zásah je minimalizován umožněním transformace stavebních spořitelen na univerzální banky a zachováním státní podpory jako takové, byť ve snížené výši, čímž je minimalizován i případný rdousící efekt na ně (</w:t>
      </w:r>
      <w:r w:rsidR="00CA40A9" w:rsidRPr="003730B5">
        <w:rPr>
          <w:szCs w:val="24"/>
        </w:rPr>
        <w:t>k </w:t>
      </w:r>
      <w:r w:rsidRPr="003730B5">
        <w:rPr>
          <w:szCs w:val="24"/>
        </w:rPr>
        <w:t>rdousícímu efektu viz např. Pl. ÚS 53/10 bod 163).</w:t>
      </w:r>
      <w:r w:rsidR="006D3DCB" w:rsidRPr="003730B5">
        <w:rPr>
          <w:szCs w:val="24"/>
        </w:rPr>
        <w:t xml:space="preserve"> </w:t>
      </w:r>
      <w:r w:rsidRPr="003730B5">
        <w:rPr>
          <w:szCs w:val="24"/>
        </w:rPr>
        <w:t xml:space="preserve">Návrh zavedením produktového pojetí také umožňuje </w:t>
      </w:r>
      <w:r w:rsidR="00CA40A9" w:rsidRPr="003730B5">
        <w:rPr>
          <w:szCs w:val="24"/>
        </w:rPr>
        <w:t>i </w:t>
      </w:r>
      <w:r w:rsidRPr="003730B5">
        <w:rPr>
          <w:szCs w:val="24"/>
        </w:rPr>
        <w:t xml:space="preserve">univerzálním bankám poskytovat stavební spoření. Stavební spořitelny </w:t>
      </w:r>
      <w:r w:rsidR="00CA40A9" w:rsidRPr="003730B5">
        <w:rPr>
          <w:szCs w:val="24"/>
        </w:rPr>
        <w:t>a </w:t>
      </w:r>
      <w:r w:rsidRPr="003730B5">
        <w:rPr>
          <w:szCs w:val="24"/>
        </w:rPr>
        <w:t xml:space="preserve">univerzální banky proto budou mít rovné postavení </w:t>
      </w:r>
      <w:r w:rsidR="00CA40A9" w:rsidRPr="003730B5">
        <w:rPr>
          <w:szCs w:val="24"/>
        </w:rPr>
        <w:t>v </w:t>
      </w:r>
      <w:r w:rsidRPr="003730B5">
        <w:rPr>
          <w:szCs w:val="24"/>
        </w:rPr>
        <w:t xml:space="preserve">poskytování stavebního spoření </w:t>
      </w:r>
      <w:r w:rsidR="00CA40A9" w:rsidRPr="003730B5">
        <w:rPr>
          <w:szCs w:val="24"/>
        </w:rPr>
        <w:t>z </w:t>
      </w:r>
      <w:r w:rsidRPr="003730B5">
        <w:rPr>
          <w:szCs w:val="24"/>
        </w:rPr>
        <w:t>pohledu produktu. Budou muset dodržovat podmínky dané zákonem o stavebním spoření, které vymezují parametry tohoto produktu.</w:t>
      </w:r>
      <w:r w:rsidR="006D3DCB" w:rsidRPr="003730B5">
        <w:rPr>
          <w:szCs w:val="24"/>
        </w:rPr>
        <w:t xml:space="preserve"> </w:t>
      </w:r>
      <w:r w:rsidRPr="003730B5">
        <w:rPr>
          <w:szCs w:val="24"/>
        </w:rPr>
        <w:t xml:space="preserve">Jedním </w:t>
      </w:r>
      <w:r w:rsidR="00CA40A9" w:rsidRPr="003730B5">
        <w:rPr>
          <w:szCs w:val="24"/>
        </w:rPr>
        <w:t>z </w:t>
      </w:r>
      <w:r w:rsidRPr="003730B5">
        <w:rPr>
          <w:szCs w:val="24"/>
        </w:rPr>
        <w:t xml:space="preserve">cílů navrhovaných změn je přispět </w:t>
      </w:r>
      <w:r w:rsidR="00CA40A9" w:rsidRPr="003730B5">
        <w:rPr>
          <w:szCs w:val="24"/>
        </w:rPr>
        <w:t>k </w:t>
      </w:r>
      <w:r w:rsidRPr="003730B5">
        <w:rPr>
          <w:szCs w:val="24"/>
        </w:rPr>
        <w:t xml:space="preserve">tomu, aby subjekty poskytující stavební spoření měly diverzifikované zdroje financování </w:t>
      </w:r>
      <w:r w:rsidR="00CA40A9" w:rsidRPr="003730B5">
        <w:rPr>
          <w:szCs w:val="24"/>
        </w:rPr>
        <w:t>a </w:t>
      </w:r>
      <w:r w:rsidRPr="003730B5">
        <w:rPr>
          <w:szCs w:val="24"/>
        </w:rPr>
        <w:t xml:space="preserve">nebyly závislé na vysokém objemu úspor </w:t>
      </w:r>
      <w:r w:rsidR="00CA40A9" w:rsidRPr="003730B5">
        <w:rPr>
          <w:szCs w:val="24"/>
        </w:rPr>
        <w:t>u </w:t>
      </w:r>
      <w:r w:rsidRPr="003730B5">
        <w:rPr>
          <w:szCs w:val="24"/>
        </w:rPr>
        <w:t xml:space="preserve">smluv po vázací době, jejichž výpovědní lhůta je pouze </w:t>
      </w:r>
      <w:r w:rsidR="00CA40A9" w:rsidRPr="003730B5">
        <w:rPr>
          <w:szCs w:val="24"/>
        </w:rPr>
        <w:t>3 </w:t>
      </w:r>
      <w:r w:rsidRPr="003730B5">
        <w:rPr>
          <w:szCs w:val="24"/>
        </w:rPr>
        <w:t xml:space="preserve">měsíce. Proto se umožňuje stavebním spořitelnám transformace na univerzální banky a stávajícím univerzálním bankám se umožňuje začít poskytovat stavební spoření. Jestliže vklady ze stavebního spoření budou představovat jeden </w:t>
      </w:r>
      <w:r w:rsidR="00CA40A9" w:rsidRPr="003730B5">
        <w:rPr>
          <w:szCs w:val="24"/>
        </w:rPr>
        <w:t>z </w:t>
      </w:r>
      <w:r w:rsidRPr="003730B5">
        <w:rPr>
          <w:szCs w:val="24"/>
        </w:rPr>
        <w:t xml:space="preserve">více zdrojů pasiv banky, dokáže se tato banka lépe vyrovnat </w:t>
      </w:r>
      <w:r w:rsidR="00CA40A9" w:rsidRPr="003730B5">
        <w:rPr>
          <w:szCs w:val="24"/>
        </w:rPr>
        <w:t>s </w:t>
      </w:r>
      <w:r w:rsidRPr="003730B5">
        <w:rPr>
          <w:szCs w:val="24"/>
        </w:rPr>
        <w:t>případným zvýšeným výběrem těchto vkladů, ke kterému by mohlo dojít v případě snížení státní podpory.</w:t>
      </w:r>
      <w:r w:rsidR="006D3DCB" w:rsidRPr="003730B5">
        <w:rPr>
          <w:szCs w:val="24"/>
        </w:rPr>
        <w:t xml:space="preserve"> </w:t>
      </w:r>
      <w:r w:rsidR="00CA40A9" w:rsidRPr="003730B5">
        <w:rPr>
          <w:szCs w:val="24"/>
        </w:rPr>
        <w:t>Z </w:t>
      </w:r>
      <w:r w:rsidRPr="003730B5">
        <w:rPr>
          <w:szCs w:val="24"/>
        </w:rPr>
        <w:t xml:space="preserve">výše uvedeného vyplývá, že jedním ze sledovaných cílů je veřejný zájem na zajištění stability finančního trhu. Nejedná se tedy </w:t>
      </w:r>
      <w:r w:rsidR="00CA40A9" w:rsidRPr="003730B5">
        <w:rPr>
          <w:szCs w:val="24"/>
        </w:rPr>
        <w:t>o </w:t>
      </w:r>
      <w:r w:rsidRPr="003730B5">
        <w:rPr>
          <w:szCs w:val="24"/>
        </w:rPr>
        <w:t xml:space="preserve">neodůvodněnou diskriminaci, která by byla </w:t>
      </w:r>
      <w:r w:rsidR="00CA40A9" w:rsidRPr="003730B5">
        <w:rPr>
          <w:szCs w:val="24"/>
        </w:rPr>
        <w:t>v </w:t>
      </w:r>
      <w:r w:rsidRPr="003730B5">
        <w:rPr>
          <w:szCs w:val="24"/>
        </w:rPr>
        <w:t>rozporu s ústavním pořádkem.</w:t>
      </w:r>
      <w:r w:rsidR="006D3DCB" w:rsidRPr="003730B5">
        <w:rPr>
          <w:szCs w:val="24"/>
        </w:rPr>
        <w:t xml:space="preserve"> </w:t>
      </w:r>
      <w:r w:rsidRPr="003730B5">
        <w:rPr>
          <w:szCs w:val="24"/>
        </w:rPr>
        <w:t xml:space="preserve">Rovněž je potřeba vzít </w:t>
      </w:r>
      <w:r w:rsidR="00CA40A9" w:rsidRPr="003730B5">
        <w:rPr>
          <w:szCs w:val="24"/>
        </w:rPr>
        <w:t>v </w:t>
      </w:r>
      <w:r w:rsidRPr="003730B5">
        <w:rPr>
          <w:szCs w:val="24"/>
        </w:rPr>
        <w:t xml:space="preserve">úvahu, že stavební spořitelny nejsou omezovány, naopak získávají možnost volby. Mohou pokračovat ve své činnosti ve stávající podobě, nebo se transformovat na univerzální banky. </w:t>
      </w:r>
    </w:p>
    <w:p w14:paraId="66ED1B66" w14:textId="5040D632" w:rsidR="00D8498B" w:rsidRPr="003730B5" w:rsidRDefault="00D8498B" w:rsidP="00D8498B">
      <w:pPr>
        <w:widowControl w:val="0"/>
        <w:spacing w:after="120"/>
        <w:rPr>
          <w:szCs w:val="24"/>
        </w:rPr>
      </w:pPr>
      <w:r w:rsidRPr="003730B5">
        <w:rPr>
          <w:szCs w:val="24"/>
        </w:rPr>
        <w:t xml:space="preserve">Zvolené řešení je plně způsobilé naplnit cíl, tedy zajistit potřebnou stabilitu finančního trhu a zvýšit konkurenci při poskytování stavebního spoření. Zároveň bylo vybráno řešení, které nejvíce zachovává právo na podnikání, svobodu </w:t>
      </w:r>
      <w:r w:rsidR="00CA40A9" w:rsidRPr="003730B5">
        <w:rPr>
          <w:szCs w:val="24"/>
        </w:rPr>
        <w:t>a </w:t>
      </w:r>
      <w:r w:rsidRPr="003730B5">
        <w:rPr>
          <w:szCs w:val="24"/>
        </w:rPr>
        <w:t xml:space="preserve">volnost trhu, </w:t>
      </w:r>
      <w:r w:rsidR="00CA40A9" w:rsidRPr="003730B5">
        <w:rPr>
          <w:szCs w:val="24"/>
        </w:rPr>
        <w:t>a </w:t>
      </w:r>
      <w:r w:rsidRPr="003730B5">
        <w:rPr>
          <w:szCs w:val="24"/>
        </w:rPr>
        <w:t>to bez negativního rdousícího efektu. Změna zákona rozšiřuje právo na svobodné podnikání stavebních spořitelen, neboť jim umožňuje transformaci na univerzální banky. Zvolené řešení tak plně splňuje test proporcionality (dle nálezu Ústavního soudu Pl. ÚS 3/02 nebo Pl. ÚS 38/04).</w:t>
      </w:r>
      <w:r w:rsidR="006D3DCB" w:rsidRPr="003730B5">
        <w:rPr>
          <w:szCs w:val="24"/>
        </w:rPr>
        <w:t xml:space="preserve"> </w:t>
      </w:r>
      <w:r w:rsidR="00CA40A9" w:rsidRPr="003730B5">
        <w:rPr>
          <w:szCs w:val="24"/>
        </w:rPr>
        <w:t>Z </w:t>
      </w:r>
      <w:r w:rsidRPr="003730B5">
        <w:rPr>
          <w:szCs w:val="24"/>
        </w:rPr>
        <w:t xml:space="preserve">výše popsaných důvodů je shledán soulad návrhu zákona </w:t>
      </w:r>
      <w:r w:rsidR="00CA40A9" w:rsidRPr="003730B5">
        <w:rPr>
          <w:szCs w:val="24"/>
        </w:rPr>
        <w:t>s </w:t>
      </w:r>
      <w:r w:rsidRPr="003730B5">
        <w:rPr>
          <w:szCs w:val="24"/>
        </w:rPr>
        <w:t xml:space="preserve">Ústavou založeným ústavním pořádkem České </w:t>
      </w:r>
      <w:r w:rsidRPr="003730B5">
        <w:rPr>
          <w:szCs w:val="24"/>
        </w:rPr>
        <w:lastRenderedPageBreak/>
        <w:t>republiky.</w:t>
      </w:r>
    </w:p>
    <w:p w14:paraId="744811BC" w14:textId="5134491F" w:rsidR="00136991" w:rsidRPr="003730B5" w:rsidRDefault="00136991" w:rsidP="004C0569">
      <w:pPr>
        <w:pStyle w:val="Nadpis2"/>
        <w:widowControl w:val="0"/>
        <w:numPr>
          <w:ilvl w:val="0"/>
          <w:numId w:val="0"/>
        </w:numPr>
        <w:shd w:val="clear" w:color="auto" w:fill="FFFFFF"/>
        <w:tabs>
          <w:tab w:val="left" w:pos="567"/>
        </w:tabs>
        <w:jc w:val="both"/>
        <w:rPr>
          <w:i/>
          <w:sz w:val="24"/>
        </w:rPr>
      </w:pPr>
      <w:r w:rsidRPr="003730B5">
        <w:rPr>
          <w:i/>
          <w:sz w:val="24"/>
        </w:rPr>
        <w:t>Snížení platů ústavních činitelů</w:t>
      </w:r>
    </w:p>
    <w:p w14:paraId="7D445F39" w14:textId="1C7CAAB8" w:rsidR="00136991" w:rsidRPr="003730B5" w:rsidRDefault="00136991" w:rsidP="00136991">
      <w:pPr>
        <w:widowControl w:val="0"/>
        <w:spacing w:after="120"/>
        <w:rPr>
          <w:szCs w:val="24"/>
        </w:rPr>
      </w:pPr>
      <w:r w:rsidRPr="003730B5">
        <w:rPr>
          <w:szCs w:val="24"/>
        </w:rPr>
        <w:t xml:space="preserve">Navrhované změny jsou </w:t>
      </w:r>
      <w:r w:rsidR="00CA40A9" w:rsidRPr="003730B5">
        <w:rPr>
          <w:szCs w:val="24"/>
        </w:rPr>
        <w:t>v </w:t>
      </w:r>
      <w:r w:rsidRPr="003730B5">
        <w:rPr>
          <w:szCs w:val="24"/>
        </w:rPr>
        <w:t xml:space="preserve">souladu </w:t>
      </w:r>
      <w:r w:rsidR="00CA40A9" w:rsidRPr="003730B5">
        <w:rPr>
          <w:szCs w:val="24"/>
        </w:rPr>
        <w:t>s </w:t>
      </w:r>
      <w:r w:rsidRPr="003730B5">
        <w:rPr>
          <w:szCs w:val="24"/>
        </w:rPr>
        <w:t xml:space="preserve">ústavním pořádkem České republiky. Je také plně respektována judikatura Ústavního soudu, která se uvedené problematiky dotýká (zejm. nález Ústavního soudu, vyhlášený pod </w:t>
      </w:r>
      <w:r w:rsidR="00CA40A9" w:rsidRPr="003730B5">
        <w:rPr>
          <w:szCs w:val="24"/>
        </w:rPr>
        <w:t>č. </w:t>
      </w:r>
      <w:r w:rsidRPr="003730B5">
        <w:rPr>
          <w:szCs w:val="24"/>
        </w:rPr>
        <w:t xml:space="preserve">181/2012 Sb. </w:t>
      </w:r>
      <w:r w:rsidR="00CA40A9" w:rsidRPr="003730B5">
        <w:rPr>
          <w:szCs w:val="24"/>
        </w:rPr>
        <w:t>a </w:t>
      </w:r>
      <w:r w:rsidRPr="003730B5">
        <w:rPr>
          <w:szCs w:val="24"/>
        </w:rPr>
        <w:t>nález Ústavního soudu, vyhlášený pod č.</w:t>
      </w:r>
      <w:r w:rsidR="008B0892" w:rsidRPr="003730B5">
        <w:rPr>
          <w:szCs w:val="24"/>
        </w:rPr>
        <w:t> </w:t>
      </w:r>
      <w:r w:rsidRPr="003730B5">
        <w:rPr>
          <w:szCs w:val="24"/>
        </w:rPr>
        <w:t>161/2014 Sb.). Platová restrikce dopadá stejně na představitele všech pilířů státní moci a</w:t>
      </w:r>
      <w:r w:rsidR="008B0892" w:rsidRPr="003730B5">
        <w:rPr>
          <w:szCs w:val="24"/>
        </w:rPr>
        <w:t> </w:t>
      </w:r>
      <w:r w:rsidRPr="003730B5">
        <w:rPr>
          <w:szCs w:val="24"/>
        </w:rPr>
        <w:t xml:space="preserve">nedochází </w:t>
      </w:r>
      <w:r w:rsidR="00CA40A9" w:rsidRPr="003730B5">
        <w:rPr>
          <w:szCs w:val="24"/>
        </w:rPr>
        <w:t>k </w:t>
      </w:r>
      <w:r w:rsidRPr="003730B5">
        <w:rPr>
          <w:szCs w:val="24"/>
        </w:rPr>
        <w:t>absolutnímu snížení platového standardu soudců, který by byl problematický s</w:t>
      </w:r>
      <w:r w:rsidR="008B0892" w:rsidRPr="003730B5">
        <w:rPr>
          <w:szCs w:val="24"/>
        </w:rPr>
        <w:t> </w:t>
      </w:r>
      <w:r w:rsidRPr="003730B5">
        <w:rPr>
          <w:szCs w:val="24"/>
        </w:rPr>
        <w:t>ohledem na garance jejich nezávislosti.</w:t>
      </w:r>
    </w:p>
    <w:p w14:paraId="6F2B5AB6" w14:textId="3F481C47" w:rsidR="00D8498B" w:rsidRPr="003730B5" w:rsidRDefault="007E1EBF" w:rsidP="004C0569">
      <w:pPr>
        <w:pStyle w:val="Nadpis2"/>
        <w:widowControl w:val="0"/>
        <w:numPr>
          <w:ilvl w:val="0"/>
          <w:numId w:val="0"/>
        </w:numPr>
        <w:shd w:val="clear" w:color="auto" w:fill="FFFFFF"/>
        <w:tabs>
          <w:tab w:val="left" w:pos="567"/>
        </w:tabs>
        <w:jc w:val="both"/>
        <w:rPr>
          <w:i/>
          <w:sz w:val="24"/>
        </w:rPr>
      </w:pPr>
      <w:r w:rsidRPr="003730B5">
        <w:rPr>
          <w:i/>
          <w:sz w:val="24"/>
        </w:rPr>
        <w:t xml:space="preserve">Zvýšení ceny dálniční známky </w:t>
      </w:r>
      <w:r w:rsidR="00CA40A9" w:rsidRPr="003730B5">
        <w:rPr>
          <w:i/>
          <w:sz w:val="24"/>
        </w:rPr>
        <w:t>a </w:t>
      </w:r>
      <w:r w:rsidRPr="003730B5">
        <w:rPr>
          <w:i/>
          <w:sz w:val="24"/>
        </w:rPr>
        <w:t>její pravidelná valorizace</w:t>
      </w:r>
    </w:p>
    <w:p w14:paraId="48B30494" w14:textId="4A5FD453" w:rsidR="00B1298C" w:rsidRPr="003730B5" w:rsidRDefault="00CA40A9" w:rsidP="00F60EA0">
      <w:pPr>
        <w:widowControl w:val="0"/>
        <w:spacing w:after="120"/>
      </w:pPr>
      <w:r w:rsidRPr="003730B5">
        <w:t>V </w:t>
      </w:r>
      <w:r w:rsidR="007E1EBF" w:rsidRPr="003730B5">
        <w:t xml:space="preserve">kontextu předloženého návrhu zákona lze zejména poukázat na </w:t>
      </w:r>
      <w:r w:rsidRPr="003730B5">
        <w:t>čl. </w:t>
      </w:r>
      <w:r w:rsidR="007E1EBF" w:rsidRPr="003730B5">
        <w:t xml:space="preserve">11 odst. </w:t>
      </w:r>
      <w:r w:rsidRPr="003730B5">
        <w:t>5 </w:t>
      </w:r>
      <w:r w:rsidR="007E1EBF" w:rsidRPr="003730B5">
        <w:t xml:space="preserve">Listiny základních práv </w:t>
      </w:r>
      <w:r w:rsidRPr="003730B5">
        <w:t>a </w:t>
      </w:r>
      <w:r w:rsidR="007E1EBF" w:rsidRPr="003730B5">
        <w:t xml:space="preserve">svobod, dle něhož lze daně </w:t>
      </w:r>
      <w:r w:rsidRPr="003730B5">
        <w:t>a </w:t>
      </w:r>
      <w:r w:rsidR="007E1EBF" w:rsidRPr="003730B5">
        <w:t xml:space="preserve">poplatky ukládat jen na základě zákona. Povinnost úhrady časového poplatku </w:t>
      </w:r>
      <w:r w:rsidRPr="003730B5">
        <w:t>i </w:t>
      </w:r>
      <w:r w:rsidR="007E1EBF" w:rsidRPr="003730B5">
        <w:t xml:space="preserve">mýtného za užití zpoplatněných pozemních komunikací vyplývá </w:t>
      </w:r>
      <w:r w:rsidRPr="003730B5">
        <w:t>a </w:t>
      </w:r>
      <w:r w:rsidR="007E1EBF" w:rsidRPr="003730B5">
        <w:t xml:space="preserve">bude vyplývat ze zákona </w:t>
      </w:r>
      <w:r w:rsidRPr="003730B5">
        <w:t>o </w:t>
      </w:r>
      <w:r w:rsidR="007E1EBF" w:rsidRPr="003730B5">
        <w:t xml:space="preserve">pozemních komunikacích. Dotčená právní úprava stanoví zcela přesně předmět poplatku, jímž je užití zpoplatněné pozemní komunikace vozidlem </w:t>
      </w:r>
      <w:r w:rsidRPr="003730B5">
        <w:t>v </w:t>
      </w:r>
      <w:r w:rsidR="007E1EBF" w:rsidRPr="003730B5">
        <w:t xml:space="preserve">systému časového zpoplatnění nebo vozidlem </w:t>
      </w:r>
      <w:r w:rsidRPr="003730B5">
        <w:t>v </w:t>
      </w:r>
      <w:r w:rsidR="007E1EBF" w:rsidRPr="003730B5">
        <w:t xml:space="preserve">systému elektronického mýtného. Subjektem poplatku je pak osoba, která užije zpoplatněnou pozemní komunikaci. Stejně tak stanoví zákon </w:t>
      </w:r>
      <w:r w:rsidRPr="003730B5">
        <w:t>o </w:t>
      </w:r>
      <w:r w:rsidR="007E1EBF" w:rsidRPr="003730B5">
        <w:t xml:space="preserve">pozemních komunikacích či návrh jeho novely pravidla pro určení sazby časového poplatku </w:t>
      </w:r>
      <w:r w:rsidRPr="003730B5">
        <w:t>i </w:t>
      </w:r>
      <w:r w:rsidR="007E1EBF" w:rsidRPr="003730B5">
        <w:t xml:space="preserve">mýtného. </w:t>
      </w:r>
      <w:r w:rsidRPr="003730B5">
        <w:t>V </w:t>
      </w:r>
      <w:r w:rsidR="007E1EBF" w:rsidRPr="003730B5">
        <w:t xml:space="preserve">případě časového poplatku je uvedena sazba poplatku na </w:t>
      </w:r>
      <w:r w:rsidRPr="003730B5">
        <w:t>1 </w:t>
      </w:r>
      <w:r w:rsidR="007E1EBF" w:rsidRPr="003730B5">
        <w:t xml:space="preserve">rok </w:t>
      </w:r>
      <w:r w:rsidRPr="003730B5">
        <w:t>v </w:t>
      </w:r>
      <w:r w:rsidR="007E1EBF" w:rsidRPr="003730B5">
        <w:t xml:space="preserve">konkrétní výši, která bude podléhat každoročním změnám podle objektivních kritérií stanovených návrhem zákona. Od této částky se budou odvíjet sazby časového poplatku na kratší období </w:t>
      </w:r>
      <w:r w:rsidRPr="003730B5">
        <w:t>i </w:t>
      </w:r>
      <w:r w:rsidR="007E1EBF" w:rsidRPr="003730B5">
        <w:t xml:space="preserve">pro zvýhodněná vozidla. </w:t>
      </w:r>
      <w:r w:rsidRPr="003730B5">
        <w:t>V </w:t>
      </w:r>
      <w:r w:rsidR="007E1EBF" w:rsidRPr="003730B5">
        <w:t xml:space="preserve">případě mýtného jsou stanoveny náklady, jejichž návratnost má být jeho stanovením dosažena, </w:t>
      </w:r>
      <w:r w:rsidRPr="003730B5">
        <w:t>a </w:t>
      </w:r>
      <w:r w:rsidR="007E1EBF" w:rsidRPr="003730B5">
        <w:t xml:space="preserve">kritéria, podle kterých jsou sazby mýtného rozlišeny. Nařízení vlády pak stanoví </w:t>
      </w:r>
      <w:r w:rsidRPr="003730B5">
        <w:t>v </w:t>
      </w:r>
      <w:r w:rsidR="007E1EBF" w:rsidRPr="003730B5">
        <w:t>souladu se zákonným zmocněním (</w:t>
      </w:r>
      <w:r w:rsidRPr="003730B5">
        <w:t>a </w:t>
      </w:r>
      <w:r w:rsidR="007E1EBF" w:rsidRPr="003730B5">
        <w:t xml:space="preserve">při zohlednění vyhlášky upravující strukturu, popis </w:t>
      </w:r>
      <w:r w:rsidRPr="003730B5">
        <w:t>a </w:t>
      </w:r>
      <w:r w:rsidR="007E1EBF" w:rsidRPr="003730B5">
        <w:t xml:space="preserve">způsob výpočtu nákladů </w:t>
      </w:r>
      <w:r w:rsidRPr="003730B5">
        <w:t>a </w:t>
      </w:r>
      <w:r w:rsidR="007E1EBF" w:rsidRPr="003730B5">
        <w:t xml:space="preserve">způsob stanovení sazeb mýtného) výši sazeb mýtného </w:t>
      </w:r>
      <w:r w:rsidRPr="003730B5">
        <w:t>a </w:t>
      </w:r>
      <w:r w:rsidR="007E1EBF" w:rsidRPr="003730B5">
        <w:t xml:space="preserve">rozlišení sazeb mýtného podle zákonem stanovených kritérií. Díky uvedené právní úpravě je poplatková povinnost rovněž předvídatelná. </w:t>
      </w:r>
      <w:r w:rsidRPr="003730B5">
        <w:rPr>
          <w:szCs w:val="24"/>
        </w:rPr>
        <w:t>Z </w:t>
      </w:r>
      <w:r w:rsidR="008B5453" w:rsidRPr="003730B5">
        <w:rPr>
          <w:szCs w:val="24"/>
        </w:rPr>
        <w:t xml:space="preserve">výše popsaných důvodů je shledán soulad návrhu zákona </w:t>
      </w:r>
      <w:r w:rsidRPr="003730B5">
        <w:rPr>
          <w:szCs w:val="24"/>
        </w:rPr>
        <w:t>s </w:t>
      </w:r>
      <w:r w:rsidR="008B5453" w:rsidRPr="003730B5">
        <w:rPr>
          <w:szCs w:val="24"/>
        </w:rPr>
        <w:t>Ústavou založeným ústavním pořádkem České republiky.</w:t>
      </w:r>
      <w:r w:rsidR="007E1EBF" w:rsidRPr="003730B5">
        <w:t xml:space="preserve">  </w:t>
      </w:r>
      <w:r w:rsidR="00B1298C" w:rsidRPr="003730B5">
        <w:t xml:space="preserve"> </w:t>
      </w:r>
    </w:p>
    <w:p w14:paraId="5E652E1B" w14:textId="3139AE84" w:rsidR="0003045D" w:rsidRPr="003730B5" w:rsidRDefault="0003045D" w:rsidP="006F504E">
      <w:pPr>
        <w:pStyle w:val="Nadpis2"/>
        <w:keepNext w:val="0"/>
        <w:widowControl w:val="0"/>
        <w:numPr>
          <w:ilvl w:val="1"/>
          <w:numId w:val="28"/>
        </w:numPr>
        <w:shd w:val="clear" w:color="auto" w:fill="FFFFFF"/>
        <w:jc w:val="both"/>
        <w:rPr>
          <w:rFonts w:cs="Times New Roman"/>
        </w:rPr>
      </w:pPr>
      <w:r w:rsidRPr="003730B5">
        <w:rPr>
          <w:rFonts w:cs="Times New Roman"/>
        </w:rPr>
        <w:t>Zhodnocení slučitelnosti navrhované právní úpravy se závazky vyplývajícími pro Českou republiku z jejího členství v Evropské unii</w:t>
      </w:r>
    </w:p>
    <w:p w14:paraId="3C44C5B0" w14:textId="3F10814B" w:rsidR="00420FAE" w:rsidRPr="003730B5" w:rsidRDefault="00420FAE" w:rsidP="004217F9">
      <w:pPr>
        <w:widowControl w:val="0"/>
        <w:spacing w:after="120"/>
      </w:pPr>
      <w:r w:rsidRPr="003730B5">
        <w:t xml:space="preserve">Navrhovaná právní úprava je plně slučitelná </w:t>
      </w:r>
      <w:r w:rsidR="00CA40A9" w:rsidRPr="003730B5">
        <w:t>s </w:t>
      </w:r>
      <w:r w:rsidRPr="003730B5">
        <w:t xml:space="preserve">právem Evropské unie </w:t>
      </w:r>
      <w:r w:rsidR="00CA40A9" w:rsidRPr="003730B5">
        <w:t>a </w:t>
      </w:r>
      <w:r w:rsidRPr="003730B5">
        <w:t xml:space="preserve">ustanovení navrhované právní úpravy nezakládají rozpor </w:t>
      </w:r>
      <w:r w:rsidR="00CA40A9" w:rsidRPr="003730B5">
        <w:t>s </w:t>
      </w:r>
      <w:r w:rsidRPr="003730B5">
        <w:t xml:space="preserve">primárním právem Evropské unie ve světle ustálené judikatury Soudního dvora Evropské unie. </w:t>
      </w:r>
      <w:r w:rsidR="00CA40A9" w:rsidRPr="003730B5">
        <w:t>S </w:t>
      </w:r>
      <w:r w:rsidRPr="003730B5">
        <w:t xml:space="preserve">dále uvedenými výjimkami se nejedná </w:t>
      </w:r>
      <w:r w:rsidR="00CA40A9" w:rsidRPr="003730B5">
        <w:t>o </w:t>
      </w:r>
      <w:r w:rsidRPr="003730B5">
        <w:t>problematiku, která by byla regulována právem Evropské unie.</w:t>
      </w:r>
    </w:p>
    <w:p w14:paraId="134A8528" w14:textId="65DE23FF" w:rsidR="00AA5272" w:rsidRPr="003730B5" w:rsidRDefault="00AA5272" w:rsidP="00AA5272">
      <w:pPr>
        <w:keepNext/>
        <w:autoSpaceDE w:val="0"/>
        <w:autoSpaceDN w:val="0"/>
        <w:adjustRightInd w:val="0"/>
        <w:spacing w:after="120"/>
        <w:rPr>
          <w:rFonts w:eastAsia="Calibri"/>
          <w:b/>
          <w:u w:val="single"/>
        </w:rPr>
      </w:pPr>
      <w:r w:rsidRPr="003730B5">
        <w:rPr>
          <w:rFonts w:eastAsia="Calibri"/>
          <w:b/>
          <w:u w:val="single"/>
        </w:rPr>
        <w:t>Změny v oblasti daně z přidané hodnoty</w:t>
      </w:r>
    </w:p>
    <w:p w14:paraId="700AC2E5" w14:textId="6BE38AA3" w:rsidR="00291098" w:rsidRPr="003730B5" w:rsidRDefault="00291098" w:rsidP="00291098">
      <w:pPr>
        <w:autoSpaceDE w:val="0"/>
        <w:autoSpaceDN w:val="0"/>
        <w:adjustRightInd w:val="0"/>
        <w:spacing w:after="120"/>
        <w:rPr>
          <w:rFonts w:eastAsia="Calibri"/>
        </w:rPr>
      </w:pPr>
      <w:r w:rsidRPr="003730B5">
        <w:rPr>
          <w:rFonts w:eastAsia="Calibri"/>
        </w:rPr>
        <w:t>Navrhovaná právní úprava se v oblasti daně z přidané hodnoty dotýká následujících předpisů Evropské unie:</w:t>
      </w:r>
    </w:p>
    <w:p w14:paraId="67E3BAC2" w14:textId="2FA1B7DB" w:rsidR="00291098" w:rsidRPr="003730B5" w:rsidRDefault="00291098" w:rsidP="00D16775">
      <w:pPr>
        <w:pStyle w:val="Odstavecseseznamem"/>
        <w:widowControl w:val="0"/>
        <w:numPr>
          <w:ilvl w:val="0"/>
          <w:numId w:val="39"/>
        </w:numPr>
        <w:spacing w:after="120"/>
      </w:pPr>
      <w:r w:rsidRPr="003730B5">
        <w:t xml:space="preserve">směrnice Rady 2006/112/ES ze dne 28. listopadu 2006 </w:t>
      </w:r>
      <w:r w:rsidR="00521904" w:rsidRPr="003730B5">
        <w:t>o </w:t>
      </w:r>
      <w:r w:rsidRPr="003730B5">
        <w:t>společném systému daně z přidané hodnoty,</w:t>
      </w:r>
    </w:p>
    <w:p w14:paraId="2D26DC52" w14:textId="7B96B7F4" w:rsidR="00291098" w:rsidRPr="003730B5" w:rsidRDefault="00291098" w:rsidP="00D16775">
      <w:pPr>
        <w:pStyle w:val="Odstavecseseznamem"/>
        <w:widowControl w:val="0"/>
        <w:numPr>
          <w:ilvl w:val="0"/>
          <w:numId w:val="39"/>
        </w:numPr>
        <w:spacing w:after="120"/>
      </w:pPr>
      <w:r w:rsidRPr="003730B5">
        <w:t xml:space="preserve">směrnice Rady (EU) 2022/542 ze dne 5. dubna 2022, kterou se mění směrnice 2006/112/ES </w:t>
      </w:r>
      <w:r w:rsidR="00521904" w:rsidRPr="003730B5">
        <w:t>a </w:t>
      </w:r>
      <w:r w:rsidRPr="003730B5">
        <w:t xml:space="preserve">(EU) 2020/285, pokud jde </w:t>
      </w:r>
      <w:r w:rsidR="00521904" w:rsidRPr="003730B5">
        <w:t>o </w:t>
      </w:r>
      <w:r w:rsidRPr="003730B5">
        <w:t xml:space="preserve">sazby daně z přidané hodnoty. </w:t>
      </w:r>
    </w:p>
    <w:p w14:paraId="659E0F0A" w14:textId="0D88A36C" w:rsidR="00AA5272" w:rsidRPr="003730B5" w:rsidRDefault="00AA5272" w:rsidP="00AA5272">
      <w:pPr>
        <w:keepNext/>
        <w:autoSpaceDE w:val="0"/>
        <w:autoSpaceDN w:val="0"/>
        <w:adjustRightInd w:val="0"/>
        <w:spacing w:after="120"/>
        <w:rPr>
          <w:rFonts w:eastAsia="Calibri"/>
          <w:b/>
          <w:u w:val="single"/>
        </w:rPr>
      </w:pPr>
      <w:r w:rsidRPr="003730B5">
        <w:rPr>
          <w:rFonts w:eastAsia="Calibri"/>
          <w:b/>
          <w:u w:val="single"/>
        </w:rPr>
        <w:lastRenderedPageBreak/>
        <w:t xml:space="preserve">Změny v oblasti spotřebních </w:t>
      </w:r>
      <w:r w:rsidR="00521904" w:rsidRPr="003730B5">
        <w:rPr>
          <w:rFonts w:eastAsia="Calibri"/>
          <w:b/>
          <w:u w:val="single"/>
        </w:rPr>
        <w:t>a </w:t>
      </w:r>
      <w:r w:rsidRPr="003730B5">
        <w:rPr>
          <w:rFonts w:eastAsia="Calibri"/>
          <w:b/>
          <w:u w:val="single"/>
        </w:rPr>
        <w:t>energetických daní</w:t>
      </w:r>
    </w:p>
    <w:p w14:paraId="29DFAE21" w14:textId="5285F077" w:rsidR="007A668B" w:rsidRPr="003730B5" w:rsidRDefault="007A668B" w:rsidP="00AA5272">
      <w:pPr>
        <w:keepNext/>
        <w:spacing w:after="120"/>
      </w:pPr>
      <w:r w:rsidRPr="003730B5">
        <w:t xml:space="preserve">Navrhovaná právní úprava se v oblasti spotřebních </w:t>
      </w:r>
      <w:r w:rsidR="00521904" w:rsidRPr="003730B5">
        <w:t>a </w:t>
      </w:r>
      <w:r w:rsidRPr="003730B5">
        <w:t>energetických daní dotýká následujících předpisů Evropské unie:</w:t>
      </w:r>
    </w:p>
    <w:p w14:paraId="0527E9C7" w14:textId="0136AD92" w:rsidR="007A668B" w:rsidRPr="003730B5" w:rsidRDefault="007A668B" w:rsidP="00D16775">
      <w:pPr>
        <w:pStyle w:val="Odstavecseseznamem"/>
        <w:widowControl w:val="0"/>
        <w:numPr>
          <w:ilvl w:val="0"/>
          <w:numId w:val="39"/>
        </w:numPr>
        <w:spacing w:after="120"/>
      </w:pPr>
      <w:r w:rsidRPr="003730B5">
        <w:t xml:space="preserve">směrnice Rady 92/83/EHS ze dne 19. října 1992 </w:t>
      </w:r>
      <w:r w:rsidR="00521904" w:rsidRPr="003730B5">
        <w:t>o </w:t>
      </w:r>
      <w:r w:rsidRPr="003730B5">
        <w:t xml:space="preserve">harmonizaci struktury spotřebních daní </w:t>
      </w:r>
      <w:r w:rsidR="00521904" w:rsidRPr="003730B5">
        <w:t>z </w:t>
      </w:r>
      <w:r w:rsidRPr="003730B5">
        <w:t xml:space="preserve">alkoholu </w:t>
      </w:r>
      <w:r w:rsidR="00521904" w:rsidRPr="003730B5">
        <w:t>a </w:t>
      </w:r>
      <w:r w:rsidRPr="003730B5">
        <w:t>alkoholických nápojů, ve znění směrnice 2020/1151/EU (dále jen „směrnice 92/83/EHS“),</w:t>
      </w:r>
    </w:p>
    <w:p w14:paraId="67403D33" w14:textId="0FE7EA63" w:rsidR="007A668B" w:rsidRPr="003730B5" w:rsidRDefault="007A668B" w:rsidP="00D16775">
      <w:pPr>
        <w:pStyle w:val="Odstavecseseznamem"/>
        <w:widowControl w:val="0"/>
        <w:numPr>
          <w:ilvl w:val="0"/>
          <w:numId w:val="39"/>
        </w:numPr>
        <w:spacing w:after="120"/>
      </w:pPr>
      <w:r w:rsidRPr="003730B5">
        <w:t xml:space="preserve">směrnice Rady 92/84/EHS ze dne 19. října 1992 </w:t>
      </w:r>
      <w:r w:rsidR="00521904" w:rsidRPr="003730B5">
        <w:t>o </w:t>
      </w:r>
      <w:r w:rsidRPr="003730B5">
        <w:t xml:space="preserve">sbližování sazeb spotřební daně z alkoholu </w:t>
      </w:r>
      <w:r w:rsidR="00521904" w:rsidRPr="003730B5">
        <w:t>a </w:t>
      </w:r>
      <w:r w:rsidRPr="003730B5">
        <w:t>alkoholických nápojů (dále jen „směrnice 92/84/EHS“),</w:t>
      </w:r>
    </w:p>
    <w:p w14:paraId="2678B96D" w14:textId="54BB73DD" w:rsidR="007A668B" w:rsidRPr="003730B5" w:rsidRDefault="007A668B" w:rsidP="00D16775">
      <w:pPr>
        <w:pStyle w:val="Odstavecseseznamem"/>
        <w:widowControl w:val="0"/>
        <w:numPr>
          <w:ilvl w:val="0"/>
          <w:numId w:val="39"/>
        </w:numPr>
        <w:spacing w:after="120"/>
      </w:pPr>
      <w:r w:rsidRPr="003730B5">
        <w:t xml:space="preserve">směrnice Rady 2011/64/EU ze dne 21. června 2011 </w:t>
      </w:r>
      <w:r w:rsidR="00521904" w:rsidRPr="003730B5">
        <w:t>o </w:t>
      </w:r>
      <w:r w:rsidRPr="003730B5">
        <w:t xml:space="preserve">struktuře </w:t>
      </w:r>
      <w:r w:rsidR="00521904" w:rsidRPr="003730B5">
        <w:t>a </w:t>
      </w:r>
      <w:r w:rsidRPr="003730B5">
        <w:t xml:space="preserve">sazbách spotřební daně </w:t>
      </w:r>
      <w:r w:rsidR="00521904" w:rsidRPr="003730B5">
        <w:t>z </w:t>
      </w:r>
      <w:r w:rsidRPr="003730B5">
        <w:t>tabákových výrobků (dále jen „směrnice 2011/64/EU“),</w:t>
      </w:r>
    </w:p>
    <w:p w14:paraId="006E53A8" w14:textId="7EA091F4" w:rsidR="007A668B" w:rsidRPr="003730B5" w:rsidRDefault="007A668B" w:rsidP="00D16775">
      <w:pPr>
        <w:pStyle w:val="Odstavecseseznamem"/>
        <w:widowControl w:val="0"/>
        <w:numPr>
          <w:ilvl w:val="0"/>
          <w:numId w:val="39"/>
        </w:numPr>
        <w:spacing w:after="120"/>
      </w:pPr>
      <w:r w:rsidRPr="003730B5">
        <w:t xml:space="preserve">směrnice Rady 2003/96/ES ze dne 27. října 2003, kterou se mění struktura rámcových předpisů Společenství </w:t>
      </w:r>
      <w:r w:rsidR="00521904" w:rsidRPr="003730B5">
        <w:t>o </w:t>
      </w:r>
      <w:r w:rsidRPr="003730B5">
        <w:t xml:space="preserve">zdanění energetických produktů </w:t>
      </w:r>
      <w:r w:rsidR="00521904" w:rsidRPr="003730B5">
        <w:t>a </w:t>
      </w:r>
      <w:r w:rsidRPr="003730B5">
        <w:t>elektřiny (dále jen „směrnice 2003/96/ES“),</w:t>
      </w:r>
    </w:p>
    <w:p w14:paraId="238C0B55" w14:textId="468DF6CB" w:rsidR="007A668B" w:rsidRPr="003730B5" w:rsidRDefault="007A668B" w:rsidP="00D16775">
      <w:pPr>
        <w:pStyle w:val="Odstavecseseznamem"/>
        <w:widowControl w:val="0"/>
        <w:numPr>
          <w:ilvl w:val="0"/>
          <w:numId w:val="39"/>
        </w:numPr>
        <w:spacing w:after="120"/>
      </w:pPr>
      <w:r w:rsidRPr="003730B5">
        <w:t>prováděcí rozhodnutí Komise (EU) 2018/552 ze dne 6. dubna 2018, kterým se ve směrnici Rady 2003/96/ES aktualizují odkazy na kódy kombinované nomenklatury pro některé produkty,</w:t>
      </w:r>
    </w:p>
    <w:p w14:paraId="4E9B714E" w14:textId="6368F1DB" w:rsidR="007A668B" w:rsidRPr="003730B5" w:rsidRDefault="007A668B" w:rsidP="00D16775">
      <w:pPr>
        <w:pStyle w:val="Odstavecseseznamem"/>
        <w:widowControl w:val="0"/>
        <w:numPr>
          <w:ilvl w:val="0"/>
          <w:numId w:val="39"/>
        </w:numPr>
        <w:spacing w:after="120"/>
      </w:pPr>
      <w:r w:rsidRPr="003730B5">
        <w:t xml:space="preserve">článek 107 </w:t>
      </w:r>
      <w:r w:rsidR="00521904" w:rsidRPr="003730B5">
        <w:t>a </w:t>
      </w:r>
      <w:r w:rsidRPr="003730B5">
        <w:t xml:space="preserve">108 Smlouvy </w:t>
      </w:r>
      <w:r w:rsidR="00521904" w:rsidRPr="003730B5">
        <w:t>o </w:t>
      </w:r>
      <w:r w:rsidRPr="003730B5">
        <w:t xml:space="preserve">fungování Evropské unie, </w:t>
      </w:r>
    </w:p>
    <w:p w14:paraId="3C568FDF" w14:textId="11D4CCE1" w:rsidR="007A668B" w:rsidRPr="003730B5" w:rsidRDefault="007A668B" w:rsidP="00D16775">
      <w:pPr>
        <w:pStyle w:val="Odstavecseseznamem"/>
        <w:widowControl w:val="0"/>
        <w:numPr>
          <w:ilvl w:val="0"/>
          <w:numId w:val="39"/>
        </w:numPr>
        <w:spacing w:after="120"/>
      </w:pPr>
      <w:r w:rsidRPr="003730B5">
        <w:t xml:space="preserve">nařízení Komise (EU) </w:t>
      </w:r>
      <w:r w:rsidR="00521904" w:rsidRPr="003730B5">
        <w:t>č. </w:t>
      </w:r>
      <w:r w:rsidRPr="003730B5">
        <w:t xml:space="preserve">651/2014 ze dne 17. června 2014, kterým se </w:t>
      </w:r>
      <w:r w:rsidR="00521904" w:rsidRPr="003730B5">
        <w:t>v </w:t>
      </w:r>
      <w:r w:rsidRPr="003730B5">
        <w:t xml:space="preserve">souladu </w:t>
      </w:r>
      <w:r w:rsidR="00521904" w:rsidRPr="003730B5">
        <w:t>s </w:t>
      </w:r>
      <w:r w:rsidRPr="003730B5">
        <w:t xml:space="preserve">články 107 </w:t>
      </w:r>
      <w:r w:rsidR="00521904" w:rsidRPr="003730B5">
        <w:t>a </w:t>
      </w:r>
      <w:r w:rsidRPr="003730B5">
        <w:t xml:space="preserve">108 Smlouvy prohlašují určité kategorie podpory za slučitelné </w:t>
      </w:r>
      <w:r w:rsidR="00521904" w:rsidRPr="003730B5">
        <w:t>s </w:t>
      </w:r>
      <w:r w:rsidRPr="003730B5">
        <w:t xml:space="preserve">vnitřním trhem ve znění Nařízení Komise (EU) </w:t>
      </w:r>
      <w:r w:rsidR="00521904" w:rsidRPr="003730B5">
        <w:t>č. </w:t>
      </w:r>
      <w:r w:rsidRPr="003730B5">
        <w:t xml:space="preserve">2017/1084 ze dne 14. června 2017, kterým se mění nařízení (EU) </w:t>
      </w:r>
      <w:r w:rsidR="00521904" w:rsidRPr="003730B5">
        <w:t>č. </w:t>
      </w:r>
      <w:r w:rsidRPr="003730B5">
        <w:t xml:space="preserve">651/2014, pokud jde </w:t>
      </w:r>
      <w:r w:rsidR="00521904" w:rsidRPr="003730B5">
        <w:t>o </w:t>
      </w:r>
      <w:r w:rsidRPr="003730B5">
        <w:t xml:space="preserve">podporu na přístavní </w:t>
      </w:r>
      <w:r w:rsidR="00521904" w:rsidRPr="003730B5">
        <w:t>a </w:t>
      </w:r>
      <w:r w:rsidRPr="003730B5">
        <w:t xml:space="preserve">letištní infrastrukturu, prahové hodnoty oznamovací povinnosti pro podporu na kulturu </w:t>
      </w:r>
      <w:r w:rsidR="00521904" w:rsidRPr="003730B5">
        <w:t>a </w:t>
      </w:r>
      <w:r w:rsidRPr="003730B5">
        <w:t xml:space="preserve">zachování kulturního dědictví </w:t>
      </w:r>
      <w:r w:rsidR="00521904" w:rsidRPr="003730B5">
        <w:t>a </w:t>
      </w:r>
      <w:r w:rsidRPr="003730B5">
        <w:t xml:space="preserve">pro podporu na sportovní </w:t>
      </w:r>
      <w:r w:rsidR="00521904" w:rsidRPr="003730B5">
        <w:t>a </w:t>
      </w:r>
      <w:r w:rsidRPr="003730B5">
        <w:t xml:space="preserve">multifunkční rekreační infrastrukturu </w:t>
      </w:r>
      <w:r w:rsidR="00521904" w:rsidRPr="003730B5">
        <w:t>a </w:t>
      </w:r>
      <w:r w:rsidRPr="003730B5">
        <w:t xml:space="preserve">režimy regionální provozní podpory pro nejvzdálenější regiony, </w:t>
      </w:r>
      <w:r w:rsidR="00521904" w:rsidRPr="003730B5">
        <w:t>a </w:t>
      </w:r>
      <w:r w:rsidRPr="003730B5">
        <w:t xml:space="preserve">mění se nařízení (EU) č. 702/2014, pokud jde </w:t>
      </w:r>
      <w:r w:rsidR="00521904" w:rsidRPr="003730B5">
        <w:t>o </w:t>
      </w:r>
      <w:r w:rsidRPr="003730B5">
        <w:t>výpočet způsobilých nákladů,</w:t>
      </w:r>
    </w:p>
    <w:p w14:paraId="533DE338" w14:textId="43F69BF6" w:rsidR="00291098" w:rsidRPr="003730B5" w:rsidRDefault="007A668B" w:rsidP="00D16775">
      <w:pPr>
        <w:pStyle w:val="Odstavecseseznamem"/>
        <w:widowControl w:val="0"/>
        <w:numPr>
          <w:ilvl w:val="0"/>
          <w:numId w:val="39"/>
        </w:numPr>
        <w:spacing w:after="120"/>
      </w:pPr>
      <w:r w:rsidRPr="003730B5">
        <w:t xml:space="preserve">směrnice Evropského parlamentu </w:t>
      </w:r>
      <w:r w:rsidR="00521904" w:rsidRPr="003730B5">
        <w:t>a </w:t>
      </w:r>
      <w:r w:rsidRPr="003730B5">
        <w:t xml:space="preserve">Rady (EU) 2015/1535 ze dne 9. září 2015 </w:t>
      </w:r>
      <w:r w:rsidR="00521904" w:rsidRPr="003730B5">
        <w:t>o </w:t>
      </w:r>
      <w:r w:rsidRPr="003730B5">
        <w:t xml:space="preserve">postupu při poskytování informací </w:t>
      </w:r>
      <w:r w:rsidR="00521904" w:rsidRPr="003730B5">
        <w:t>v </w:t>
      </w:r>
      <w:r w:rsidRPr="003730B5">
        <w:t xml:space="preserve">oblasti technických předpisů </w:t>
      </w:r>
      <w:r w:rsidR="00521904" w:rsidRPr="003730B5">
        <w:t>a </w:t>
      </w:r>
      <w:r w:rsidRPr="003730B5">
        <w:t>předpisů pro služby informační společnosti (kodifikované znění) (dále jen „směrnice 2015/1535“).</w:t>
      </w:r>
    </w:p>
    <w:p w14:paraId="1664E49B" w14:textId="6400D007" w:rsidR="007A668B" w:rsidRPr="003730B5" w:rsidRDefault="007A668B" w:rsidP="007A668B">
      <w:pPr>
        <w:widowControl w:val="0"/>
        <w:spacing w:after="120"/>
        <w:rPr>
          <w:b/>
        </w:rPr>
      </w:pPr>
      <w:r w:rsidRPr="003730B5">
        <w:rPr>
          <w:b/>
        </w:rPr>
        <w:t>Změny ve zdanění lihu</w:t>
      </w:r>
    </w:p>
    <w:p w14:paraId="1613B81D" w14:textId="018A8304" w:rsidR="007A668B" w:rsidRPr="003730B5" w:rsidRDefault="007A668B" w:rsidP="007A668B">
      <w:pPr>
        <w:widowControl w:val="0"/>
        <w:spacing w:after="120"/>
      </w:pPr>
      <w:r w:rsidRPr="003730B5">
        <w:t xml:space="preserve">Spotřební daň </w:t>
      </w:r>
      <w:r w:rsidR="00521904" w:rsidRPr="003730B5">
        <w:t>z </w:t>
      </w:r>
      <w:r w:rsidRPr="003730B5">
        <w:t xml:space="preserve">lihu je </w:t>
      </w:r>
      <w:r w:rsidR="00521904" w:rsidRPr="003730B5">
        <w:t>v </w:t>
      </w:r>
      <w:r w:rsidRPr="003730B5">
        <w:t xml:space="preserve">České republice plně harmonizována </w:t>
      </w:r>
      <w:r w:rsidR="00521904" w:rsidRPr="003730B5">
        <w:t>s </w:t>
      </w:r>
      <w:r w:rsidRPr="003730B5">
        <w:t xml:space="preserve">legislativou </w:t>
      </w:r>
      <w:r w:rsidR="009655EE" w:rsidRPr="003730B5">
        <w:t>Evropské unie</w:t>
      </w:r>
      <w:r w:rsidRPr="003730B5">
        <w:t xml:space="preserve">, jmenovitě směrnicí 92/83/EHS </w:t>
      </w:r>
      <w:r w:rsidR="00521904" w:rsidRPr="003730B5">
        <w:t>a </w:t>
      </w:r>
      <w:r w:rsidRPr="003730B5">
        <w:t xml:space="preserve">směrnicí 92/84/EHS. Minimální sazba spotřební daně </w:t>
      </w:r>
      <w:r w:rsidR="00521904" w:rsidRPr="003730B5">
        <w:t>z </w:t>
      </w:r>
      <w:r w:rsidRPr="003730B5">
        <w:t xml:space="preserve">lihu je směrnicí 92/84/EHS stanovena ve výši 550 € na hektolitr čistého etanolu. Úroveň sazeb daně </w:t>
      </w:r>
      <w:r w:rsidR="00521904" w:rsidRPr="003730B5">
        <w:t>z </w:t>
      </w:r>
      <w:r w:rsidRPr="003730B5">
        <w:t xml:space="preserve">lihu je </w:t>
      </w:r>
      <w:r w:rsidR="00521904" w:rsidRPr="003730B5">
        <w:t>v </w:t>
      </w:r>
      <w:r w:rsidRPr="003730B5">
        <w:t>České republice již od vstupu do E</w:t>
      </w:r>
      <w:r w:rsidR="009655EE" w:rsidRPr="003730B5">
        <w:t>vropské unie</w:t>
      </w:r>
      <w:r w:rsidRPr="003730B5">
        <w:t xml:space="preserve"> nad hranicí minimální sazby stanovené směrnicí. </w:t>
      </w:r>
      <w:r w:rsidR="00521904" w:rsidRPr="003730B5">
        <w:t>V </w:t>
      </w:r>
      <w:r w:rsidRPr="003730B5">
        <w:t xml:space="preserve">případě destilátů </w:t>
      </w:r>
      <w:r w:rsidR="00521904" w:rsidRPr="003730B5">
        <w:t>z </w:t>
      </w:r>
      <w:r w:rsidRPr="003730B5">
        <w:t>pěstitelského pálení má Česká republika vyjednanou trvalou výjimku, kde sazba spotřební daně nesmí poklesnout pod 50 % základní vnitrostátní sazby.</w:t>
      </w:r>
      <w:r w:rsidR="00AA5272" w:rsidRPr="003730B5">
        <w:t xml:space="preserve"> </w:t>
      </w:r>
      <w:r w:rsidRPr="003730B5">
        <w:t xml:space="preserve">Navrhovaná právní úprava zvýšení sazeb spotřební daně </w:t>
      </w:r>
      <w:r w:rsidR="00521904" w:rsidRPr="003730B5">
        <w:t>z </w:t>
      </w:r>
      <w:r w:rsidRPr="003730B5">
        <w:t xml:space="preserve">lihu je plně slučitelná </w:t>
      </w:r>
      <w:r w:rsidR="00521904" w:rsidRPr="003730B5">
        <w:t>s </w:t>
      </w:r>
      <w:r w:rsidRPr="003730B5">
        <w:t>právem Evropské unie.</w:t>
      </w:r>
    </w:p>
    <w:p w14:paraId="0D8AF9E5" w14:textId="640C8B4A" w:rsidR="007A668B" w:rsidRPr="003730B5" w:rsidRDefault="007A668B" w:rsidP="007A668B">
      <w:pPr>
        <w:widowControl w:val="0"/>
        <w:spacing w:after="120"/>
      </w:pPr>
      <w:r w:rsidRPr="003730B5">
        <w:rPr>
          <w:b/>
        </w:rPr>
        <w:t xml:space="preserve">Změny ve zdanění tabákových výrobků </w:t>
      </w:r>
      <w:r w:rsidR="00521904" w:rsidRPr="003730B5">
        <w:rPr>
          <w:b/>
        </w:rPr>
        <w:t>a </w:t>
      </w:r>
      <w:r w:rsidRPr="003730B5">
        <w:rPr>
          <w:b/>
        </w:rPr>
        <w:t>nová právní úprava na zdanění neharmonizovaných výrobků</w:t>
      </w:r>
      <w:r w:rsidRPr="003730B5">
        <w:t xml:space="preserve"> </w:t>
      </w:r>
    </w:p>
    <w:p w14:paraId="27A17300" w14:textId="17326C4D" w:rsidR="007A668B" w:rsidRPr="003730B5" w:rsidRDefault="007A668B" w:rsidP="007A668B">
      <w:pPr>
        <w:widowControl w:val="0"/>
        <w:spacing w:after="120"/>
      </w:pPr>
      <w:r w:rsidRPr="003730B5">
        <w:t xml:space="preserve">Minimální sazby spotřební daně pro jednotlivé kategorie tabákových výrobků jsou stanoveny směrnicí2011/64/EU </w:t>
      </w:r>
      <w:r w:rsidR="00521904" w:rsidRPr="003730B5">
        <w:t>o </w:t>
      </w:r>
      <w:r w:rsidRPr="003730B5">
        <w:t xml:space="preserve">struktuře </w:t>
      </w:r>
      <w:r w:rsidR="00521904" w:rsidRPr="003730B5">
        <w:t>a </w:t>
      </w:r>
      <w:r w:rsidRPr="003730B5">
        <w:t xml:space="preserve">sazbách spotřební daně </w:t>
      </w:r>
      <w:r w:rsidR="00521904" w:rsidRPr="003730B5">
        <w:t>z </w:t>
      </w:r>
      <w:r w:rsidRPr="003730B5">
        <w:t xml:space="preserve">tabákových výrobků. Ustanovení </w:t>
      </w:r>
      <w:r w:rsidR="00521904" w:rsidRPr="003730B5">
        <w:t>čl. </w:t>
      </w:r>
      <w:r w:rsidRPr="003730B5">
        <w:t xml:space="preserve">10 odst. </w:t>
      </w:r>
      <w:r w:rsidR="00521904" w:rsidRPr="003730B5">
        <w:t>2 </w:t>
      </w:r>
      <w:r w:rsidRPr="003730B5">
        <w:t xml:space="preserve">této směrnice stanoví specifický minimální požadavek ve výši 90 EUR na </w:t>
      </w:r>
      <w:r w:rsidR="00521904" w:rsidRPr="003730B5">
        <w:t>1 </w:t>
      </w:r>
      <w:r w:rsidRPr="003730B5">
        <w:t xml:space="preserve">000 kusů cigaret bez ohledu na váženou maloobchodní prodejní cenu. </w:t>
      </w:r>
      <w:r w:rsidR="00521904" w:rsidRPr="003730B5">
        <w:t>V </w:t>
      </w:r>
      <w:r w:rsidRPr="003730B5">
        <w:t xml:space="preserve">případě procentního minimálního požadavku celková spotřební daň </w:t>
      </w:r>
      <w:r w:rsidR="00521904" w:rsidRPr="003730B5">
        <w:t>z </w:t>
      </w:r>
      <w:r w:rsidRPr="003730B5">
        <w:t xml:space="preserve">cigaret musí činit nejméně 60 % vážené průměrné maloobchodní ceny. Pokud jde </w:t>
      </w:r>
      <w:r w:rsidR="00521904" w:rsidRPr="003730B5">
        <w:t>o </w:t>
      </w:r>
      <w:r w:rsidRPr="003730B5">
        <w:t xml:space="preserve">kategorie tabáku ke kouření, doutníků </w:t>
      </w:r>
      <w:r w:rsidR="00521904" w:rsidRPr="003730B5">
        <w:t>a </w:t>
      </w:r>
      <w:r w:rsidRPr="003730B5">
        <w:t xml:space="preserve">cigarillos, minimální sazby spotřební daně jsou stanoveny </w:t>
      </w:r>
      <w:r w:rsidR="00521904" w:rsidRPr="003730B5">
        <w:t>v čl. </w:t>
      </w:r>
      <w:r w:rsidRPr="003730B5">
        <w:t xml:space="preserve">14 směrnice 2011/64/EU ve výši 60 EUR na kilogram tabáku </w:t>
      </w:r>
      <w:r w:rsidR="00521904" w:rsidRPr="003730B5">
        <w:t>a </w:t>
      </w:r>
      <w:r w:rsidRPr="003730B5">
        <w:t xml:space="preserve">ve výši 12 EUR na 1000 kusů doutníků. Česká republika splňuje výše </w:t>
      </w:r>
      <w:r w:rsidRPr="003730B5">
        <w:lastRenderedPageBreak/>
        <w:t>uvedené minimální sazby.</w:t>
      </w:r>
    </w:p>
    <w:p w14:paraId="77C5924D" w14:textId="1057B12C" w:rsidR="007A668B" w:rsidRPr="003730B5" w:rsidRDefault="007A668B" w:rsidP="007A668B">
      <w:pPr>
        <w:widowControl w:val="0"/>
        <w:spacing w:after="120"/>
      </w:pPr>
      <w:r w:rsidRPr="003730B5">
        <w:t xml:space="preserve">Zdanění surového tabáku </w:t>
      </w:r>
      <w:r w:rsidR="00521904" w:rsidRPr="003730B5">
        <w:t>a </w:t>
      </w:r>
      <w:r w:rsidRPr="003730B5">
        <w:t xml:space="preserve">zahřívaných tabákových výrobků není upraveno evropskou legislativou </w:t>
      </w:r>
      <w:r w:rsidR="00521904" w:rsidRPr="003730B5">
        <w:t>a </w:t>
      </w:r>
      <w:r w:rsidRPr="003730B5">
        <w:t xml:space="preserve">je tedy plně </w:t>
      </w:r>
      <w:r w:rsidR="00521904" w:rsidRPr="003730B5">
        <w:t>v </w:t>
      </w:r>
      <w:r w:rsidRPr="003730B5">
        <w:t xml:space="preserve">diskreci každého členského státu, jakou daňovou politiku </w:t>
      </w:r>
      <w:r w:rsidR="00521904" w:rsidRPr="003730B5">
        <w:t>u </w:t>
      </w:r>
      <w:r w:rsidRPr="003730B5">
        <w:t xml:space="preserve">těchto výrobků zvolí. Stejně tak je možné aplikovat spotřební daň na další výrobky za podmínky, že přijatá regulace nebude představovat překážky pro volný pohyb těchto výrobků. Navrhovaná právní úprava týkající se zavedení spotřební daně na ostatní tabákové výrobky (např. šňupací </w:t>
      </w:r>
      <w:r w:rsidR="00521904" w:rsidRPr="003730B5">
        <w:t>a </w:t>
      </w:r>
      <w:r w:rsidRPr="003730B5">
        <w:t xml:space="preserve">žvýkací tabák) </w:t>
      </w:r>
      <w:r w:rsidR="00521904" w:rsidRPr="003730B5">
        <w:t>a </w:t>
      </w:r>
      <w:r w:rsidRPr="003730B5">
        <w:t xml:space="preserve">výrobky související </w:t>
      </w:r>
      <w:r w:rsidR="00521904" w:rsidRPr="003730B5">
        <w:t>s </w:t>
      </w:r>
      <w:r w:rsidRPr="003730B5">
        <w:t xml:space="preserve">tabákovými výrobky (e-cigarety, nikotinové sáčky </w:t>
      </w:r>
      <w:r w:rsidR="00521904" w:rsidRPr="003730B5">
        <w:t>a </w:t>
      </w:r>
      <w:r w:rsidRPr="003730B5">
        <w:t xml:space="preserve">ostatní nikotinové výrobky) tuto podmínku splňuje. Návrh této nové právní úpravy bude notifikován </w:t>
      </w:r>
      <w:r w:rsidR="00521904" w:rsidRPr="003730B5">
        <w:t>v </w:t>
      </w:r>
      <w:r w:rsidRPr="003730B5">
        <w:t>souladu se směrnicí 2015/1535 jako fiskální opatření bez lhůty pro pozastavení legislativních prací.</w:t>
      </w:r>
    </w:p>
    <w:p w14:paraId="718A82DD" w14:textId="7DB5ED06" w:rsidR="007A668B" w:rsidRPr="003730B5" w:rsidRDefault="007A668B" w:rsidP="007A668B">
      <w:pPr>
        <w:widowControl w:val="0"/>
        <w:spacing w:after="120"/>
        <w:rPr>
          <w:b/>
        </w:rPr>
      </w:pPr>
      <w:r w:rsidRPr="003730B5">
        <w:rPr>
          <w:b/>
        </w:rPr>
        <w:t>Změny ve zdanění minerálních olejů</w:t>
      </w:r>
    </w:p>
    <w:p w14:paraId="29088455" w14:textId="76D92B8D" w:rsidR="007A668B" w:rsidRPr="003730B5" w:rsidRDefault="007A668B" w:rsidP="007A668B">
      <w:pPr>
        <w:widowControl w:val="0"/>
        <w:spacing w:after="120"/>
      </w:pPr>
      <w:r w:rsidRPr="003730B5">
        <w:rPr>
          <w:b/>
          <w:i/>
        </w:rPr>
        <w:t>Zdanění leteckých pohonných hmot</w:t>
      </w:r>
      <w:r w:rsidRPr="003730B5">
        <w:t xml:space="preserve"> </w:t>
      </w:r>
      <w:r w:rsidR="00AA5272" w:rsidRPr="003730B5">
        <w:t>- s</w:t>
      </w:r>
      <w:r w:rsidRPr="003730B5">
        <w:t>měrnice 2003/96/ES</w:t>
      </w:r>
      <w:r w:rsidRPr="003730B5" w:rsidDel="00FB4F59">
        <w:t xml:space="preserve"> </w:t>
      </w:r>
      <w:r w:rsidR="00521904" w:rsidRPr="003730B5">
        <w:t>v čl. </w:t>
      </w:r>
      <w:r w:rsidRPr="003730B5">
        <w:t xml:space="preserve">14 odst. </w:t>
      </w:r>
      <w:r w:rsidR="00521904" w:rsidRPr="003730B5">
        <w:t>1 </w:t>
      </w:r>
      <w:r w:rsidRPr="003730B5">
        <w:t xml:space="preserve">písm. b) obsahuje povinné osvobození energetických produktů dodávaných jako pohonné hmoty nebo paliva pro jiný druh létání než soukromé rekreační létání. Členské státy mohou omezit působnost tohoto osvobození na dodávky tryskového paliva (kód KN 2710 19 21). Členské státy dále mohou podle druhého odstavce tohoto ustanovení omezit působnost osvobození na mezinárodní přepravu nebo na přepravu uvnitř Společenství. Dále lze od osvobození upustit </w:t>
      </w:r>
      <w:r w:rsidR="00521904" w:rsidRPr="003730B5">
        <w:t>v </w:t>
      </w:r>
      <w:r w:rsidRPr="003730B5">
        <w:t xml:space="preserve">případě, kdy členský stát uzavře dvoustrannou dohodu </w:t>
      </w:r>
      <w:r w:rsidR="00521904" w:rsidRPr="003730B5">
        <w:t>s </w:t>
      </w:r>
      <w:r w:rsidRPr="003730B5">
        <w:t xml:space="preserve">jiným členským státem. Česká republika </w:t>
      </w:r>
      <w:r w:rsidR="00521904" w:rsidRPr="003730B5">
        <w:t>v </w:t>
      </w:r>
      <w:r w:rsidRPr="003730B5">
        <w:t xml:space="preserve">současné době žádnou dvoustrannou dohodou nedisponuje, </w:t>
      </w:r>
      <w:r w:rsidR="00521904" w:rsidRPr="003730B5">
        <w:t>a </w:t>
      </w:r>
      <w:r w:rsidRPr="003730B5">
        <w:t>proto lze od povinného osvobození od daně upustit pouze na národní úrovni, tedy při letech mezi letišti umístěnými na daňovém území České republiky.</w:t>
      </w:r>
      <w:r w:rsidR="00AA5272" w:rsidRPr="003730B5">
        <w:t xml:space="preserve"> </w:t>
      </w:r>
      <w:r w:rsidRPr="003730B5">
        <w:t xml:space="preserve">Členské státy mohou podle </w:t>
      </w:r>
      <w:r w:rsidR="00521904" w:rsidRPr="003730B5">
        <w:t>čl. </w:t>
      </w:r>
      <w:r w:rsidRPr="003730B5">
        <w:t xml:space="preserve">15 odst. </w:t>
      </w:r>
      <w:r w:rsidR="00521904" w:rsidRPr="003730B5">
        <w:t>1 </w:t>
      </w:r>
      <w:r w:rsidRPr="003730B5">
        <w:t>písm. j) směrnice 2003/96/ES</w:t>
      </w:r>
      <w:r w:rsidRPr="003730B5" w:rsidDel="00FB4F59">
        <w:t xml:space="preserve"> </w:t>
      </w:r>
      <w:r w:rsidRPr="003730B5">
        <w:t xml:space="preserve">od daně fakultativně osvobodit pohonné hmoty používané při výrobě, vývoji, zkoušení </w:t>
      </w:r>
      <w:r w:rsidR="00521904" w:rsidRPr="003730B5">
        <w:t>a </w:t>
      </w:r>
      <w:r w:rsidRPr="003730B5">
        <w:t xml:space="preserve">údržbě letadel. Česká republika tuto fakultativní výjimku transponovala do zákona </w:t>
      </w:r>
      <w:r w:rsidR="00521904" w:rsidRPr="003730B5">
        <w:t>o </w:t>
      </w:r>
      <w:r w:rsidRPr="003730B5">
        <w:t>spotřebních daních.</w:t>
      </w:r>
      <w:r w:rsidR="00AA5272" w:rsidRPr="003730B5">
        <w:t xml:space="preserve"> </w:t>
      </w:r>
      <w:r w:rsidR="00521904" w:rsidRPr="003730B5">
        <w:t>Z </w:t>
      </w:r>
      <w:r w:rsidRPr="003730B5">
        <w:t xml:space="preserve">výše uvedeného vyplývá, že navrhované zrušení osvobození vnitrostátních letů od spotřební daně </w:t>
      </w:r>
      <w:r w:rsidR="00521904" w:rsidRPr="003730B5">
        <w:t>z </w:t>
      </w:r>
      <w:r w:rsidRPr="003730B5">
        <w:t xml:space="preserve">minerálních olejů je plně </w:t>
      </w:r>
      <w:r w:rsidR="00521904" w:rsidRPr="003730B5">
        <w:t>v </w:t>
      </w:r>
      <w:r w:rsidRPr="003730B5">
        <w:t xml:space="preserve">souladu se směrnicí </w:t>
      </w:r>
      <w:r w:rsidR="00521904" w:rsidRPr="003730B5">
        <w:t>o </w:t>
      </w:r>
      <w:r w:rsidRPr="003730B5">
        <w:t>zdanění energií.</w:t>
      </w:r>
    </w:p>
    <w:p w14:paraId="5576710A" w14:textId="12A9151C" w:rsidR="007A668B" w:rsidRPr="003730B5" w:rsidRDefault="007A668B" w:rsidP="007A668B">
      <w:pPr>
        <w:widowControl w:val="0"/>
        <w:spacing w:after="120"/>
      </w:pPr>
      <w:r w:rsidRPr="003730B5">
        <w:rPr>
          <w:b/>
          <w:i/>
        </w:rPr>
        <w:t xml:space="preserve">Zrušení vratky daně z minerálních olejů použitých </w:t>
      </w:r>
      <w:r w:rsidR="00521904" w:rsidRPr="003730B5">
        <w:rPr>
          <w:b/>
          <w:i/>
        </w:rPr>
        <w:t>v </w:t>
      </w:r>
      <w:r w:rsidRPr="003730B5">
        <w:rPr>
          <w:b/>
          <w:i/>
        </w:rPr>
        <w:t xml:space="preserve">mineralogických </w:t>
      </w:r>
      <w:r w:rsidR="00521904" w:rsidRPr="003730B5">
        <w:rPr>
          <w:b/>
          <w:i/>
        </w:rPr>
        <w:t>a </w:t>
      </w:r>
      <w:r w:rsidRPr="003730B5">
        <w:rPr>
          <w:b/>
          <w:i/>
        </w:rPr>
        <w:t>metalurgických procesech</w:t>
      </w:r>
      <w:r w:rsidR="00AA5272" w:rsidRPr="003730B5">
        <w:rPr>
          <w:b/>
        </w:rPr>
        <w:t xml:space="preserve"> - </w:t>
      </w:r>
      <w:r w:rsidR="00AA5272" w:rsidRPr="003730B5">
        <w:t>s</w:t>
      </w:r>
      <w:r w:rsidRPr="003730B5">
        <w:t>měrnice 2003/96/ES</w:t>
      </w:r>
      <w:r w:rsidRPr="003730B5" w:rsidDel="00FB4F59">
        <w:t xml:space="preserve"> </w:t>
      </w:r>
      <w:r w:rsidR="00521904" w:rsidRPr="003730B5">
        <w:t>v čl. 2 </w:t>
      </w:r>
      <w:r w:rsidRPr="003730B5">
        <w:t xml:space="preserve">odst. </w:t>
      </w:r>
      <w:r w:rsidR="00521904" w:rsidRPr="003730B5">
        <w:t>4 </w:t>
      </w:r>
      <w:r w:rsidRPr="003730B5">
        <w:t xml:space="preserve">dále stanoví, na které činnosti </w:t>
      </w:r>
      <w:r w:rsidR="00521904" w:rsidRPr="003730B5">
        <w:t>a </w:t>
      </w:r>
      <w:r w:rsidRPr="003730B5">
        <w:t xml:space="preserve">produkty se nevztahuje. Jedná se mimo jiné </w:t>
      </w:r>
      <w:r w:rsidR="00521904" w:rsidRPr="003730B5">
        <w:t>o </w:t>
      </w:r>
      <w:r w:rsidRPr="003730B5">
        <w:t xml:space="preserve">dvojí použití energetických produktů, kdy je zavedena právní fikce, podle které se za dvojí použití považuje </w:t>
      </w:r>
      <w:r w:rsidR="00521904" w:rsidRPr="003730B5">
        <w:t>i </w:t>
      </w:r>
      <w:r w:rsidRPr="003730B5">
        <w:t xml:space="preserve">použití </w:t>
      </w:r>
      <w:r w:rsidR="00521904" w:rsidRPr="003730B5">
        <w:t>v </w:t>
      </w:r>
      <w:r w:rsidRPr="003730B5">
        <w:t xml:space="preserve">metalurgických procesech. Tato směrnice dále explicitně přímo uvádí, že se nevztahuje na elektřinu používanou </w:t>
      </w:r>
      <w:r w:rsidR="00521904" w:rsidRPr="003730B5">
        <w:t>v </w:t>
      </w:r>
      <w:r w:rsidRPr="003730B5">
        <w:t xml:space="preserve">metalurgických procesech, </w:t>
      </w:r>
      <w:r w:rsidR="00521904" w:rsidRPr="003730B5">
        <w:t>a </w:t>
      </w:r>
      <w:r w:rsidRPr="003730B5">
        <w:t xml:space="preserve">rovněž energetické produkty </w:t>
      </w:r>
      <w:r w:rsidR="00521904" w:rsidRPr="003730B5">
        <w:t>a </w:t>
      </w:r>
      <w:r w:rsidRPr="003730B5">
        <w:t xml:space="preserve">elektřinu </w:t>
      </w:r>
      <w:r w:rsidR="00521904" w:rsidRPr="003730B5">
        <w:t>v </w:t>
      </w:r>
      <w:r w:rsidRPr="003730B5">
        <w:t>mineralogických postupech.</w:t>
      </w:r>
      <w:r w:rsidR="00AA5272" w:rsidRPr="003730B5">
        <w:t xml:space="preserve"> </w:t>
      </w:r>
      <w:r w:rsidRPr="003730B5">
        <w:t xml:space="preserve">„Mineralogickými postupy“ se podle </w:t>
      </w:r>
      <w:r w:rsidR="00521904" w:rsidRPr="003730B5">
        <w:t>čl. 2 </w:t>
      </w:r>
      <w:r w:rsidRPr="003730B5">
        <w:t xml:space="preserve">odst. </w:t>
      </w:r>
      <w:r w:rsidR="00521904" w:rsidRPr="003730B5">
        <w:t>4 </w:t>
      </w:r>
      <w:r w:rsidRPr="003730B5">
        <w:t>písm. b) směrnice 2003/96/ES</w:t>
      </w:r>
      <w:r w:rsidRPr="003730B5" w:rsidDel="00FB4F59">
        <w:t xml:space="preserve"> </w:t>
      </w:r>
      <w:r w:rsidRPr="003730B5">
        <w:t xml:space="preserve">rozumí postupy zařazené klasifikací NACE pod kód DI 26 „výroba ostatních nekovových minerálních výrobků“ </w:t>
      </w:r>
      <w:r w:rsidR="00521904" w:rsidRPr="003730B5">
        <w:t>v </w:t>
      </w:r>
      <w:r w:rsidRPr="003730B5">
        <w:t xml:space="preserve">nařízení Rady (EHS) </w:t>
      </w:r>
      <w:r w:rsidR="00521904" w:rsidRPr="003730B5">
        <w:t>č. </w:t>
      </w:r>
      <w:r w:rsidRPr="003730B5">
        <w:t xml:space="preserve">3037/90 ze dne 9. října 1990 </w:t>
      </w:r>
      <w:r w:rsidR="00521904" w:rsidRPr="003730B5">
        <w:t>o </w:t>
      </w:r>
      <w:r w:rsidRPr="003730B5">
        <w:t xml:space="preserve">statistické klasifikaci ekonomických činností </w:t>
      </w:r>
      <w:r w:rsidR="00521904" w:rsidRPr="003730B5">
        <w:t>v </w:t>
      </w:r>
      <w:r w:rsidRPr="003730B5">
        <w:t xml:space="preserve">Evropském společenství. </w:t>
      </w:r>
      <w:r w:rsidR="00521904" w:rsidRPr="003730B5">
        <w:t>Z </w:t>
      </w:r>
      <w:r w:rsidRPr="003730B5">
        <w:t xml:space="preserve">judikatury SDEU ve spojených věcech </w:t>
      </w:r>
      <w:r w:rsidR="00521904" w:rsidRPr="003730B5">
        <w:t>C </w:t>
      </w:r>
      <w:r w:rsidRPr="003730B5">
        <w:t xml:space="preserve">145/06 </w:t>
      </w:r>
      <w:r w:rsidR="00521904" w:rsidRPr="003730B5">
        <w:t>a C </w:t>
      </w:r>
      <w:r w:rsidRPr="003730B5">
        <w:t xml:space="preserve">146/06, ve věci </w:t>
      </w:r>
      <w:r w:rsidR="00521904" w:rsidRPr="003730B5">
        <w:t>C </w:t>
      </w:r>
      <w:r w:rsidRPr="003730B5">
        <w:t xml:space="preserve">426/12 </w:t>
      </w:r>
      <w:r w:rsidR="00521904" w:rsidRPr="003730B5">
        <w:t>a </w:t>
      </w:r>
      <w:r w:rsidRPr="003730B5">
        <w:t xml:space="preserve">ve věci C-349/13 vyplývá, že členský stát je oprávněn zavést daň </w:t>
      </w:r>
      <w:r w:rsidR="00521904" w:rsidRPr="003730B5">
        <w:t>z </w:t>
      </w:r>
      <w:r w:rsidRPr="003730B5">
        <w:t xml:space="preserve">energetických produktů </w:t>
      </w:r>
      <w:r w:rsidR="00521904" w:rsidRPr="003730B5">
        <w:t>a </w:t>
      </w:r>
      <w:r w:rsidRPr="003730B5">
        <w:t>elektřiny, na něž se nevztahuje působnost směrnice 2003/96/ES</w:t>
      </w:r>
      <w:r w:rsidRPr="003730B5" w:rsidDel="00FB4F59">
        <w:t xml:space="preserve"> </w:t>
      </w:r>
      <w:r w:rsidRPr="003730B5">
        <w:t xml:space="preserve"> na základě </w:t>
      </w:r>
      <w:r w:rsidR="00521904" w:rsidRPr="003730B5">
        <w:t>čl. 2 </w:t>
      </w:r>
      <w:r w:rsidRPr="003730B5">
        <w:t xml:space="preserve">odst. </w:t>
      </w:r>
      <w:r w:rsidR="00521904" w:rsidRPr="003730B5">
        <w:t>4 </w:t>
      </w:r>
      <w:r w:rsidRPr="003730B5">
        <w:t>písm. b).</w:t>
      </w:r>
      <w:r w:rsidR="00AA5272" w:rsidRPr="003730B5">
        <w:t xml:space="preserve"> </w:t>
      </w:r>
      <w:r w:rsidR="00521904" w:rsidRPr="003730B5">
        <w:t>Z </w:t>
      </w:r>
      <w:r w:rsidRPr="003730B5">
        <w:t xml:space="preserve">výše uvedeného vyplývá, že Česká republika je oprávněna aplikovat národní sazbu daně, resp. zrušit nárok na vrácení daně </w:t>
      </w:r>
      <w:r w:rsidR="00521904" w:rsidRPr="003730B5">
        <w:t>z </w:t>
      </w:r>
      <w:r w:rsidRPr="003730B5">
        <w:t xml:space="preserve">minerálních olejů osobám užívajícím tyto minerální oleje </w:t>
      </w:r>
      <w:r w:rsidR="00521904" w:rsidRPr="003730B5">
        <w:t>v </w:t>
      </w:r>
      <w:r w:rsidRPr="003730B5">
        <w:t xml:space="preserve">mineralogických postupech </w:t>
      </w:r>
      <w:r w:rsidR="00521904" w:rsidRPr="003730B5">
        <w:t>a </w:t>
      </w:r>
      <w:r w:rsidRPr="003730B5">
        <w:t xml:space="preserve">metalurgických procesech, aniž by toto opatření bylo </w:t>
      </w:r>
      <w:r w:rsidR="00521904" w:rsidRPr="003730B5">
        <w:t>v </w:t>
      </w:r>
      <w:r w:rsidRPr="003730B5">
        <w:t>rozporu se směrnicí 2003/96/ES.</w:t>
      </w:r>
    </w:p>
    <w:p w14:paraId="50F7578A" w14:textId="2045F64C" w:rsidR="007A668B" w:rsidRPr="003730B5" w:rsidRDefault="007A668B" w:rsidP="007A668B">
      <w:pPr>
        <w:widowControl w:val="0"/>
        <w:spacing w:after="120"/>
      </w:pPr>
      <w:r w:rsidRPr="003730B5">
        <w:rPr>
          <w:b/>
          <w:i/>
        </w:rPr>
        <w:t xml:space="preserve">Úprava vracení daně </w:t>
      </w:r>
      <w:r w:rsidR="00521904" w:rsidRPr="003730B5">
        <w:rPr>
          <w:b/>
          <w:i/>
        </w:rPr>
        <w:t>u </w:t>
      </w:r>
      <w:r w:rsidRPr="003730B5">
        <w:rPr>
          <w:b/>
          <w:i/>
        </w:rPr>
        <w:t>tzv. zelené nafty</w:t>
      </w:r>
      <w:r w:rsidRPr="003730B5">
        <w:rPr>
          <w:b/>
        </w:rPr>
        <w:t xml:space="preserve"> </w:t>
      </w:r>
      <w:r w:rsidR="00AA5272" w:rsidRPr="003730B5">
        <w:rPr>
          <w:b/>
        </w:rPr>
        <w:t xml:space="preserve">- </w:t>
      </w:r>
      <w:r w:rsidR="00AA5272" w:rsidRPr="003730B5">
        <w:t>s</w:t>
      </w:r>
      <w:r w:rsidRPr="003730B5">
        <w:t>měrnice 2003/96/ES</w:t>
      </w:r>
      <w:r w:rsidRPr="003730B5" w:rsidDel="00FB4F59">
        <w:t xml:space="preserve"> </w:t>
      </w:r>
      <w:r w:rsidRPr="003730B5">
        <w:t xml:space="preserve">stanovuje </w:t>
      </w:r>
      <w:r w:rsidR="00521904" w:rsidRPr="003730B5">
        <w:t>v </w:t>
      </w:r>
      <w:r w:rsidRPr="003730B5">
        <w:t xml:space="preserve">příloze </w:t>
      </w:r>
      <w:r w:rsidR="00521904" w:rsidRPr="003730B5">
        <w:t>I </w:t>
      </w:r>
      <w:r w:rsidRPr="003730B5">
        <w:t xml:space="preserve">tabulce </w:t>
      </w:r>
      <w:r w:rsidR="00521904" w:rsidRPr="003730B5">
        <w:t>B </w:t>
      </w:r>
      <w:r w:rsidRPr="003730B5">
        <w:t xml:space="preserve">minimální sazby daně pro pohonné hmoty použité při zemědělských </w:t>
      </w:r>
      <w:r w:rsidR="00521904" w:rsidRPr="003730B5">
        <w:t>a </w:t>
      </w:r>
      <w:r w:rsidRPr="003730B5">
        <w:t xml:space="preserve">zahradnických pracích, chovu ryb </w:t>
      </w:r>
      <w:r w:rsidR="00521904" w:rsidRPr="003730B5">
        <w:t>a v </w:t>
      </w:r>
      <w:r w:rsidRPr="003730B5">
        <w:t xml:space="preserve">lesnictví. </w:t>
      </w:r>
      <w:r w:rsidR="00521904" w:rsidRPr="003730B5">
        <w:t>V </w:t>
      </w:r>
      <w:r w:rsidRPr="003730B5">
        <w:t xml:space="preserve">případě plynových olejů se jedná </w:t>
      </w:r>
      <w:r w:rsidR="00521904" w:rsidRPr="003730B5">
        <w:t>o </w:t>
      </w:r>
      <w:r w:rsidRPr="003730B5">
        <w:t>minimální sazbu daně ve výši 21 €/1000 litrů. Směrnice 2003/96/ES</w:t>
      </w:r>
      <w:r w:rsidRPr="003730B5" w:rsidDel="00FB4F59">
        <w:t xml:space="preserve"> </w:t>
      </w:r>
      <w:r w:rsidR="00521904" w:rsidRPr="003730B5">
        <w:t>v čl. </w:t>
      </w:r>
      <w:r w:rsidRPr="003730B5">
        <w:t xml:space="preserve">13 odst. </w:t>
      </w:r>
      <w:r w:rsidR="00521904" w:rsidRPr="003730B5">
        <w:t>1 </w:t>
      </w:r>
      <w:r w:rsidRPr="003730B5">
        <w:t>zároveň stanoví, že „</w:t>
      </w:r>
      <w:r w:rsidRPr="003730B5">
        <w:rPr>
          <w:i/>
        </w:rPr>
        <w:t xml:space="preserve">pro členské státy, které nepřijaly euro, se hodnota eura </w:t>
      </w:r>
      <w:r w:rsidR="00521904" w:rsidRPr="003730B5">
        <w:rPr>
          <w:i/>
        </w:rPr>
        <w:t>v </w:t>
      </w:r>
      <w:r w:rsidRPr="003730B5">
        <w:rPr>
          <w:i/>
        </w:rPr>
        <w:t xml:space="preserve">národních měnách, která má být použita pro přepočet úrovně zdanění, stanovuje jednou ročně. Použijí se kurzy platné první pracovní den </w:t>
      </w:r>
      <w:r w:rsidR="00521904" w:rsidRPr="003730B5">
        <w:rPr>
          <w:i/>
        </w:rPr>
        <w:t>v </w:t>
      </w:r>
      <w:r w:rsidRPr="003730B5">
        <w:rPr>
          <w:i/>
        </w:rPr>
        <w:t xml:space="preserve">říjnu, které jsou zveřejněny </w:t>
      </w:r>
      <w:r w:rsidR="00521904" w:rsidRPr="003730B5">
        <w:rPr>
          <w:i/>
        </w:rPr>
        <w:t>v </w:t>
      </w:r>
      <w:r w:rsidRPr="003730B5">
        <w:rPr>
          <w:i/>
        </w:rPr>
        <w:t xml:space="preserve">Úředním věstníku Evropské unie, </w:t>
      </w:r>
      <w:r w:rsidR="00521904" w:rsidRPr="003730B5">
        <w:rPr>
          <w:i/>
        </w:rPr>
        <w:t>a </w:t>
      </w:r>
      <w:r w:rsidRPr="003730B5">
        <w:rPr>
          <w:i/>
        </w:rPr>
        <w:t xml:space="preserve">použijí se ode dne 1. </w:t>
      </w:r>
      <w:r w:rsidR="00D6156C" w:rsidRPr="003730B5">
        <w:rPr>
          <w:i/>
        </w:rPr>
        <w:t>1.</w:t>
      </w:r>
      <w:r w:rsidRPr="003730B5">
        <w:rPr>
          <w:i/>
        </w:rPr>
        <w:t xml:space="preserve"> </w:t>
      </w:r>
      <w:r w:rsidRPr="003730B5">
        <w:rPr>
          <w:i/>
        </w:rPr>
        <w:lastRenderedPageBreak/>
        <w:t>následujícího kalendářního roku</w:t>
      </w:r>
      <w:r w:rsidRPr="003730B5">
        <w:t>“.</w:t>
      </w:r>
      <w:r w:rsidR="00AA5272" w:rsidRPr="003730B5">
        <w:t xml:space="preserve"> </w:t>
      </w:r>
      <w:r w:rsidRPr="003730B5">
        <w:t xml:space="preserve">Splnění EU minimálních sazeb </w:t>
      </w:r>
      <w:r w:rsidR="00521904" w:rsidRPr="003730B5">
        <w:t>v </w:t>
      </w:r>
      <w:r w:rsidRPr="003730B5">
        <w:t xml:space="preserve">roce 2024 bude posuzováno za použití směnného kurzu platného prvního pracovního dne měsíce října 2023, který </w:t>
      </w:r>
      <w:r w:rsidR="00521904" w:rsidRPr="003730B5">
        <w:t>v </w:t>
      </w:r>
      <w:r w:rsidRPr="003730B5">
        <w:t>současné době není znám. Pokud by byl aplikován aktuální směnný kurz, tj. přibližně 23,</w:t>
      </w:r>
      <w:r w:rsidR="00521904" w:rsidRPr="003730B5">
        <w:t>6 </w:t>
      </w:r>
      <w:r w:rsidRPr="003730B5">
        <w:t xml:space="preserve">Kč/€ činily by výsledné výše sazeb spotřební daně </w:t>
      </w:r>
      <w:r w:rsidR="00521904" w:rsidRPr="003730B5">
        <w:t>z </w:t>
      </w:r>
      <w:r w:rsidRPr="003730B5">
        <w:t xml:space="preserve">motorové nafty spotřebované </w:t>
      </w:r>
      <w:r w:rsidR="00521904" w:rsidRPr="003730B5">
        <w:t>v </w:t>
      </w:r>
      <w:r w:rsidRPr="003730B5">
        <w:t xml:space="preserve">zemědělské prvovýrobě </w:t>
      </w:r>
      <w:r w:rsidR="00521904" w:rsidRPr="003730B5">
        <w:t>a </w:t>
      </w:r>
      <w:r w:rsidRPr="003730B5">
        <w:t xml:space="preserve">provádění hospodaření </w:t>
      </w:r>
      <w:r w:rsidR="00521904" w:rsidRPr="003730B5">
        <w:t>v </w:t>
      </w:r>
      <w:r w:rsidRPr="003730B5">
        <w:t xml:space="preserve">lese 61 €/1000 litrů, resp. 278 €/1000 litrů. Hodnoty normativů minimální spotřeby byly vypočteny na základě výzkumných projektů. Minimální normativ spotřeby minerálních olejů </w:t>
      </w:r>
      <w:r w:rsidR="00521904" w:rsidRPr="003730B5">
        <w:t>v </w:t>
      </w:r>
      <w:r w:rsidRPr="003730B5">
        <w:t xml:space="preserve">rostlinné </w:t>
      </w:r>
      <w:r w:rsidR="00521904" w:rsidRPr="003730B5">
        <w:t>a </w:t>
      </w:r>
      <w:r w:rsidRPr="003730B5">
        <w:t xml:space="preserve">živočišné výrobě pro účely výpočtu nároku na vrácení spotřební daně </w:t>
      </w:r>
      <w:r w:rsidR="00521904" w:rsidRPr="003730B5">
        <w:t>z </w:t>
      </w:r>
      <w:r w:rsidRPr="003730B5">
        <w:t xml:space="preserve">minerálních olejů je koncipován tak, aby zemědělcům umožnil zabezpečit standardní produkci </w:t>
      </w:r>
      <w:r w:rsidR="00521904" w:rsidRPr="003730B5">
        <w:t>a </w:t>
      </w:r>
      <w:r w:rsidRPr="003730B5">
        <w:t xml:space="preserve">udržitelnost zemědělské prvovýroby. Tyto hodnoty se blíží hodnotám skutečné spotřeby minerálních olejů, neměly by je však svou povahou převýšit </w:t>
      </w:r>
      <w:r w:rsidR="00521904" w:rsidRPr="003730B5">
        <w:t>z </w:t>
      </w:r>
      <w:r w:rsidRPr="003730B5">
        <w:t xml:space="preserve">toho důvodu, že reflektují technologie </w:t>
      </w:r>
      <w:r w:rsidR="00521904" w:rsidRPr="003730B5">
        <w:t>s </w:t>
      </w:r>
      <w:r w:rsidRPr="003730B5">
        <w:t xml:space="preserve">nejnižší spotřebou. Zároveň existence dokladů </w:t>
      </w:r>
      <w:r w:rsidR="00521904" w:rsidRPr="003730B5">
        <w:t>o </w:t>
      </w:r>
      <w:r w:rsidRPr="003730B5">
        <w:t xml:space="preserve">prodeji zaručí, že se vracení daně nebude vztahovat na minerální oleje, které by dotčený podnikatel nenakoupil za cenu včetně daně. </w:t>
      </w:r>
      <w:r w:rsidR="00521904" w:rsidRPr="003730B5">
        <w:t>Z </w:t>
      </w:r>
      <w:r w:rsidRPr="003730B5">
        <w:t xml:space="preserve">tohoto důvodu lze říci, že EU minimální sazby daně budou plněny </w:t>
      </w:r>
      <w:r w:rsidR="00521904" w:rsidRPr="003730B5">
        <w:t>a </w:t>
      </w:r>
      <w:r w:rsidRPr="003730B5">
        <w:t xml:space="preserve">navrhované změny </w:t>
      </w:r>
      <w:r w:rsidR="00521904" w:rsidRPr="003730B5">
        <w:t>v </w:t>
      </w:r>
      <w:r w:rsidRPr="003730B5">
        <w:t xml:space="preserve">oblasti zelené nafty jsou </w:t>
      </w:r>
      <w:r w:rsidR="00521904" w:rsidRPr="003730B5">
        <w:t>v </w:t>
      </w:r>
      <w:r w:rsidRPr="003730B5">
        <w:t xml:space="preserve">souladu se směrnicí 2003/96/ES.  Poskytování zvýhodnění ve formě vracení spotřební daně uvedené </w:t>
      </w:r>
      <w:r w:rsidR="00521904" w:rsidRPr="003730B5">
        <w:t>v </w:t>
      </w:r>
      <w:r w:rsidRPr="003730B5">
        <w:t xml:space="preserve">tomto návrhu je </w:t>
      </w:r>
      <w:r w:rsidR="00521904" w:rsidRPr="003730B5">
        <w:t>v </w:t>
      </w:r>
      <w:r w:rsidRPr="003730B5">
        <w:t xml:space="preserve">souladu </w:t>
      </w:r>
      <w:r w:rsidR="00521904" w:rsidRPr="003730B5">
        <w:t>s </w:t>
      </w:r>
      <w:r w:rsidRPr="003730B5">
        <w:t xml:space="preserve">předpisy Evropské unie </w:t>
      </w:r>
      <w:r w:rsidR="00521904" w:rsidRPr="003730B5">
        <w:t>v </w:t>
      </w:r>
      <w:r w:rsidRPr="003730B5">
        <w:t xml:space="preserve">oblasti veřejné podpory. Režim vracení spotřební daně </w:t>
      </w:r>
      <w:r w:rsidR="00521904" w:rsidRPr="003730B5">
        <w:t>v </w:t>
      </w:r>
      <w:r w:rsidRPr="003730B5">
        <w:t xml:space="preserve">rostlinné </w:t>
      </w:r>
      <w:r w:rsidR="00521904" w:rsidRPr="003730B5">
        <w:t>a </w:t>
      </w:r>
      <w:r w:rsidRPr="003730B5">
        <w:t xml:space="preserve">živočišné výrobě </w:t>
      </w:r>
      <w:r w:rsidR="00521904" w:rsidRPr="003730B5">
        <w:t>a </w:t>
      </w:r>
      <w:r w:rsidRPr="003730B5">
        <w:t xml:space="preserve">hospodaření </w:t>
      </w:r>
      <w:r w:rsidR="00521904" w:rsidRPr="003730B5">
        <w:t>v </w:t>
      </w:r>
      <w:r w:rsidRPr="003730B5">
        <w:t xml:space="preserve">lese byl oznámen Evropské komisi podle </w:t>
      </w:r>
      <w:r w:rsidR="00521904" w:rsidRPr="003730B5">
        <w:t>čl. </w:t>
      </w:r>
      <w:r w:rsidRPr="003730B5">
        <w:t xml:space="preserve">44 nařízení (EU) </w:t>
      </w:r>
      <w:r w:rsidR="00521904" w:rsidRPr="003730B5">
        <w:t>č. </w:t>
      </w:r>
      <w:r w:rsidRPr="003730B5">
        <w:t xml:space="preserve">651/2014 jako režim podpory SA. 103248 (2022/X). </w:t>
      </w:r>
    </w:p>
    <w:p w14:paraId="3BE63614" w14:textId="56F20353" w:rsidR="007A668B" w:rsidRPr="003730B5" w:rsidRDefault="007A668B" w:rsidP="007A668B">
      <w:pPr>
        <w:widowControl w:val="0"/>
        <w:spacing w:after="120"/>
        <w:rPr>
          <w:b/>
        </w:rPr>
      </w:pPr>
      <w:r w:rsidRPr="003730B5">
        <w:rPr>
          <w:b/>
        </w:rPr>
        <w:t>Změny v oblasti energetických daní</w:t>
      </w:r>
    </w:p>
    <w:p w14:paraId="6F33D6AA" w14:textId="278AC307" w:rsidR="007A668B" w:rsidRPr="003730B5" w:rsidRDefault="007A668B" w:rsidP="007A668B">
      <w:pPr>
        <w:widowControl w:val="0"/>
        <w:spacing w:after="120"/>
      </w:pPr>
      <w:r w:rsidRPr="003730B5">
        <w:t xml:space="preserve">Návrh právní úpravy v energetických daních odráží změny činěné v zákoně </w:t>
      </w:r>
      <w:r w:rsidR="00521904" w:rsidRPr="003730B5">
        <w:t>o </w:t>
      </w:r>
      <w:r w:rsidRPr="003730B5">
        <w:t xml:space="preserve">spotřebních daních, pokud jde </w:t>
      </w:r>
      <w:r w:rsidR="00521904" w:rsidRPr="003730B5">
        <w:t>o </w:t>
      </w:r>
      <w:r w:rsidRPr="003730B5">
        <w:t xml:space="preserve">mineralogické </w:t>
      </w:r>
      <w:r w:rsidR="00521904" w:rsidRPr="003730B5">
        <w:t>a </w:t>
      </w:r>
      <w:r w:rsidRPr="003730B5">
        <w:t>metalurgické procesy. Směrnice 2003/96/ES</w:t>
      </w:r>
      <w:r w:rsidRPr="003730B5" w:rsidDel="00516439">
        <w:t xml:space="preserve"> </w:t>
      </w:r>
      <w:r w:rsidR="00521904" w:rsidRPr="003730B5">
        <w:t>v čl. 2 </w:t>
      </w:r>
      <w:r w:rsidRPr="003730B5">
        <w:t xml:space="preserve">odst. </w:t>
      </w:r>
      <w:r w:rsidR="00521904" w:rsidRPr="003730B5">
        <w:t>4 </w:t>
      </w:r>
      <w:r w:rsidRPr="003730B5">
        <w:t xml:space="preserve">stanoví, na které činnosti </w:t>
      </w:r>
      <w:r w:rsidR="00521904" w:rsidRPr="003730B5">
        <w:t>a </w:t>
      </w:r>
      <w:r w:rsidRPr="003730B5">
        <w:t xml:space="preserve">produkty se nevztahuje. Jedná se mimo jiné </w:t>
      </w:r>
      <w:r w:rsidR="00521904" w:rsidRPr="003730B5">
        <w:t>o </w:t>
      </w:r>
      <w:r w:rsidRPr="003730B5">
        <w:t xml:space="preserve">dvojí použití energetických produktů, kdy je zavedena právní fikce, podle které se za dvojí použití považuje </w:t>
      </w:r>
      <w:r w:rsidR="00521904" w:rsidRPr="003730B5">
        <w:t>i </w:t>
      </w:r>
      <w:r w:rsidRPr="003730B5">
        <w:t xml:space="preserve">použití </w:t>
      </w:r>
      <w:r w:rsidR="00521904" w:rsidRPr="003730B5">
        <w:t>v </w:t>
      </w:r>
      <w:r w:rsidRPr="003730B5">
        <w:t xml:space="preserve">metalurgických procesech. Směrnice dále explicitně přímo uvádí, že se nevztahuje na elektřinu používanou </w:t>
      </w:r>
      <w:r w:rsidR="00521904" w:rsidRPr="003730B5">
        <w:t>v </w:t>
      </w:r>
      <w:r w:rsidRPr="003730B5">
        <w:t xml:space="preserve">metalurgických procesech, </w:t>
      </w:r>
      <w:r w:rsidR="00521904" w:rsidRPr="003730B5">
        <w:t>a </w:t>
      </w:r>
      <w:r w:rsidRPr="003730B5">
        <w:t xml:space="preserve">rovněž energetické produkty </w:t>
      </w:r>
      <w:r w:rsidR="00521904" w:rsidRPr="003730B5">
        <w:t>a </w:t>
      </w:r>
      <w:r w:rsidRPr="003730B5">
        <w:t xml:space="preserve">elektřinu </w:t>
      </w:r>
      <w:r w:rsidR="00521904" w:rsidRPr="003730B5">
        <w:t>v </w:t>
      </w:r>
      <w:r w:rsidRPr="003730B5">
        <w:t>mineralogických postupech.</w:t>
      </w:r>
      <w:r w:rsidR="00AA5272" w:rsidRPr="003730B5">
        <w:t xml:space="preserve"> </w:t>
      </w:r>
      <w:r w:rsidRPr="003730B5">
        <w:t xml:space="preserve">„Mineralogickými postupy“ se podle </w:t>
      </w:r>
      <w:r w:rsidR="00521904" w:rsidRPr="003730B5">
        <w:t>čl. 2 </w:t>
      </w:r>
      <w:r w:rsidRPr="003730B5">
        <w:t xml:space="preserve">odst. </w:t>
      </w:r>
      <w:r w:rsidR="00521904" w:rsidRPr="003730B5">
        <w:t>4 </w:t>
      </w:r>
      <w:r w:rsidRPr="003730B5">
        <w:t>písm. b) směrnice 2003/96/ES</w:t>
      </w:r>
      <w:r w:rsidRPr="003730B5" w:rsidDel="00516439">
        <w:t xml:space="preserve"> </w:t>
      </w:r>
      <w:r w:rsidRPr="003730B5">
        <w:t xml:space="preserve">rozumí postupy zařazené klasifikací NACE pod kód DI 26 „výroba ostatních nekovových minerálních výrobků“ </w:t>
      </w:r>
      <w:r w:rsidR="00521904" w:rsidRPr="003730B5">
        <w:t>v </w:t>
      </w:r>
      <w:r w:rsidRPr="003730B5">
        <w:t xml:space="preserve">nařízení Rady (EHS) </w:t>
      </w:r>
      <w:r w:rsidR="00521904" w:rsidRPr="003730B5">
        <w:t>č. </w:t>
      </w:r>
      <w:r w:rsidRPr="003730B5">
        <w:t xml:space="preserve">3037/90 ze dne 9. října 1990 </w:t>
      </w:r>
      <w:r w:rsidR="00521904" w:rsidRPr="003730B5">
        <w:t>o </w:t>
      </w:r>
      <w:r w:rsidRPr="003730B5">
        <w:t xml:space="preserve">statistické klasifikaci ekonomických činností </w:t>
      </w:r>
      <w:r w:rsidR="00521904" w:rsidRPr="003730B5">
        <w:t>v </w:t>
      </w:r>
      <w:r w:rsidRPr="003730B5">
        <w:t xml:space="preserve">Evropském společenství. </w:t>
      </w:r>
      <w:r w:rsidR="00521904" w:rsidRPr="003730B5">
        <w:t>Z </w:t>
      </w:r>
      <w:r w:rsidRPr="003730B5">
        <w:t xml:space="preserve">judikatury SDEU ve spojených věcech </w:t>
      </w:r>
      <w:r w:rsidR="00521904" w:rsidRPr="003730B5">
        <w:t>C </w:t>
      </w:r>
      <w:r w:rsidRPr="003730B5">
        <w:t xml:space="preserve">145/06 </w:t>
      </w:r>
      <w:r w:rsidR="00521904" w:rsidRPr="003730B5">
        <w:t>a C </w:t>
      </w:r>
      <w:r w:rsidRPr="003730B5">
        <w:t xml:space="preserve">146/06, ve věci </w:t>
      </w:r>
      <w:r w:rsidR="00521904" w:rsidRPr="003730B5">
        <w:t>C </w:t>
      </w:r>
      <w:r w:rsidRPr="003730B5">
        <w:t xml:space="preserve">426/12 </w:t>
      </w:r>
      <w:r w:rsidR="00521904" w:rsidRPr="003730B5">
        <w:t>a </w:t>
      </w:r>
      <w:r w:rsidRPr="003730B5">
        <w:t xml:space="preserve">ve věci C-349/13 vyplývá, že členský stát je oprávněn zavést daň </w:t>
      </w:r>
      <w:r w:rsidR="00521904" w:rsidRPr="003730B5">
        <w:t>z </w:t>
      </w:r>
      <w:r w:rsidRPr="003730B5">
        <w:t xml:space="preserve">energetických produktů </w:t>
      </w:r>
      <w:r w:rsidR="00521904" w:rsidRPr="003730B5">
        <w:t>a </w:t>
      </w:r>
      <w:r w:rsidRPr="003730B5">
        <w:t xml:space="preserve">elektřiny, na něž se nevztahuje působnost směrnice </w:t>
      </w:r>
      <w:r w:rsidR="00521904" w:rsidRPr="003730B5">
        <w:t>o </w:t>
      </w:r>
      <w:r w:rsidRPr="003730B5">
        <w:t xml:space="preserve">energetickém zdanění na základě </w:t>
      </w:r>
      <w:r w:rsidR="00521904" w:rsidRPr="003730B5">
        <w:t>čl. 2 </w:t>
      </w:r>
      <w:r w:rsidRPr="003730B5">
        <w:t xml:space="preserve">odst. </w:t>
      </w:r>
      <w:r w:rsidR="00521904" w:rsidRPr="003730B5">
        <w:t>4 </w:t>
      </w:r>
      <w:r w:rsidRPr="003730B5">
        <w:t>písm. b) směrnice 2003/96/ES.</w:t>
      </w:r>
      <w:r w:rsidR="00521904" w:rsidRPr="003730B5">
        <w:t>Z </w:t>
      </w:r>
      <w:r w:rsidRPr="003730B5">
        <w:t xml:space="preserve">výše uvedeného vyplývá, že Česká republika je oprávněna zrušit osvobození zemního plynů, pevných paliv </w:t>
      </w:r>
      <w:r w:rsidR="00521904" w:rsidRPr="003730B5">
        <w:t>a </w:t>
      </w:r>
      <w:r w:rsidRPr="003730B5">
        <w:t xml:space="preserve">elektřiny použitých </w:t>
      </w:r>
      <w:r w:rsidR="00521904" w:rsidRPr="003730B5">
        <w:t>v </w:t>
      </w:r>
      <w:r w:rsidRPr="003730B5">
        <w:t xml:space="preserve">mineralogických postupech </w:t>
      </w:r>
      <w:r w:rsidR="00521904" w:rsidRPr="003730B5">
        <w:t>a </w:t>
      </w:r>
      <w:r w:rsidRPr="003730B5">
        <w:t xml:space="preserve">metalurgických procesech od daně ze zemního plynu </w:t>
      </w:r>
      <w:r w:rsidR="00521904" w:rsidRPr="003730B5">
        <w:t>a </w:t>
      </w:r>
      <w:r w:rsidRPr="003730B5">
        <w:t xml:space="preserve">některých dalších plynů, daně </w:t>
      </w:r>
      <w:r w:rsidR="00521904" w:rsidRPr="003730B5">
        <w:t>z </w:t>
      </w:r>
      <w:r w:rsidRPr="003730B5">
        <w:t xml:space="preserve">pevných paliv </w:t>
      </w:r>
      <w:r w:rsidR="00521904" w:rsidRPr="003730B5">
        <w:t>a </w:t>
      </w:r>
      <w:r w:rsidRPr="003730B5">
        <w:t xml:space="preserve">daně </w:t>
      </w:r>
      <w:r w:rsidR="00521904" w:rsidRPr="003730B5">
        <w:t>z </w:t>
      </w:r>
      <w:r w:rsidRPr="003730B5">
        <w:t xml:space="preserve">elektřiny. Tato opatření jsou </w:t>
      </w:r>
      <w:r w:rsidR="00521904" w:rsidRPr="003730B5">
        <w:t>v </w:t>
      </w:r>
      <w:r w:rsidRPr="003730B5">
        <w:t>souladu se směrnicí 2003/96/ES.</w:t>
      </w:r>
    </w:p>
    <w:p w14:paraId="51CE8123" w14:textId="77777777" w:rsidR="005D1539" w:rsidRPr="003730B5" w:rsidRDefault="005D1539" w:rsidP="005D1539">
      <w:pPr>
        <w:keepNext/>
        <w:autoSpaceDE w:val="0"/>
        <w:autoSpaceDN w:val="0"/>
        <w:adjustRightInd w:val="0"/>
        <w:spacing w:after="120"/>
        <w:rPr>
          <w:rFonts w:eastAsia="Calibri"/>
          <w:b/>
          <w:u w:val="single"/>
        </w:rPr>
      </w:pPr>
      <w:r w:rsidRPr="003730B5">
        <w:rPr>
          <w:rFonts w:eastAsia="Calibri"/>
          <w:b/>
          <w:u w:val="single"/>
        </w:rPr>
        <w:t>Změny v oblasti daně silniční</w:t>
      </w:r>
    </w:p>
    <w:p w14:paraId="7A3D000A" w14:textId="77777777" w:rsidR="005D1539" w:rsidRPr="003730B5" w:rsidRDefault="005D1539" w:rsidP="005D1539">
      <w:pPr>
        <w:keepNext/>
        <w:spacing w:after="120"/>
      </w:pPr>
      <w:r w:rsidRPr="003730B5">
        <w:t>Navrhovaná právní úprava se v oblasti daně silniční dotýká následujících předpisů Evropské unie:</w:t>
      </w:r>
    </w:p>
    <w:p w14:paraId="11378828" w14:textId="2D64D650" w:rsidR="005D1539" w:rsidRPr="003730B5" w:rsidRDefault="005D1539" w:rsidP="005D1539">
      <w:pPr>
        <w:pStyle w:val="Odstavecseseznamem"/>
        <w:widowControl w:val="0"/>
        <w:numPr>
          <w:ilvl w:val="0"/>
          <w:numId w:val="39"/>
        </w:numPr>
        <w:spacing w:after="120"/>
      </w:pPr>
      <w:r w:rsidRPr="003730B5">
        <w:t xml:space="preserve">směrnice Evropského parlamentu </w:t>
      </w:r>
      <w:r w:rsidR="00133AC8" w:rsidRPr="003730B5">
        <w:t>a </w:t>
      </w:r>
      <w:r w:rsidRPr="003730B5">
        <w:t xml:space="preserve">Rady 1999/62/ES, ze dne 17. června 1999, </w:t>
      </w:r>
      <w:r w:rsidR="00133AC8" w:rsidRPr="003730B5">
        <w:t>o </w:t>
      </w:r>
      <w:r w:rsidRPr="003730B5">
        <w:t>výběru poplatků za užívání určitých pozemních komunikací těžkými nákladními vozidly,</w:t>
      </w:r>
    </w:p>
    <w:p w14:paraId="1A6F1836" w14:textId="10BD59E5" w:rsidR="005D1539" w:rsidRPr="003730B5" w:rsidRDefault="005D1539" w:rsidP="005D1539">
      <w:pPr>
        <w:pStyle w:val="Odstavecseseznamem"/>
        <w:widowControl w:val="0"/>
        <w:numPr>
          <w:ilvl w:val="0"/>
          <w:numId w:val="39"/>
        </w:numPr>
        <w:spacing w:after="120"/>
      </w:pPr>
      <w:r w:rsidRPr="003730B5">
        <w:t xml:space="preserve">směrnice Rady 92/106/EHS ze dne 7. prosince 1992 </w:t>
      </w:r>
      <w:r w:rsidR="00133AC8" w:rsidRPr="003730B5">
        <w:t>o </w:t>
      </w:r>
      <w:r w:rsidRPr="003730B5">
        <w:t>stanovení společných pravidel pro některé druhy kombinované přepravy zboží mezi členskými státy.</w:t>
      </w:r>
    </w:p>
    <w:p w14:paraId="4108A86C" w14:textId="2C3FA8D1" w:rsidR="00AA5272" w:rsidRPr="003730B5" w:rsidRDefault="00AA5272" w:rsidP="00AA5272">
      <w:pPr>
        <w:keepNext/>
        <w:autoSpaceDE w:val="0"/>
        <w:autoSpaceDN w:val="0"/>
        <w:adjustRightInd w:val="0"/>
        <w:spacing w:after="120"/>
        <w:rPr>
          <w:rFonts w:eastAsia="Calibri"/>
          <w:b/>
          <w:u w:val="single"/>
        </w:rPr>
      </w:pPr>
      <w:r w:rsidRPr="003730B5">
        <w:rPr>
          <w:rFonts w:eastAsia="Calibri"/>
          <w:b/>
          <w:u w:val="single"/>
        </w:rPr>
        <w:t>Změny v oblasti platebního styku</w:t>
      </w:r>
    </w:p>
    <w:p w14:paraId="19D78685" w14:textId="38A57C37" w:rsidR="00433E29" w:rsidRPr="003730B5" w:rsidRDefault="00433E29" w:rsidP="00433E29">
      <w:pPr>
        <w:widowControl w:val="0"/>
        <w:spacing w:after="120"/>
      </w:pPr>
      <w:r w:rsidRPr="003730B5">
        <w:t xml:space="preserve">Navrhovaná právní úprava se dotýká </w:t>
      </w:r>
      <w:r w:rsidR="00811C11" w:rsidRPr="003730B5">
        <w:t>v </w:t>
      </w:r>
      <w:r w:rsidRPr="003730B5">
        <w:t>oblasti platebního styku následujících předpisů Evropské unie:</w:t>
      </w:r>
    </w:p>
    <w:p w14:paraId="11123982" w14:textId="0F69597F" w:rsidR="00433E29" w:rsidRPr="003730B5" w:rsidRDefault="00433E29" w:rsidP="00D16775">
      <w:pPr>
        <w:pStyle w:val="Odstavecseseznamem"/>
        <w:widowControl w:val="0"/>
        <w:numPr>
          <w:ilvl w:val="0"/>
          <w:numId w:val="39"/>
        </w:numPr>
        <w:spacing w:after="120"/>
      </w:pPr>
      <w:r w:rsidRPr="003730B5">
        <w:t xml:space="preserve">směrnice Evropského parlamentu </w:t>
      </w:r>
      <w:r w:rsidR="00811C11" w:rsidRPr="003730B5">
        <w:t>a </w:t>
      </w:r>
      <w:r w:rsidRPr="003730B5">
        <w:t xml:space="preserve">Rady 2009/110/ES ze dne 16. září 2009 </w:t>
      </w:r>
      <w:r w:rsidR="00811C11" w:rsidRPr="003730B5">
        <w:t>o </w:t>
      </w:r>
      <w:r w:rsidRPr="003730B5">
        <w:t xml:space="preserve">přístupu </w:t>
      </w:r>
      <w:r w:rsidR="00811C11" w:rsidRPr="003730B5">
        <w:lastRenderedPageBreak/>
        <w:t>k </w:t>
      </w:r>
      <w:r w:rsidRPr="003730B5">
        <w:t xml:space="preserve">činnosti institucí elektronických peněz, </w:t>
      </w:r>
      <w:r w:rsidR="00811C11" w:rsidRPr="003730B5">
        <w:t>o </w:t>
      </w:r>
      <w:r w:rsidRPr="003730B5">
        <w:t xml:space="preserve">jejím výkonu </w:t>
      </w:r>
      <w:r w:rsidR="00811C11" w:rsidRPr="003730B5">
        <w:t>a o </w:t>
      </w:r>
      <w:r w:rsidRPr="003730B5">
        <w:t xml:space="preserve">obezřetnostním dohledu nad touto činností, </w:t>
      </w:r>
      <w:r w:rsidR="00811C11" w:rsidRPr="003730B5">
        <w:t>o </w:t>
      </w:r>
      <w:r w:rsidRPr="003730B5">
        <w:t xml:space="preserve">změně směrnic 2005/60/ES </w:t>
      </w:r>
      <w:r w:rsidR="00811C11" w:rsidRPr="003730B5">
        <w:t>a </w:t>
      </w:r>
      <w:r w:rsidRPr="003730B5">
        <w:t xml:space="preserve">2006/48/ES </w:t>
      </w:r>
      <w:r w:rsidR="00811C11" w:rsidRPr="003730B5">
        <w:t>a o </w:t>
      </w:r>
      <w:r w:rsidRPr="003730B5">
        <w:t xml:space="preserve">zrušení směrnice 2000/46/ES ve znění Směrnice Evropského parlamentu </w:t>
      </w:r>
      <w:r w:rsidR="00811C11" w:rsidRPr="003730B5">
        <w:t>a </w:t>
      </w:r>
      <w:r w:rsidRPr="003730B5">
        <w:t>Rady (EU) 2015</w:t>
      </w:r>
      <w:r w:rsidR="00470679" w:rsidRPr="003730B5">
        <w:t>/2366 ze dne 25. listopadu 2015 a</w:t>
      </w:r>
    </w:p>
    <w:p w14:paraId="69DA4C0F" w14:textId="23BA816C" w:rsidR="00433E29" w:rsidRPr="003730B5" w:rsidRDefault="00433E29" w:rsidP="00D16775">
      <w:pPr>
        <w:pStyle w:val="Odstavecseseznamem"/>
        <w:widowControl w:val="0"/>
        <w:numPr>
          <w:ilvl w:val="0"/>
          <w:numId w:val="39"/>
        </w:numPr>
        <w:spacing w:after="120"/>
      </w:pPr>
      <w:r w:rsidRPr="003730B5">
        <w:t xml:space="preserve">směrnice Evropského parlamentu </w:t>
      </w:r>
      <w:r w:rsidR="00811C11" w:rsidRPr="003730B5">
        <w:t>a </w:t>
      </w:r>
      <w:r w:rsidRPr="003730B5">
        <w:t xml:space="preserve">Rady (EU) 2015/2366  ze dne 25. listopadu 2015 o platebních službách na vnitřním trhu, kterou se mění směrnice 2002/65/ES, 2009/110/ES </w:t>
      </w:r>
      <w:r w:rsidR="00811C11" w:rsidRPr="003730B5">
        <w:t>a </w:t>
      </w:r>
      <w:r w:rsidRPr="003730B5">
        <w:t xml:space="preserve">2013/36/EU </w:t>
      </w:r>
      <w:r w:rsidR="00811C11" w:rsidRPr="003730B5">
        <w:t>a </w:t>
      </w:r>
      <w:r w:rsidRPr="003730B5">
        <w:t xml:space="preserve">nařízení (EU) </w:t>
      </w:r>
      <w:r w:rsidR="00811C11" w:rsidRPr="003730B5">
        <w:t>č. </w:t>
      </w:r>
      <w:r w:rsidRPr="003730B5">
        <w:t xml:space="preserve">1093/2010 </w:t>
      </w:r>
      <w:r w:rsidR="00811C11" w:rsidRPr="003730B5">
        <w:t>a </w:t>
      </w:r>
      <w:r w:rsidRPr="003730B5">
        <w:t>zrušuje směrnice 2007/64/ES.</w:t>
      </w:r>
    </w:p>
    <w:p w14:paraId="363A65FE" w14:textId="618065A5" w:rsidR="00AA5272" w:rsidRPr="003730B5" w:rsidRDefault="00AA5272" w:rsidP="00AA5272">
      <w:pPr>
        <w:keepNext/>
        <w:autoSpaceDE w:val="0"/>
        <w:autoSpaceDN w:val="0"/>
        <w:adjustRightInd w:val="0"/>
        <w:spacing w:after="120"/>
        <w:rPr>
          <w:rFonts w:eastAsia="Calibri"/>
          <w:b/>
          <w:u w:val="single"/>
        </w:rPr>
      </w:pPr>
      <w:r w:rsidRPr="003730B5">
        <w:rPr>
          <w:rFonts w:eastAsia="Calibri"/>
          <w:b/>
          <w:u w:val="single"/>
        </w:rPr>
        <w:t>Změny v oblasti regulace silniční dopravy</w:t>
      </w:r>
    </w:p>
    <w:p w14:paraId="4B44D51C" w14:textId="370681D3" w:rsidR="007E1EBF" w:rsidRPr="003730B5" w:rsidRDefault="007E1EBF" w:rsidP="007E1EBF">
      <w:pPr>
        <w:widowControl w:val="0"/>
        <w:spacing w:after="120"/>
      </w:pPr>
      <w:r w:rsidRPr="003730B5">
        <w:t xml:space="preserve">Na poli regulace silniční dopravy je návrhem zákona rovněž do českého právního řádu transponována směrnice Evropského parlamentu a Rady (EU) 2022/362 ze dne 24. února 2022, kterou se mění směrnice 1999/62/ES, 1999/37/ES a (EU) 2019/520, pokud jde o výběr poplatků pro vozidla za užívání určitých pozemních komunikací. Transpoziční lhůta směrnice uplyne dne 25. </w:t>
      </w:r>
      <w:r w:rsidR="00D6156C" w:rsidRPr="003730B5">
        <w:t xml:space="preserve">3. </w:t>
      </w:r>
      <w:r w:rsidRPr="003730B5">
        <w:t xml:space="preserve">2024. </w:t>
      </w:r>
      <w:r w:rsidR="00CA40A9" w:rsidRPr="003730B5">
        <w:t>K </w:t>
      </w:r>
      <w:r w:rsidRPr="003730B5">
        <w:t xml:space="preserve">dokončení transpozice směrnice (EU) 2022/362 do českého právního řádu bude třeba přijmout změnu nařízení vlády </w:t>
      </w:r>
      <w:r w:rsidR="00CA40A9" w:rsidRPr="003730B5">
        <w:t>č. </w:t>
      </w:r>
      <w:r w:rsidRPr="003730B5">
        <w:t xml:space="preserve">240/2014 Sb., </w:t>
      </w:r>
      <w:r w:rsidR="00CA40A9" w:rsidRPr="003730B5">
        <w:t>o </w:t>
      </w:r>
      <w:r w:rsidRPr="003730B5">
        <w:t xml:space="preserve">výši časových poplatků, sazeb mýtného, slevy na mýtném </w:t>
      </w:r>
      <w:r w:rsidR="00CA40A9" w:rsidRPr="003730B5">
        <w:t>a o </w:t>
      </w:r>
      <w:r w:rsidRPr="003730B5">
        <w:t xml:space="preserve">postupu uplatnění slevy na mýtném, ve znění pozdějších předpisů, </w:t>
      </w:r>
      <w:r w:rsidR="00CA40A9" w:rsidRPr="003730B5">
        <w:t>a </w:t>
      </w:r>
      <w:r w:rsidRPr="003730B5">
        <w:t xml:space="preserve">vyhlášky </w:t>
      </w:r>
      <w:r w:rsidR="00CA40A9" w:rsidRPr="003730B5">
        <w:t>o </w:t>
      </w:r>
      <w:r w:rsidRPr="003730B5">
        <w:t xml:space="preserve">užívání pozemních komunikací zpoplatněných mýtným. Návrhem zákona je na poli regulace silniční dopravy též vstupováno do ustanovení, která jsou implementační ve vztahu </w:t>
      </w:r>
      <w:r w:rsidR="00CA40A9" w:rsidRPr="003730B5">
        <w:t>k </w:t>
      </w:r>
      <w:r w:rsidRPr="003730B5">
        <w:t>níže uvedeným předpisům:</w:t>
      </w:r>
    </w:p>
    <w:p w14:paraId="2AB06C6A" w14:textId="151E14B9" w:rsidR="007E1EBF" w:rsidRPr="003730B5" w:rsidRDefault="007E1EBF" w:rsidP="00D16775">
      <w:pPr>
        <w:pStyle w:val="Odstavecseseznamem"/>
        <w:widowControl w:val="0"/>
        <w:numPr>
          <w:ilvl w:val="0"/>
          <w:numId w:val="39"/>
        </w:numPr>
        <w:spacing w:after="120"/>
      </w:pPr>
      <w:r w:rsidRPr="003730B5">
        <w:t xml:space="preserve">směrnici Rady 96/53/ES ze dne 25. července 1996, kterou se pro určitá silniční vozidla provozovaná </w:t>
      </w:r>
      <w:r w:rsidR="00CA40A9" w:rsidRPr="003730B5">
        <w:t>v </w:t>
      </w:r>
      <w:r w:rsidRPr="003730B5">
        <w:t xml:space="preserve">rámci Společenství stanoví maximální přípustné rozměry pro vnitrostátní </w:t>
      </w:r>
      <w:r w:rsidR="00CA40A9" w:rsidRPr="003730B5">
        <w:t>a </w:t>
      </w:r>
      <w:r w:rsidRPr="003730B5">
        <w:t xml:space="preserve">mezinárodní provoz </w:t>
      </w:r>
      <w:r w:rsidR="00CA40A9" w:rsidRPr="003730B5">
        <w:t>a </w:t>
      </w:r>
      <w:r w:rsidRPr="003730B5">
        <w:t>maximální přípustné hmotnosti pro mezinárodní provoz, ve znění pozdějších předpisů,</w:t>
      </w:r>
    </w:p>
    <w:p w14:paraId="4D3BDECC" w14:textId="0207BABD" w:rsidR="007E1EBF" w:rsidRPr="003730B5" w:rsidRDefault="007E1EBF" w:rsidP="00D16775">
      <w:pPr>
        <w:pStyle w:val="Odstavecseseznamem"/>
        <w:widowControl w:val="0"/>
        <w:numPr>
          <w:ilvl w:val="0"/>
          <w:numId w:val="39"/>
        </w:numPr>
        <w:spacing w:after="120"/>
      </w:pPr>
      <w:r w:rsidRPr="003730B5">
        <w:t xml:space="preserve">směrnici Rady 1999/37/ES ze dne 29. dubna 1999 </w:t>
      </w:r>
      <w:r w:rsidR="00CA40A9" w:rsidRPr="003730B5">
        <w:t>o </w:t>
      </w:r>
      <w:r w:rsidRPr="003730B5">
        <w:t>registračních dokladech vozidel, ve znění pozdějších předpisů,</w:t>
      </w:r>
    </w:p>
    <w:p w14:paraId="0CDF0C1C" w14:textId="1351B551" w:rsidR="007E1EBF" w:rsidRPr="003730B5" w:rsidRDefault="007E1EBF" w:rsidP="00D16775">
      <w:pPr>
        <w:pStyle w:val="Odstavecseseznamem"/>
        <w:widowControl w:val="0"/>
        <w:numPr>
          <w:ilvl w:val="0"/>
          <w:numId w:val="39"/>
        </w:numPr>
        <w:spacing w:after="120"/>
      </w:pPr>
      <w:r w:rsidRPr="003730B5">
        <w:t xml:space="preserve">směrnici Evropského parlamentu </w:t>
      </w:r>
      <w:r w:rsidR="00CA40A9" w:rsidRPr="003730B5">
        <w:t>a </w:t>
      </w:r>
      <w:r w:rsidRPr="003730B5">
        <w:t xml:space="preserve">Rady (EU) 2015/413 ze dne 11. března 2015 </w:t>
      </w:r>
      <w:r w:rsidR="00CA40A9" w:rsidRPr="003730B5">
        <w:t>o </w:t>
      </w:r>
      <w:r w:rsidRPr="003730B5">
        <w:t xml:space="preserve">usnadnění přeshraniční výměny informací </w:t>
      </w:r>
      <w:r w:rsidR="00CA40A9" w:rsidRPr="003730B5">
        <w:t>o </w:t>
      </w:r>
      <w:r w:rsidRPr="003730B5">
        <w:t xml:space="preserve">dopravních deliktech </w:t>
      </w:r>
      <w:r w:rsidR="00CA40A9" w:rsidRPr="003730B5">
        <w:t>v </w:t>
      </w:r>
      <w:r w:rsidRPr="003730B5">
        <w:t xml:space="preserve">oblasti bezpečnosti silničního provozu, </w:t>
      </w:r>
    </w:p>
    <w:p w14:paraId="63E03309" w14:textId="01767F74" w:rsidR="007E1EBF" w:rsidRPr="003730B5" w:rsidRDefault="007E1EBF" w:rsidP="00D16775">
      <w:pPr>
        <w:pStyle w:val="Odstavecseseznamem"/>
        <w:widowControl w:val="0"/>
        <w:numPr>
          <w:ilvl w:val="0"/>
          <w:numId w:val="39"/>
        </w:numPr>
        <w:spacing w:after="120"/>
      </w:pPr>
      <w:r w:rsidRPr="003730B5">
        <w:t xml:space="preserve">rozhodnutí Rady 2008/615/SVV ze dne 23. června 2008 </w:t>
      </w:r>
      <w:r w:rsidR="00CA40A9" w:rsidRPr="003730B5">
        <w:t>o </w:t>
      </w:r>
      <w:r w:rsidRPr="003730B5">
        <w:t xml:space="preserve">posílení přeshraniční spolupráce, zejména </w:t>
      </w:r>
      <w:r w:rsidR="00CA40A9" w:rsidRPr="003730B5">
        <w:t>v </w:t>
      </w:r>
      <w:r w:rsidRPr="003730B5">
        <w:t xml:space="preserve">boji proti terorismu </w:t>
      </w:r>
      <w:r w:rsidR="00CA40A9" w:rsidRPr="003730B5">
        <w:t>a </w:t>
      </w:r>
      <w:r w:rsidRPr="003730B5">
        <w:t>přeshraniční trestné činnosti,</w:t>
      </w:r>
    </w:p>
    <w:p w14:paraId="2B12C832" w14:textId="55BAB37A" w:rsidR="007E1EBF" w:rsidRPr="003730B5" w:rsidRDefault="007E1EBF" w:rsidP="00D16775">
      <w:pPr>
        <w:pStyle w:val="Odstavecseseznamem"/>
        <w:widowControl w:val="0"/>
        <w:numPr>
          <w:ilvl w:val="0"/>
          <w:numId w:val="39"/>
        </w:numPr>
        <w:spacing w:after="120"/>
      </w:pPr>
      <w:r w:rsidRPr="003730B5">
        <w:t xml:space="preserve">směrnici Evropského parlamentu </w:t>
      </w:r>
      <w:r w:rsidR="00CA40A9" w:rsidRPr="003730B5">
        <w:t>a </w:t>
      </w:r>
      <w:r w:rsidRPr="003730B5">
        <w:t xml:space="preserve">Rady (EU) 2019/520 ze dne 19. března 2019 </w:t>
      </w:r>
      <w:r w:rsidR="00CA40A9" w:rsidRPr="003730B5">
        <w:t>o </w:t>
      </w:r>
      <w:r w:rsidRPr="003730B5">
        <w:t xml:space="preserve">interoperabilitě elektronických systémů pro výběr mýtného </w:t>
      </w:r>
      <w:r w:rsidR="00CA40A9" w:rsidRPr="003730B5">
        <w:t>a </w:t>
      </w:r>
      <w:r w:rsidRPr="003730B5">
        <w:t xml:space="preserve">usnadnění přeshraniční výměny informací týkajících se nezaplacení silničních poplatků </w:t>
      </w:r>
      <w:r w:rsidR="00CA40A9" w:rsidRPr="003730B5">
        <w:t>v </w:t>
      </w:r>
      <w:r w:rsidRPr="003730B5">
        <w:t>Unii (dále jen „směrnice (EU) 2019/520“) a</w:t>
      </w:r>
    </w:p>
    <w:p w14:paraId="0A96FD89" w14:textId="7285AF02" w:rsidR="007E1EBF" w:rsidRPr="003730B5" w:rsidRDefault="007E1EBF" w:rsidP="00D16775">
      <w:pPr>
        <w:pStyle w:val="Odstavecseseznamem"/>
        <w:widowControl w:val="0"/>
        <w:numPr>
          <w:ilvl w:val="0"/>
          <w:numId w:val="39"/>
        </w:numPr>
        <w:spacing w:after="120"/>
      </w:pPr>
      <w:r w:rsidRPr="003730B5">
        <w:t xml:space="preserve">prováděcímu nařízení Komise (EU) 2020/204 ze dne 28. listopadu 2019 </w:t>
      </w:r>
      <w:r w:rsidR="00CA40A9" w:rsidRPr="003730B5">
        <w:t>o </w:t>
      </w:r>
      <w:r w:rsidRPr="003730B5">
        <w:t xml:space="preserve">podrobných povinnostech poskytovatelů evropské služby elektronického mýtného, minimálním obsahu přehledu </w:t>
      </w:r>
      <w:r w:rsidR="00CA40A9" w:rsidRPr="003730B5">
        <w:t>o </w:t>
      </w:r>
      <w:r w:rsidRPr="003730B5">
        <w:t xml:space="preserve">oblasti evropské služby elektronického mýtného, elektronických rozhraních, požadavcích na prvky interoperability </w:t>
      </w:r>
      <w:r w:rsidR="00CA40A9" w:rsidRPr="003730B5">
        <w:t>a o </w:t>
      </w:r>
      <w:r w:rsidRPr="003730B5">
        <w:t>zrušení rozhodnutí 2009/750/ES.</w:t>
      </w:r>
    </w:p>
    <w:p w14:paraId="192D72A5" w14:textId="19A87C5E" w:rsidR="007E1EBF" w:rsidRPr="003730B5" w:rsidRDefault="007E1EBF" w:rsidP="007E1EBF">
      <w:pPr>
        <w:widowControl w:val="0"/>
        <w:spacing w:after="120"/>
      </w:pPr>
      <w:r w:rsidRPr="003730B5">
        <w:t xml:space="preserve">Lhůty pro implementaci těchto předpisů již uplynuly </w:t>
      </w:r>
      <w:r w:rsidR="00CA40A9" w:rsidRPr="003730B5">
        <w:t>a </w:t>
      </w:r>
      <w:r w:rsidRPr="003730B5">
        <w:t xml:space="preserve">tyto předpisy jsou </w:t>
      </w:r>
      <w:r w:rsidR="00CA40A9" w:rsidRPr="003730B5">
        <w:t>v </w:t>
      </w:r>
      <w:r w:rsidRPr="003730B5">
        <w:t>českém právním řádu implementovány, přičemž navrženou právní úpravou není stávající úroveň implementace dotčena.</w:t>
      </w:r>
    </w:p>
    <w:p w14:paraId="2F5C2620" w14:textId="74B38008" w:rsidR="00075C38" w:rsidRPr="003730B5" w:rsidRDefault="00075C38" w:rsidP="00075C38">
      <w:pPr>
        <w:keepNext/>
        <w:autoSpaceDE w:val="0"/>
        <w:autoSpaceDN w:val="0"/>
        <w:adjustRightInd w:val="0"/>
        <w:spacing w:after="120"/>
        <w:rPr>
          <w:rFonts w:eastAsia="Calibri"/>
          <w:b/>
          <w:u w:val="single"/>
        </w:rPr>
      </w:pPr>
      <w:r w:rsidRPr="003730B5">
        <w:rPr>
          <w:rFonts w:eastAsia="Calibri"/>
          <w:b/>
          <w:u w:val="single"/>
        </w:rPr>
        <w:t>Změny v oblasti stavebního spoření</w:t>
      </w:r>
    </w:p>
    <w:p w14:paraId="567AED7C" w14:textId="55689B3D" w:rsidR="007E1EBF" w:rsidRPr="003730B5" w:rsidRDefault="00420FAE" w:rsidP="004217F9">
      <w:pPr>
        <w:widowControl w:val="0"/>
        <w:spacing w:after="120"/>
      </w:pPr>
      <w:r w:rsidRPr="003730B5">
        <w:t xml:space="preserve">Návrh zákona dále </w:t>
      </w:r>
      <w:r w:rsidR="00CA40A9" w:rsidRPr="003730B5">
        <w:t>v </w:t>
      </w:r>
      <w:r w:rsidRPr="003730B5">
        <w:t>navrhovaném znění (</w:t>
      </w:r>
      <w:r w:rsidR="00CA40A9" w:rsidRPr="003730B5">
        <w:t>a </w:t>
      </w:r>
      <w:r w:rsidRPr="003730B5">
        <w:t xml:space="preserve">to zejména na poli úpravy stavebního spoření) neobsahuje úpravu problematiky, kterou by </w:t>
      </w:r>
      <w:r w:rsidR="00CA40A9" w:rsidRPr="003730B5">
        <w:t>v </w:t>
      </w:r>
      <w:r w:rsidRPr="003730B5">
        <w:t xml:space="preserve">souladu </w:t>
      </w:r>
      <w:r w:rsidR="00CA40A9" w:rsidRPr="003730B5">
        <w:t>s čl. 2 </w:t>
      </w:r>
      <w:r w:rsidRPr="003730B5">
        <w:t xml:space="preserve">odst. </w:t>
      </w:r>
      <w:r w:rsidR="00CA40A9" w:rsidRPr="003730B5">
        <w:t>1 a 2 </w:t>
      </w:r>
      <w:r w:rsidRPr="003730B5">
        <w:t xml:space="preserve">rozhodnutí </w:t>
      </w:r>
      <w:r w:rsidR="00CA40A9" w:rsidRPr="003730B5">
        <w:t>č. </w:t>
      </w:r>
      <w:r w:rsidRPr="003730B5">
        <w:t xml:space="preserve">98/415/ES bylo nezbytně nutné konzultovat </w:t>
      </w:r>
      <w:r w:rsidR="00CA40A9" w:rsidRPr="003730B5">
        <w:t>s </w:t>
      </w:r>
      <w:r w:rsidRPr="003730B5">
        <w:t xml:space="preserve">Evropskou centrální bankou, </w:t>
      </w:r>
      <w:r w:rsidR="00CA40A9" w:rsidRPr="003730B5">
        <w:t>a </w:t>
      </w:r>
      <w:r w:rsidRPr="003730B5">
        <w:t xml:space="preserve">to mj. </w:t>
      </w:r>
      <w:r w:rsidR="00CA40A9" w:rsidRPr="003730B5">
        <w:t>i z </w:t>
      </w:r>
      <w:r w:rsidRPr="003730B5">
        <w:t xml:space="preserve">toho důvodu, že navrhované změny věcného charakteru nemají potenciál zásadně ovlivnit stabilitu finančních institucí </w:t>
      </w:r>
      <w:r w:rsidR="00CA40A9" w:rsidRPr="003730B5">
        <w:t>a </w:t>
      </w:r>
      <w:r w:rsidRPr="003730B5">
        <w:t xml:space="preserve">trhů. Konzultace </w:t>
      </w:r>
      <w:r w:rsidR="00CA40A9" w:rsidRPr="003730B5">
        <w:t>s </w:t>
      </w:r>
      <w:r w:rsidRPr="003730B5">
        <w:t xml:space="preserve">Evropskou centrální bankou je </w:t>
      </w:r>
      <w:r w:rsidR="00CA40A9" w:rsidRPr="003730B5">
        <w:t>v </w:t>
      </w:r>
      <w:r w:rsidRPr="003730B5">
        <w:t xml:space="preserve">tomto případě </w:t>
      </w:r>
      <w:r w:rsidR="00CA40A9" w:rsidRPr="003730B5">
        <w:lastRenderedPageBreak/>
        <w:t>v </w:t>
      </w:r>
      <w:r w:rsidRPr="003730B5">
        <w:t xml:space="preserve">souladu </w:t>
      </w:r>
      <w:r w:rsidR="00CA40A9" w:rsidRPr="003730B5">
        <w:t>s </w:t>
      </w:r>
      <w:r w:rsidRPr="003730B5">
        <w:t xml:space="preserve">výše uvedeným rozhodnutím pouze fakultativní, </w:t>
      </w:r>
      <w:r w:rsidR="00CA40A9" w:rsidRPr="003730B5">
        <w:t>a </w:t>
      </w:r>
      <w:r w:rsidRPr="003730B5">
        <w:t>není zde proto důvod pro konzultaci tohoto návrhu zákona.</w:t>
      </w:r>
    </w:p>
    <w:p w14:paraId="16D02868" w14:textId="77777777" w:rsidR="0003045D" w:rsidRPr="003730B5" w:rsidRDefault="0003045D" w:rsidP="0011155F">
      <w:pPr>
        <w:pStyle w:val="Nadpis2"/>
        <w:keepLines/>
        <w:widowControl w:val="0"/>
        <w:numPr>
          <w:ilvl w:val="1"/>
          <w:numId w:val="28"/>
        </w:numPr>
        <w:shd w:val="clear" w:color="auto" w:fill="FFFFFF"/>
        <w:jc w:val="both"/>
        <w:rPr>
          <w:rFonts w:cs="Times New Roman"/>
        </w:rPr>
      </w:pPr>
      <w:r w:rsidRPr="003730B5">
        <w:rPr>
          <w:rFonts w:cs="Times New Roman"/>
        </w:rPr>
        <w:t>Zhodnocení souladu navrhované právní úpravy s mezinárodními smlouvami, jimiž je Česká republika vázána</w:t>
      </w:r>
    </w:p>
    <w:p w14:paraId="4AAAE76F" w14:textId="2EEA4539" w:rsidR="0003045D" w:rsidRPr="003730B5" w:rsidRDefault="0003045D" w:rsidP="00FA375F">
      <w:pPr>
        <w:widowControl w:val="0"/>
        <w:autoSpaceDE w:val="0"/>
        <w:autoSpaceDN w:val="0"/>
        <w:adjustRightInd w:val="0"/>
        <w:spacing w:after="120"/>
        <w:rPr>
          <w:rFonts w:eastAsia="Calibri"/>
          <w:lang w:eastAsia="en-US"/>
        </w:rPr>
      </w:pPr>
      <w:r w:rsidRPr="003730B5">
        <w:rPr>
          <w:rFonts w:eastAsia="Calibri"/>
          <w:lang w:eastAsia="en-US"/>
        </w:rPr>
        <w:t>Návrh zákona je plně v souladu s mezinárodními smlouvami, jimiž je Česká republika vázána, a dále s obecně uznávaným</w:t>
      </w:r>
      <w:r w:rsidR="008816E3" w:rsidRPr="003730B5">
        <w:rPr>
          <w:rFonts w:eastAsia="Calibri"/>
          <w:lang w:eastAsia="en-US"/>
        </w:rPr>
        <w:t>i zásadami mezinárodního práva.</w:t>
      </w:r>
    </w:p>
    <w:p w14:paraId="445A192B" w14:textId="77777777" w:rsidR="00FD3E44" w:rsidRPr="003730B5" w:rsidRDefault="00FA375F" w:rsidP="00FA375F">
      <w:pPr>
        <w:widowControl w:val="0"/>
        <w:spacing w:after="120"/>
      </w:pPr>
      <w:r w:rsidRPr="003730B5">
        <w:rPr>
          <w:szCs w:val="24"/>
        </w:rPr>
        <w:t>Vyhlášené mezinárodní smlouvy, k jejichž ratifikaci dal Parlament souhlas a jimiž je Česká republika vázána (tzv. prezidentské mezinárodní smlouvy), mají z hlediska hierarchie právních předpisů aplikační přednost před zákony a právními předpisy nižší právní síly. Vztah tzv. prezidentských mezinárodních smluv vůči vnitrostátním právním předpisům je vymezen v čl. 10 Ústavy, kde je princip aplikační přednosti těchto mezinárodních smluv výslovně stanoven. Stanoví-li tedy tzv. prezidentská mezinárodní smlouva něco jiného než zákon, použije se tato mezinárodní smlouva. Článek 10 Ústavy tak zaručuje, že při případném nesouladu vnitrostátního práva s tzv. prezidentskou mezinárodní smlouvou musí být respektována tzv. prezidentská mezinárodní smlouva. Mezinárodní smlouvy upravující daně přitom mají vždy povahu tzv. prezidentských mezinárodních smluv (čl. 49 písm. e) Ústavy ve spojení s čl. 11 odst. 5 Listiny). Ústavní soud navíc v nálezu publikovaném pod č. 403/2002 Sb. rozhodl, že si tehdy platné mezinárodní smlouvy o lidských právech a základních svobodách zachovávají hierarchickou přednost před zákonem.</w:t>
      </w:r>
      <w:r w:rsidR="00FD3E44" w:rsidRPr="003730B5">
        <w:t xml:space="preserve"> </w:t>
      </w:r>
    </w:p>
    <w:p w14:paraId="725C457E" w14:textId="2511E75F" w:rsidR="00FA375F" w:rsidRPr="003730B5" w:rsidRDefault="00FD3E44" w:rsidP="00FA375F">
      <w:pPr>
        <w:widowControl w:val="0"/>
        <w:spacing w:after="120"/>
      </w:pPr>
      <w:r w:rsidRPr="003730B5">
        <w:rPr>
          <w:szCs w:val="24"/>
        </w:rPr>
        <w:t xml:space="preserve">Česká republika je vázána dvoustrannými </w:t>
      </w:r>
      <w:r w:rsidR="00CA40A9" w:rsidRPr="003730B5">
        <w:rPr>
          <w:szCs w:val="24"/>
        </w:rPr>
        <w:t>a </w:t>
      </w:r>
      <w:r w:rsidRPr="003730B5">
        <w:rPr>
          <w:szCs w:val="24"/>
        </w:rPr>
        <w:t xml:space="preserve">mnohostrannými úmluvami rovněž </w:t>
      </w:r>
      <w:r w:rsidR="00CA40A9" w:rsidRPr="003730B5">
        <w:rPr>
          <w:szCs w:val="24"/>
        </w:rPr>
        <w:t>v </w:t>
      </w:r>
      <w:r w:rsidRPr="003730B5">
        <w:rPr>
          <w:szCs w:val="24"/>
        </w:rPr>
        <w:t xml:space="preserve">oblasti práva sociálního zabezpečení. Mezi mnohostranné úmluvy patří Úmluva Mezinárodní organizace práce </w:t>
      </w:r>
      <w:r w:rsidR="00CA40A9" w:rsidRPr="003730B5">
        <w:rPr>
          <w:szCs w:val="24"/>
        </w:rPr>
        <w:t>č. </w:t>
      </w:r>
      <w:r w:rsidRPr="003730B5">
        <w:rPr>
          <w:szCs w:val="24"/>
        </w:rPr>
        <w:t xml:space="preserve">102 </w:t>
      </w:r>
      <w:r w:rsidR="00CA40A9" w:rsidRPr="003730B5">
        <w:rPr>
          <w:szCs w:val="24"/>
        </w:rPr>
        <w:t>o </w:t>
      </w:r>
      <w:r w:rsidRPr="003730B5">
        <w:rPr>
          <w:szCs w:val="24"/>
        </w:rPr>
        <w:t xml:space="preserve">minimálních standardech sociálního zabezpečení, nebo Evropský zákoník sociálního zabezpečení. Návrh zákona je </w:t>
      </w:r>
      <w:r w:rsidR="00CA40A9" w:rsidRPr="003730B5">
        <w:rPr>
          <w:szCs w:val="24"/>
        </w:rPr>
        <w:t>s </w:t>
      </w:r>
      <w:r w:rsidRPr="003730B5">
        <w:rPr>
          <w:szCs w:val="24"/>
        </w:rPr>
        <w:t xml:space="preserve">těmito mezinárodními smlouvami plně </w:t>
      </w:r>
      <w:r w:rsidR="00CA40A9" w:rsidRPr="003730B5">
        <w:rPr>
          <w:szCs w:val="24"/>
        </w:rPr>
        <w:t>v </w:t>
      </w:r>
      <w:r w:rsidRPr="003730B5">
        <w:rPr>
          <w:szCs w:val="24"/>
        </w:rPr>
        <w:t>souladu.</w:t>
      </w:r>
    </w:p>
    <w:p w14:paraId="58E2E50A" w14:textId="52BEEC63" w:rsidR="00FA375F" w:rsidRPr="003730B5" w:rsidRDefault="00FA375F" w:rsidP="0011155F">
      <w:pPr>
        <w:pStyle w:val="Nadpis2"/>
        <w:widowControl w:val="0"/>
        <w:numPr>
          <w:ilvl w:val="2"/>
          <w:numId w:val="28"/>
        </w:numPr>
        <w:shd w:val="clear" w:color="auto" w:fill="FFFFFF"/>
        <w:tabs>
          <w:tab w:val="left" w:pos="567"/>
        </w:tabs>
        <w:jc w:val="both"/>
        <w:rPr>
          <w:sz w:val="28"/>
        </w:rPr>
      </w:pPr>
      <w:r w:rsidRPr="003730B5">
        <w:rPr>
          <w:sz w:val="28"/>
        </w:rPr>
        <w:t>Úmluva o ochraně lidských práv a základních svobod</w:t>
      </w:r>
    </w:p>
    <w:p w14:paraId="13798AA0" w14:textId="2A916B6F" w:rsidR="00FA375F" w:rsidRPr="003730B5" w:rsidRDefault="00FA375F" w:rsidP="00FA375F">
      <w:pPr>
        <w:widowControl w:val="0"/>
        <w:autoSpaceDE w:val="0"/>
        <w:autoSpaceDN w:val="0"/>
        <w:adjustRightInd w:val="0"/>
        <w:spacing w:after="120"/>
        <w:rPr>
          <w:rFonts w:eastAsia="Calibri"/>
          <w:lang w:eastAsia="en-US"/>
        </w:rPr>
      </w:pPr>
      <w:r w:rsidRPr="003730B5">
        <w:rPr>
          <w:rFonts w:eastAsia="Calibri"/>
          <w:lang w:eastAsia="en-US"/>
        </w:rPr>
        <w:t>Pokud jde o aplikaci Úmluvy o ochraně lidských práv a základních svobod (</w:t>
      </w:r>
      <w:r w:rsidR="006304BD" w:rsidRPr="003730B5">
        <w:rPr>
          <w:rFonts w:eastAsia="Calibri"/>
          <w:lang w:eastAsia="en-US"/>
        </w:rPr>
        <w:t>sdělení č. 209/1992 Sb. federálního ministerstva zahraničních věcí)</w:t>
      </w:r>
      <w:r w:rsidRPr="003730B5">
        <w:rPr>
          <w:rFonts w:eastAsia="Calibri"/>
          <w:lang w:eastAsia="en-US"/>
        </w:rPr>
        <w:t xml:space="preserve"> </w:t>
      </w:r>
      <w:r w:rsidR="006304BD" w:rsidRPr="003730B5">
        <w:rPr>
          <w:rFonts w:eastAsia="Calibri"/>
          <w:lang w:eastAsia="en-US"/>
        </w:rPr>
        <w:t>(</w:t>
      </w:r>
      <w:r w:rsidRPr="003730B5">
        <w:rPr>
          <w:rFonts w:eastAsia="Calibri"/>
          <w:lang w:eastAsia="en-US"/>
        </w:rPr>
        <w:t xml:space="preserve">dále </w:t>
      </w:r>
      <w:r w:rsidR="005E198B" w:rsidRPr="003730B5">
        <w:rPr>
          <w:rFonts w:eastAsia="Calibri"/>
          <w:lang w:eastAsia="en-US"/>
        </w:rPr>
        <w:t>též</w:t>
      </w:r>
      <w:r w:rsidRPr="003730B5">
        <w:rPr>
          <w:rFonts w:eastAsia="Calibri"/>
          <w:lang w:eastAsia="en-US"/>
        </w:rPr>
        <w:t xml:space="preserve"> „Úmluva“) v oblasti daní, poplatků a jiných obdobných peněžitých plnění plynoucích do veřejných rozpočtů, je třeba zajistit soulad daňových předpisů s touto </w:t>
      </w:r>
      <w:r w:rsidR="005D7B6F" w:rsidRPr="003730B5">
        <w:rPr>
          <w:rFonts w:eastAsia="Calibri"/>
          <w:lang w:eastAsia="en-US"/>
        </w:rPr>
        <w:t>Ú</w:t>
      </w:r>
      <w:r w:rsidRPr="003730B5">
        <w:rPr>
          <w:rFonts w:eastAsia="Calibri"/>
          <w:lang w:eastAsia="en-US"/>
        </w:rPr>
        <w:t>mluvou hned v několika oblastech.</w:t>
      </w:r>
    </w:p>
    <w:p w14:paraId="38C7D55F" w14:textId="1C28FA4B" w:rsidR="00FA375F" w:rsidRPr="003730B5" w:rsidRDefault="00FA375F" w:rsidP="00D16775">
      <w:pPr>
        <w:pStyle w:val="Nadpis3"/>
        <w:numPr>
          <w:ilvl w:val="2"/>
          <w:numId w:val="42"/>
        </w:numPr>
        <w:jc w:val="both"/>
        <w:rPr>
          <w:i/>
          <w:sz w:val="24"/>
        </w:rPr>
      </w:pPr>
      <w:r w:rsidRPr="003730B5">
        <w:rPr>
          <w:i/>
          <w:sz w:val="24"/>
        </w:rPr>
        <w:t>Právo na spravedlivý proces</w:t>
      </w:r>
    </w:p>
    <w:p w14:paraId="65516EA8" w14:textId="77777777" w:rsidR="00FA375F" w:rsidRPr="003730B5" w:rsidRDefault="00FA375F" w:rsidP="00FA375F">
      <w:pPr>
        <w:widowControl w:val="0"/>
        <w:autoSpaceDE w:val="0"/>
        <w:autoSpaceDN w:val="0"/>
        <w:adjustRightInd w:val="0"/>
        <w:spacing w:after="120"/>
        <w:rPr>
          <w:rFonts w:eastAsia="Calibri"/>
          <w:lang w:eastAsia="en-US"/>
        </w:rPr>
      </w:pPr>
      <w:r w:rsidRPr="003730B5">
        <w:rPr>
          <w:rFonts w:eastAsia="Calibri"/>
          <w:lang w:eastAsia="en-US"/>
        </w:rPr>
        <w:t xml:space="preserve">Pokud jde o zajištění práva na spravedlivý proces, které je zaručeno ustanovením čl. 6 odst. 1 Úmluvy, lze poukázat na rozsudek Evropského soudu pro lidská práva ve věci </w:t>
      </w:r>
      <w:r w:rsidRPr="003730B5">
        <w:rPr>
          <w:rFonts w:eastAsia="Calibri"/>
          <w:i/>
          <w:lang w:eastAsia="en-US"/>
        </w:rPr>
        <w:t>Ferrazzini proti Itálii</w:t>
      </w:r>
      <w:r w:rsidRPr="003730B5">
        <w:rPr>
          <w:rFonts w:eastAsia="Calibri"/>
          <w:lang w:eastAsia="en-US"/>
        </w:rPr>
        <w:t xml:space="preserve">. Podle tohoto rozhodnutí daňové záležitosti dosud tvoří součást tvrdého jádra výsad veřejné moci, přičemž veřejný charakter vztahu mezi daňovým poplatníkem a daňovým úřadem nadále převládá. Ustanovení čl. 6 odst. 1 Úmluvy se tak podle názoru Evropského soudu pro lidská práva na samotné daňové řízení v rozsahu, v němž se týká zjištění a stanovení daně, nevztahuje, neboť se nejedná o řízení o občanských právech a závazcích. </w:t>
      </w:r>
    </w:p>
    <w:p w14:paraId="000F1860" w14:textId="12842FE8" w:rsidR="00FA375F" w:rsidRPr="003730B5" w:rsidRDefault="00FA375F" w:rsidP="00FA375F">
      <w:pPr>
        <w:widowControl w:val="0"/>
        <w:autoSpaceDE w:val="0"/>
        <w:autoSpaceDN w:val="0"/>
        <w:adjustRightInd w:val="0"/>
        <w:spacing w:after="120"/>
        <w:rPr>
          <w:rFonts w:eastAsia="Calibri"/>
          <w:lang w:eastAsia="en-US"/>
        </w:rPr>
      </w:pPr>
      <w:r w:rsidRPr="003730B5">
        <w:rPr>
          <w:rFonts w:eastAsia="Calibri"/>
          <w:lang w:eastAsia="en-US"/>
        </w:rPr>
        <w:t xml:space="preserve">Jelikož však za nedodržení daňových povinností hrozí daňovému subjektu sankce, na hmotněprávní i procesní aspekty s ní související se použijí ustanovení Úmluvy, která se vztahují na trestní obvinění. Je proto třeba při posuzování souladu navrhované právní úpravy v oblasti daňových předpisů s Úmluvou přihlédnout i k trestním aspektům článku 6, ale i k článku 7 Úmluvy nebo k článku 2 a 4 Protokolu č. 7 k Úmluvě. Tento přístup byl potvrzen i Evropským soudem pro lidská práva např. v rozsudku ve věci </w:t>
      </w:r>
      <w:r w:rsidRPr="003730B5">
        <w:rPr>
          <w:rFonts w:eastAsia="Calibri"/>
          <w:i/>
          <w:lang w:eastAsia="en-US"/>
        </w:rPr>
        <w:t>Jussila proti Finsku</w:t>
      </w:r>
      <w:r w:rsidRPr="003730B5">
        <w:rPr>
          <w:rFonts w:eastAsia="Calibri"/>
          <w:lang w:eastAsia="en-US"/>
        </w:rPr>
        <w:t xml:space="preserve">. Článek 6 odst. 1 Úmluvy sice hovoří o trestním obvinění, nikoliv o řízení o uložení sankce za nesplnění povinnosti, jde však o autonomní pojem práva Úmluvy, který může mít (a také má) </w:t>
      </w:r>
      <w:r w:rsidRPr="003730B5">
        <w:rPr>
          <w:rFonts w:eastAsia="Calibri"/>
          <w:lang w:eastAsia="en-US"/>
        </w:rPr>
        <w:lastRenderedPageBreak/>
        <w:t>jiný obsah než obdobný pojem vnitrostátního práva. Slučitelnost s tímto, ale i dalšími ustanoveními Úmluvy, zejména s požadavkem na uložení trestu (v tomto případě sankce) jen na základě zákona nebo na právo nebýt souzen nebo potrestán (sankciován) dvakrát v téže věci, je přitom zajištěna možností daňového subjektu bránit se takovému jednání jako nesprávnému postupu správce daně obdobně, jak je popsáno ve smyslu ochrany proti svévoli dle článku 1 Protokolu č. 1 Úmluvy. Jedná se tedy jak o využití řádných i mimořádných opravných prostředků, tak o možnost domoci se soudní ochrany ve správním soudnictví v případě, že dojde k vyčerpání všech opravných prostředků podle daňového řádu. Daňový subjekt se tedy může obrátit na soud s žalobou proti rozhodnutí správního orgánu podle § 65 a násl. soudní</w:t>
      </w:r>
      <w:r w:rsidR="00BD5818" w:rsidRPr="003730B5">
        <w:rPr>
          <w:rFonts w:eastAsia="Calibri"/>
          <w:lang w:eastAsia="en-US"/>
        </w:rPr>
        <w:t>ho</w:t>
      </w:r>
      <w:r w:rsidRPr="003730B5">
        <w:rPr>
          <w:rFonts w:eastAsia="Calibri"/>
          <w:lang w:eastAsia="en-US"/>
        </w:rPr>
        <w:t xml:space="preserve"> řád</w:t>
      </w:r>
      <w:r w:rsidR="00BD5818" w:rsidRPr="003730B5">
        <w:rPr>
          <w:rFonts w:eastAsia="Calibri"/>
          <w:lang w:eastAsia="en-US"/>
        </w:rPr>
        <w:t>u</w:t>
      </w:r>
      <w:r w:rsidRPr="003730B5">
        <w:rPr>
          <w:rFonts w:eastAsia="Calibri"/>
          <w:lang w:eastAsia="en-US"/>
        </w:rPr>
        <w:t xml:space="preserve"> správní</w:t>
      </w:r>
      <w:r w:rsidR="00BD5818" w:rsidRPr="003730B5">
        <w:rPr>
          <w:rFonts w:eastAsia="Calibri"/>
          <w:lang w:eastAsia="en-US"/>
        </w:rPr>
        <w:t>ho</w:t>
      </w:r>
      <w:r w:rsidRPr="003730B5">
        <w:rPr>
          <w:rFonts w:eastAsia="Calibri"/>
          <w:lang w:eastAsia="en-US"/>
        </w:rPr>
        <w:t xml:space="preserve">, ve znění pozdějších předpisů. Takové soudní řízení přitom v zásadě respektuje základní principy uvedené v článku 6 Úmluvy. </w:t>
      </w:r>
    </w:p>
    <w:p w14:paraId="5E26B938" w14:textId="77777777" w:rsidR="00FA375F" w:rsidRPr="003730B5" w:rsidRDefault="00FA375F" w:rsidP="00FA375F">
      <w:pPr>
        <w:widowControl w:val="0"/>
        <w:spacing w:after="120"/>
        <w:rPr>
          <w:rFonts w:eastAsia="Calibri"/>
          <w:lang w:eastAsia="en-US"/>
        </w:rPr>
      </w:pPr>
      <w:r w:rsidRPr="003730B5">
        <w:rPr>
          <w:rFonts w:eastAsia="Calibri"/>
          <w:lang w:eastAsia="en-US"/>
        </w:rPr>
        <w:t>Navrhovaná právní úprava nijak neomezuje možnost domoci se soudní ochrany, která proto zůstává i v tomto případě zajištěna. Lze tedy říci, že navrhovaná právní úprava je v souladu s požadavkem Úmluvy na zajištění práva na spravedlivý proces.</w:t>
      </w:r>
    </w:p>
    <w:p w14:paraId="2A4E62A4" w14:textId="77777777" w:rsidR="00FA375F" w:rsidRPr="003730B5" w:rsidRDefault="00FA375F" w:rsidP="00D16775">
      <w:pPr>
        <w:pStyle w:val="Nadpis3"/>
        <w:numPr>
          <w:ilvl w:val="2"/>
          <w:numId w:val="42"/>
        </w:numPr>
        <w:jc w:val="both"/>
        <w:rPr>
          <w:i/>
          <w:sz w:val="24"/>
        </w:rPr>
      </w:pPr>
      <w:r w:rsidRPr="003730B5">
        <w:rPr>
          <w:i/>
          <w:sz w:val="24"/>
        </w:rPr>
        <w:t xml:space="preserve">Ochrana majetku </w:t>
      </w:r>
    </w:p>
    <w:p w14:paraId="1C2B0639" w14:textId="38A2E389" w:rsidR="00FA375F" w:rsidRPr="003730B5" w:rsidRDefault="00FA375F" w:rsidP="00FA375F">
      <w:pPr>
        <w:widowControl w:val="0"/>
        <w:autoSpaceDE w:val="0"/>
        <w:autoSpaceDN w:val="0"/>
        <w:adjustRightInd w:val="0"/>
        <w:spacing w:after="120"/>
        <w:rPr>
          <w:rFonts w:eastAsia="Calibri"/>
        </w:rPr>
      </w:pPr>
      <w:r w:rsidRPr="003730B5">
        <w:rPr>
          <w:rFonts w:eastAsia="Calibri"/>
        </w:rPr>
        <w:t xml:space="preserve">Z výše uvedeného rozhodnutí ve věci </w:t>
      </w:r>
      <w:r w:rsidRPr="003730B5">
        <w:rPr>
          <w:rFonts w:eastAsia="Calibri"/>
          <w:i/>
        </w:rPr>
        <w:t>Ferrazzini proti Itálii</w:t>
      </w:r>
      <w:r w:rsidRPr="003730B5">
        <w:rPr>
          <w:rFonts w:eastAsia="Calibri"/>
        </w:rPr>
        <w:t xml:space="preserve"> dále vyplývá, že článek 1 Protokolu č. 1, týkající se ochrany majetku, vyhrazuje státům právo přijímat zákony, které považují za</w:t>
      </w:r>
      <w:r w:rsidR="00817366" w:rsidRPr="003730B5">
        <w:rPr>
          <w:rFonts w:eastAsia="Calibri"/>
        </w:rPr>
        <w:t> </w:t>
      </w:r>
      <w:r w:rsidRPr="003730B5">
        <w:rPr>
          <w:rFonts w:eastAsia="Calibri"/>
        </w:rPr>
        <w:t>nezbytné, aby upravily užívání majetku v souladu s obecným zájmem a zajistily placení daní. Státům je tedy umožněno přijmout zákony, kterými ukládají povinnost platit daně, poplatky a jiná obdobná peněžitá plnění, avšak s určitým omezením vyplývajícím z požadavku na respektování samotné podstaty vlastnického práva, do kterého je uložením daně, poplatku nebo jiného obdobného peněžitého plnění zasahováno. Takový zásah do vlastnického práva proto musí odpovídat požadavkům zákonnosti, legitimity a proporcionality.</w:t>
      </w:r>
    </w:p>
    <w:p w14:paraId="399A679D" w14:textId="77777777" w:rsidR="00FA375F" w:rsidRPr="003730B5" w:rsidRDefault="00FA375F" w:rsidP="00FA375F">
      <w:pPr>
        <w:widowControl w:val="0"/>
        <w:autoSpaceDE w:val="0"/>
        <w:autoSpaceDN w:val="0"/>
        <w:adjustRightInd w:val="0"/>
        <w:spacing w:after="120"/>
        <w:rPr>
          <w:rFonts w:eastAsia="Calibri"/>
        </w:rPr>
      </w:pPr>
      <w:r w:rsidRPr="003730B5">
        <w:rPr>
          <w:rFonts w:eastAsia="Calibri"/>
        </w:rPr>
        <w:t xml:space="preserve">Požadavek </w:t>
      </w:r>
      <w:r w:rsidRPr="003730B5">
        <w:rPr>
          <w:rFonts w:eastAsia="Calibri"/>
          <w:b/>
        </w:rPr>
        <w:t>zákonnosti</w:t>
      </w:r>
      <w:r w:rsidRPr="003730B5">
        <w:rPr>
          <w:rFonts w:eastAsia="Calibri"/>
        </w:rPr>
        <w:t xml:space="preserve"> je naplněn tehdy, pokud je zásah umožněn právním předpisem, který je v souladu s ústavním pořádkem, je dostupný, předvídatelný a obsahuje záruky proti svévoli. </w:t>
      </w:r>
    </w:p>
    <w:p w14:paraId="7385C0A2" w14:textId="51935CEC" w:rsidR="00FA375F" w:rsidRPr="003730B5" w:rsidRDefault="00FA375F" w:rsidP="00D16775">
      <w:pPr>
        <w:widowControl w:val="0"/>
        <w:numPr>
          <w:ilvl w:val="0"/>
          <w:numId w:val="41"/>
        </w:numPr>
        <w:autoSpaceDE w:val="0"/>
        <w:autoSpaceDN w:val="0"/>
        <w:adjustRightInd w:val="0"/>
        <w:spacing w:after="120"/>
        <w:rPr>
          <w:szCs w:val="24"/>
        </w:rPr>
      </w:pPr>
      <w:r w:rsidRPr="003730B5">
        <w:rPr>
          <w:szCs w:val="24"/>
        </w:rPr>
        <w:t xml:space="preserve">Posouzení </w:t>
      </w:r>
      <w:r w:rsidRPr="003730B5">
        <w:rPr>
          <w:b/>
          <w:szCs w:val="24"/>
        </w:rPr>
        <w:t>ústavnosti</w:t>
      </w:r>
      <w:r w:rsidRPr="003730B5">
        <w:rPr>
          <w:szCs w:val="24"/>
        </w:rPr>
        <w:t xml:space="preserve"> navrhované právní úpravy je provedeno v bodu </w:t>
      </w:r>
      <w:r w:rsidR="00DB79A7" w:rsidRPr="003730B5">
        <w:rPr>
          <w:szCs w:val="24"/>
        </w:rPr>
        <w:t>2</w:t>
      </w:r>
      <w:r w:rsidRPr="003730B5">
        <w:rPr>
          <w:szCs w:val="24"/>
        </w:rPr>
        <w:t xml:space="preserve">. Z hlediska Úmluvy přitom hraje roli jen zjevná neústavnost, případně neústavnost potvrzená příslušným orgánem (Ústavním soudem), jehož rozhodnutí nejsou právním předpisem respektována (viz rozsudek Evropského soudu pro lidská práva </w:t>
      </w:r>
      <w:r w:rsidRPr="003730B5">
        <w:rPr>
          <w:i/>
          <w:szCs w:val="24"/>
        </w:rPr>
        <w:t>R &amp; L, s. r. o., a ostatní proti České republice</w:t>
      </w:r>
      <w:r w:rsidRPr="003730B5">
        <w:rPr>
          <w:szCs w:val="24"/>
        </w:rPr>
        <w:t>).</w:t>
      </w:r>
    </w:p>
    <w:p w14:paraId="6D3BF571" w14:textId="77777777" w:rsidR="00FA375F" w:rsidRPr="003730B5" w:rsidRDefault="00FA375F" w:rsidP="00D16775">
      <w:pPr>
        <w:widowControl w:val="0"/>
        <w:numPr>
          <w:ilvl w:val="0"/>
          <w:numId w:val="41"/>
        </w:numPr>
        <w:autoSpaceDE w:val="0"/>
        <w:autoSpaceDN w:val="0"/>
        <w:adjustRightInd w:val="0"/>
        <w:spacing w:after="120"/>
        <w:ind w:left="714" w:hanging="357"/>
        <w:rPr>
          <w:szCs w:val="24"/>
        </w:rPr>
      </w:pPr>
      <w:r w:rsidRPr="003730B5">
        <w:rPr>
          <w:b/>
          <w:szCs w:val="24"/>
        </w:rPr>
        <w:t>Dostupnost</w:t>
      </w:r>
      <w:r w:rsidRPr="003730B5">
        <w:rPr>
          <w:szCs w:val="24"/>
        </w:rPr>
        <w:t xml:space="preserve"> daňových předpisů (v širokém slova smyslu) je zajištěna vyhlášením ve Sbírce zákonů. Vzhledem ke skutečnosti, že daně a poplatky (resp. jiná obdobná peněžitá plnění) lze ukládat pouze na základě zákona, což je zaručeno i na ústavní úrovni čl. 11 odst. 5 Listiny, resp. čl. 4 odst. 1 Listiny, lze konstatovat, že všechny základní povinnosti daňového subjektu jsou dnes upraveny na zákonné úrovni, a požadavek dostupnosti je tudíž naplněn. </w:t>
      </w:r>
    </w:p>
    <w:p w14:paraId="3043F427" w14:textId="77777777" w:rsidR="00FA375F" w:rsidRPr="003730B5" w:rsidRDefault="00FA375F" w:rsidP="00D16775">
      <w:pPr>
        <w:widowControl w:val="0"/>
        <w:numPr>
          <w:ilvl w:val="0"/>
          <w:numId w:val="41"/>
        </w:numPr>
        <w:autoSpaceDE w:val="0"/>
        <w:autoSpaceDN w:val="0"/>
        <w:adjustRightInd w:val="0"/>
        <w:spacing w:after="120"/>
        <w:ind w:left="714" w:hanging="357"/>
        <w:rPr>
          <w:szCs w:val="24"/>
        </w:rPr>
      </w:pPr>
      <w:r w:rsidRPr="003730B5">
        <w:rPr>
          <w:szCs w:val="24"/>
        </w:rPr>
        <w:t xml:space="preserve">Otázka </w:t>
      </w:r>
      <w:r w:rsidRPr="003730B5">
        <w:rPr>
          <w:b/>
          <w:szCs w:val="24"/>
        </w:rPr>
        <w:t>předvídatelnosti</w:t>
      </w:r>
      <w:r w:rsidRPr="003730B5">
        <w:rPr>
          <w:szCs w:val="24"/>
        </w:rPr>
        <w:t xml:space="preserve"> tuzemských daňových předpisů (v širokém slova smyslu) byla v minulosti opakovaně řešena Evropským soudem pro lidská práva (např. </w:t>
      </w:r>
      <w:r w:rsidRPr="003730B5">
        <w:rPr>
          <w:i/>
          <w:szCs w:val="24"/>
        </w:rPr>
        <w:t>AGRO-B, spol. s r. o., proti České republice nebo CBC-Union, s. r. o., proti České republice</w:t>
      </w:r>
      <w:r w:rsidRPr="003730B5">
        <w:rPr>
          <w:szCs w:val="24"/>
        </w:rPr>
        <w:t>), kde byla jejich předvídatelnost potvrzena. Předvídatelnost daňového předpisu souvisí s tím, nakolik je povinnost v právním textu jednoznačně formulována. Navrhovaná úprava formuluje požadavky na jednotlivé daňové subjekty jednoznačně, a tedy i požadavek předvídatelnosti je naplněn.</w:t>
      </w:r>
    </w:p>
    <w:p w14:paraId="39FA38A3" w14:textId="08B31165" w:rsidR="00FA375F" w:rsidRPr="003730B5" w:rsidRDefault="00FA375F" w:rsidP="00D16775">
      <w:pPr>
        <w:widowControl w:val="0"/>
        <w:numPr>
          <w:ilvl w:val="0"/>
          <w:numId w:val="41"/>
        </w:numPr>
        <w:spacing w:after="120"/>
        <w:rPr>
          <w:rFonts w:eastAsia="Calibri"/>
        </w:rPr>
      </w:pPr>
      <w:r w:rsidRPr="003730B5">
        <w:rPr>
          <w:b/>
          <w:szCs w:val="24"/>
        </w:rPr>
        <w:t xml:space="preserve">Záruku proti svévoli </w:t>
      </w:r>
      <w:r w:rsidRPr="003730B5">
        <w:rPr>
          <w:szCs w:val="24"/>
        </w:rPr>
        <w:t>a účinnou obranu proti nesprávnému postupu správce daně představují primárně řádné opravné prostředky, tedy odvolání</w:t>
      </w:r>
      <w:r w:rsidR="00DB79A7" w:rsidRPr="003730B5">
        <w:rPr>
          <w:szCs w:val="24"/>
        </w:rPr>
        <w:t>,</w:t>
      </w:r>
      <w:r w:rsidRPr="003730B5">
        <w:rPr>
          <w:szCs w:val="24"/>
        </w:rPr>
        <w:t xml:space="preserve"> popř. rozklad podle ustanovení § 109 a násl. daňového řádu. Povinností správce daně je přitom v souladu </w:t>
      </w:r>
      <w:r w:rsidRPr="003730B5">
        <w:rPr>
          <w:szCs w:val="24"/>
        </w:rPr>
        <w:lastRenderedPageBreak/>
        <w:t xml:space="preserve">s ustanovením § 102 odst. 1 písm. f) daňového řádu uvést ve svém rozhodnutí poučení o tom, zda je možné proti danému rozhodnutí podat zejména odvolání, v jaké lhůtě je tak možno učinit, u kterého správce daně se odvolání podává a zároveň upozornit na případné vyloučení odkladného účinku. Pokud by toto poučení bylo nesprávné, neúplné nebo by zcela chybělo, je to spojeno s důsledky </w:t>
      </w:r>
      <w:r w:rsidRPr="003730B5">
        <w:rPr>
          <w:i/>
          <w:szCs w:val="24"/>
        </w:rPr>
        <w:t>pro bono</w:t>
      </w:r>
      <w:r w:rsidRPr="003730B5">
        <w:rPr>
          <w:szCs w:val="24"/>
        </w:rPr>
        <w:t xml:space="preserve"> daného daňového subjektu (srov. </w:t>
      </w:r>
      <w:r w:rsidR="00E712DE" w:rsidRPr="003730B5">
        <w:rPr>
          <w:szCs w:val="24"/>
        </w:rPr>
        <w:t>§ </w:t>
      </w:r>
      <w:r w:rsidR="005A2E48" w:rsidRPr="003730B5">
        <w:rPr>
          <w:szCs w:val="24"/>
        </w:rPr>
        <w:t xml:space="preserve">110 odst. </w:t>
      </w:r>
      <w:r w:rsidR="00E712DE" w:rsidRPr="003730B5">
        <w:rPr>
          <w:szCs w:val="24"/>
        </w:rPr>
        <w:t>1 </w:t>
      </w:r>
      <w:r w:rsidRPr="003730B5">
        <w:rPr>
          <w:szCs w:val="24"/>
        </w:rPr>
        <w:t>daňového řádu). Vedle řádných opravných prostředků lze využít i mimořádných opravných prostředků dle daňového řádu, upravených v § 117 a násl. Kromě toho připouští daňový řád i jiné prostředky ochrany, kterými je třeba rozumět: námitku (srov. § 159 daňového řádu), stížnost (srov. § 261 daňového řádu) a podnět na nečinnost (srov. § 38 daňového řádu). Teprve tehdy, dojde-li k vyčerpání všech opravných prostředků podle daňového řádu, může se daňový subjekt obrátit na</w:t>
      </w:r>
      <w:r w:rsidR="005A2E48" w:rsidRPr="003730B5">
        <w:rPr>
          <w:szCs w:val="24"/>
        </w:rPr>
        <w:t> </w:t>
      </w:r>
      <w:r w:rsidRPr="003730B5">
        <w:rPr>
          <w:szCs w:val="24"/>
        </w:rPr>
        <w:t>soud s žalobou proti rozhodnutí správního orgánu. Riziko svévole je tak díky existenci opravných prostředků, ale i díky možnosti obrátit se na soud eliminováno v nejvyšší možné míře, což platí obecně pro všechny daňové předpisy. Lze tedy konstatovat, že navrhovaná právní úprava nemění možnost daňových subjektů využít opravných prostředků, a tím je zajištěna slučitelnost návrhu úpravy s tímto požadavkem Úmluvy.</w:t>
      </w:r>
    </w:p>
    <w:p w14:paraId="4F5B8F18" w14:textId="614F6630" w:rsidR="00FA375F" w:rsidRPr="003730B5" w:rsidRDefault="00FA375F" w:rsidP="00FA375F">
      <w:pPr>
        <w:widowControl w:val="0"/>
        <w:autoSpaceDE w:val="0"/>
        <w:autoSpaceDN w:val="0"/>
        <w:adjustRightInd w:val="0"/>
        <w:spacing w:after="120"/>
        <w:rPr>
          <w:rFonts w:eastAsia="Calibri"/>
        </w:rPr>
      </w:pPr>
      <w:r w:rsidRPr="003730B5">
        <w:rPr>
          <w:rFonts w:eastAsia="Calibri"/>
        </w:rPr>
        <w:t xml:space="preserve">Požadavek </w:t>
      </w:r>
      <w:r w:rsidRPr="003730B5">
        <w:rPr>
          <w:rFonts w:eastAsia="Calibri"/>
          <w:b/>
        </w:rPr>
        <w:t>legitimity</w:t>
      </w:r>
      <w:r w:rsidRPr="003730B5">
        <w:rPr>
          <w:rFonts w:eastAsia="Calibri"/>
        </w:rPr>
        <w:t xml:space="preserve"> znamená, že je nezbytné zajistit, aby zásah, ke kterému má na základě právního předpisu dojít, sledoval legitimní cíle ve veřejném nebo obecném zájmu. Aby byl požadavek legitimity naplněn, je třeba tyto cíle specifikovat. Cíle návrhu zákona jsou popsány v této důvodové zprávě</w:t>
      </w:r>
      <w:r w:rsidR="00CD090B" w:rsidRPr="003730B5">
        <w:rPr>
          <w:rFonts w:eastAsia="Calibri"/>
        </w:rPr>
        <w:t>, resp. v Závěrečné zprávě z hodnocení dopadu regulace (RIA)</w:t>
      </w:r>
      <w:r w:rsidRPr="003730B5">
        <w:rPr>
          <w:rFonts w:eastAsia="Calibri"/>
        </w:rPr>
        <w:t xml:space="preserve">, přičemž z tohoto popisu vyplývá i jejich legitimní charakter. </w:t>
      </w:r>
    </w:p>
    <w:p w14:paraId="068D694F" w14:textId="306ED284" w:rsidR="00FA375F" w:rsidRPr="003730B5" w:rsidRDefault="00FA375F" w:rsidP="00FA375F">
      <w:pPr>
        <w:widowControl w:val="0"/>
        <w:autoSpaceDE w:val="0"/>
        <w:autoSpaceDN w:val="0"/>
        <w:adjustRightInd w:val="0"/>
        <w:spacing w:after="120"/>
        <w:rPr>
          <w:rFonts w:eastAsia="Calibri"/>
          <w:lang w:eastAsia="en-US"/>
        </w:rPr>
      </w:pPr>
      <w:r w:rsidRPr="003730B5">
        <w:rPr>
          <w:rFonts w:eastAsia="Calibri"/>
          <w:b/>
        </w:rPr>
        <w:t>Proporcionalita (přiměřenost)</w:t>
      </w:r>
      <w:r w:rsidRPr="003730B5">
        <w:rPr>
          <w:rFonts w:eastAsia="Calibri"/>
        </w:rPr>
        <w:t xml:space="preserve"> jako poslední požadavek se na poli čl. 1 Protokolu č. 1 váže k tomu, že jednotlivec nesmí být nucen nést nadměrné individuální břemeno, typicky takové, které ohrožuje samotnou jeho existenci v rovině majetkových poměrů (hrozba ukončení podnikání či úpadku u právnické nebo fyzické osoby), včetně zabezpečování obživy pro sebe a pro rodinu v případě fyzické osoby. Sazby daní, poplatků a jiných obdobných peněžitých plnění, stejně jako výše případných pokut, by proto neměly být likvidační (viz </w:t>
      </w:r>
      <w:r w:rsidRPr="003730B5">
        <w:rPr>
          <w:rFonts w:eastAsia="Calibri"/>
          <w:i/>
        </w:rPr>
        <w:t>Mikrotechna, s. r. o., proti České republice, nebo ORION Břeclav, s. r. o., proti České republice</w:t>
      </w:r>
      <w:r w:rsidRPr="003730B5">
        <w:rPr>
          <w:rFonts w:eastAsia="Calibri"/>
        </w:rPr>
        <w:t xml:space="preserve">). To, zda navrhovaná právní úprava nepovede k tzv. škrtícímu (rdousícímu) efektu, je přitom třeba posuzovat i ve vztahu k ústavnímu pořádku (viz bod </w:t>
      </w:r>
      <w:r w:rsidR="005D7B6F" w:rsidRPr="003730B5">
        <w:rPr>
          <w:rFonts w:eastAsia="Calibri"/>
        </w:rPr>
        <w:t>2</w:t>
      </w:r>
      <w:r w:rsidRPr="003730B5">
        <w:rPr>
          <w:rFonts w:eastAsia="Calibri"/>
        </w:rPr>
        <w:t>). S ohledem na charakter navrhovaných opatření nelze ve vztahu k tomuto návrhu zákona hovořit o rdousícím účinku.</w:t>
      </w:r>
    </w:p>
    <w:p w14:paraId="7A0DAA27" w14:textId="77777777" w:rsidR="00FA375F" w:rsidRPr="003730B5" w:rsidRDefault="00FA375F" w:rsidP="00D16775">
      <w:pPr>
        <w:pStyle w:val="Nadpis3"/>
        <w:numPr>
          <w:ilvl w:val="2"/>
          <w:numId w:val="42"/>
        </w:numPr>
        <w:jc w:val="both"/>
        <w:rPr>
          <w:i/>
          <w:sz w:val="24"/>
        </w:rPr>
      </w:pPr>
      <w:bookmarkStart w:id="5" w:name="_Ref507683535"/>
      <w:r w:rsidRPr="003730B5">
        <w:rPr>
          <w:i/>
          <w:sz w:val="24"/>
        </w:rPr>
        <w:t>Zákaz diskriminace</w:t>
      </w:r>
      <w:bookmarkEnd w:id="5"/>
    </w:p>
    <w:p w14:paraId="79458BAE" w14:textId="77777777" w:rsidR="00FA375F" w:rsidRPr="003730B5" w:rsidRDefault="00FA375F" w:rsidP="00FA375F">
      <w:pPr>
        <w:widowControl w:val="0"/>
        <w:spacing w:after="120"/>
      </w:pPr>
      <w:r w:rsidRPr="003730B5">
        <w:t>Zákaz diskriminace vyjádřený v článku 14 Úmluvy směřuje proti takovému zacházení, kdy by s osobami, které jsou ve stejném nebo obdobném postavení, bylo zacházeno nerovně, nebo naopak, kdy by s osobami, které se nacházejí v odlišném postavení, bylo zacházeno stejně. Pokud by tento přístup neměl žádné opodstatnění, tedy pokud by nebyl opřen o žádný legitimní a objektivní důvod, byl by diskriminační. Z hlediska navrhované právní úpravy lze konstatovat, že návrh žádné neoprávněné nerovné zacházení s daňovými subjekty nezakládá.</w:t>
      </w:r>
    </w:p>
    <w:p w14:paraId="2D4C598D" w14:textId="77777777" w:rsidR="00FA375F" w:rsidRPr="003730B5" w:rsidRDefault="00FA375F" w:rsidP="00D16775">
      <w:pPr>
        <w:pStyle w:val="Nadpis2"/>
        <w:numPr>
          <w:ilvl w:val="1"/>
          <w:numId w:val="42"/>
        </w:numPr>
        <w:jc w:val="both"/>
        <w:rPr>
          <w:sz w:val="28"/>
        </w:rPr>
      </w:pPr>
      <w:r w:rsidRPr="003730B5">
        <w:rPr>
          <w:sz w:val="28"/>
        </w:rPr>
        <w:t>Mezinárodní pakt o občanských a politických právech</w:t>
      </w:r>
    </w:p>
    <w:p w14:paraId="651444E5" w14:textId="2FFC2953" w:rsidR="00FA375F" w:rsidRPr="003730B5" w:rsidRDefault="00FA375F" w:rsidP="00FA375F">
      <w:pPr>
        <w:widowControl w:val="0"/>
        <w:spacing w:after="120"/>
        <w:rPr>
          <w:szCs w:val="24"/>
        </w:rPr>
      </w:pPr>
      <w:r w:rsidRPr="003730B5">
        <w:rPr>
          <w:szCs w:val="24"/>
        </w:rPr>
        <w:t xml:space="preserve">Mezinárodní pakt o občanských a politických právech ze dne 19. prosince 1966, vyhlášený ve Sbírce zákonů pod č. 120/1976 Sb. (dále </w:t>
      </w:r>
      <w:r w:rsidR="005E198B" w:rsidRPr="003730B5">
        <w:rPr>
          <w:szCs w:val="24"/>
        </w:rPr>
        <w:t>též</w:t>
      </w:r>
      <w:r w:rsidRPr="003730B5">
        <w:rPr>
          <w:szCs w:val="24"/>
        </w:rPr>
        <w:t xml:space="preserve"> „Pakt“), zakotvuje</w:t>
      </w:r>
    </w:p>
    <w:p w14:paraId="55A3FAC1" w14:textId="77777777" w:rsidR="00FA375F" w:rsidRPr="003730B5" w:rsidRDefault="00FA375F" w:rsidP="00D16775">
      <w:pPr>
        <w:widowControl w:val="0"/>
        <w:numPr>
          <w:ilvl w:val="0"/>
          <w:numId w:val="40"/>
        </w:numPr>
        <w:spacing w:after="120"/>
        <w:ind w:left="714" w:hanging="357"/>
        <w:contextualSpacing/>
      </w:pPr>
      <w:r w:rsidRPr="003730B5">
        <w:t>v článku 2 odst. 3 právo domáhat se ochrany před případným zásahem do práv garantovaných Paktem,</w:t>
      </w:r>
    </w:p>
    <w:p w14:paraId="0ED797BB" w14:textId="77777777" w:rsidR="00FA375F" w:rsidRPr="003730B5" w:rsidRDefault="00FA375F" w:rsidP="00D16775">
      <w:pPr>
        <w:widowControl w:val="0"/>
        <w:numPr>
          <w:ilvl w:val="0"/>
          <w:numId w:val="40"/>
        </w:numPr>
        <w:spacing w:after="120"/>
        <w:ind w:left="714" w:hanging="357"/>
        <w:contextualSpacing/>
      </w:pPr>
      <w:r w:rsidRPr="003730B5">
        <w:t>v článku 3 zákaz diskriminace na základě pohlaví,</w:t>
      </w:r>
    </w:p>
    <w:p w14:paraId="7FE49DB2" w14:textId="77777777" w:rsidR="00FA375F" w:rsidRPr="003730B5" w:rsidRDefault="00FA375F" w:rsidP="00D16775">
      <w:pPr>
        <w:widowControl w:val="0"/>
        <w:numPr>
          <w:ilvl w:val="0"/>
          <w:numId w:val="40"/>
        </w:numPr>
        <w:spacing w:after="120"/>
        <w:ind w:left="714" w:hanging="357"/>
        <w:contextualSpacing/>
      </w:pPr>
      <w:r w:rsidRPr="003730B5">
        <w:rPr>
          <w:szCs w:val="24"/>
        </w:rPr>
        <w:t>v článku 14 a 15 právo na spravedlivý proces v trestních věcech,</w:t>
      </w:r>
    </w:p>
    <w:p w14:paraId="0082C1C9" w14:textId="77777777" w:rsidR="00FA375F" w:rsidRPr="003730B5" w:rsidRDefault="00FA375F" w:rsidP="00D16775">
      <w:pPr>
        <w:widowControl w:val="0"/>
        <w:numPr>
          <w:ilvl w:val="0"/>
          <w:numId w:val="40"/>
        </w:numPr>
        <w:spacing w:after="120"/>
        <w:ind w:left="714" w:hanging="357"/>
        <w:contextualSpacing/>
      </w:pPr>
      <w:r w:rsidRPr="003730B5">
        <w:lastRenderedPageBreak/>
        <w:t>v článku 17 zákaz svévolných zásahů do soukromého života a</w:t>
      </w:r>
    </w:p>
    <w:p w14:paraId="3350E2E9" w14:textId="77777777" w:rsidR="00FA375F" w:rsidRPr="003730B5" w:rsidRDefault="00FA375F" w:rsidP="00D16775">
      <w:pPr>
        <w:widowControl w:val="0"/>
        <w:numPr>
          <w:ilvl w:val="0"/>
          <w:numId w:val="40"/>
        </w:numPr>
        <w:spacing w:after="120"/>
        <w:ind w:left="714" w:hanging="357"/>
      </w:pPr>
      <w:r w:rsidRPr="003730B5">
        <w:t>v článku 26 zákaz diskriminace na základě dalších důvodů.</w:t>
      </w:r>
    </w:p>
    <w:p w14:paraId="411DC289" w14:textId="095F3471" w:rsidR="00FA375F" w:rsidRPr="003730B5" w:rsidRDefault="00FA375F" w:rsidP="00FA375F">
      <w:pPr>
        <w:widowControl w:val="0"/>
        <w:spacing w:after="120"/>
        <w:rPr>
          <w:rFonts w:eastAsia="Calibri"/>
          <w:szCs w:val="24"/>
          <w:lang w:eastAsia="en-US"/>
        </w:rPr>
      </w:pPr>
      <w:r w:rsidRPr="003730B5">
        <w:rPr>
          <w:rFonts w:eastAsia="Calibri"/>
          <w:szCs w:val="24"/>
          <w:lang w:eastAsia="en-US"/>
        </w:rPr>
        <w:t xml:space="preserve">Tato práva mají zásadně stejný obsah jako obdobná práva zakotvená v Úmluvě, která byla posuzována výše. Výjimkou je zákaz diskriminace dle článku 26 Paktu. Zatímco zákaz diskriminace zakotvený v Úmluvě má povahu akcesorického práva (tedy se ho lze dovolat pouze spolu s porušením jiného práva), v případě Paktu má zákaz diskriminace povahu neakcesorickou, a tedy se jej lze dovolat přímo. Zhodnocení vztahu k zákazu diskriminace provedené v části </w:t>
      </w:r>
      <w:r w:rsidR="005D7B6F" w:rsidRPr="003730B5">
        <w:rPr>
          <w:rFonts w:eastAsia="Calibri"/>
          <w:szCs w:val="24"/>
          <w:lang w:eastAsia="en-US"/>
        </w:rPr>
        <w:t>4</w:t>
      </w:r>
      <w:r w:rsidRPr="003730B5">
        <w:rPr>
          <w:rFonts w:eastAsia="Calibri"/>
          <w:szCs w:val="24"/>
          <w:lang w:eastAsia="en-US"/>
        </w:rPr>
        <w:t>.1.</w:t>
      </w:r>
      <w:r w:rsidR="005D7B6F" w:rsidRPr="003730B5">
        <w:rPr>
          <w:rFonts w:eastAsia="Calibri"/>
          <w:szCs w:val="24"/>
          <w:lang w:eastAsia="en-US"/>
        </w:rPr>
        <w:t>3</w:t>
      </w:r>
      <w:r w:rsidRPr="003730B5">
        <w:rPr>
          <w:rFonts w:eastAsia="Calibri"/>
          <w:szCs w:val="24"/>
          <w:lang w:eastAsia="en-US"/>
        </w:rPr>
        <w:t>. však nezáviselo na tom, zda má toto právo akcesorickou nebo neakcesorickou povahu. Na základě tohoto zhodnocení tedy lze dovodit, že navržená právní úprava je v souladu s článkem 26 Paktu.</w:t>
      </w:r>
    </w:p>
    <w:p w14:paraId="2DBCE876" w14:textId="77777777" w:rsidR="00FA375F" w:rsidRPr="003730B5" w:rsidRDefault="00FA375F" w:rsidP="00FA375F">
      <w:pPr>
        <w:widowControl w:val="0"/>
        <w:spacing w:after="120"/>
        <w:rPr>
          <w:rFonts w:eastAsia="Calibri"/>
          <w:szCs w:val="24"/>
          <w:lang w:eastAsia="en-US"/>
        </w:rPr>
      </w:pPr>
      <w:r w:rsidRPr="003730B5">
        <w:rPr>
          <w:rFonts w:eastAsia="Calibri"/>
          <w:szCs w:val="24"/>
          <w:lang w:eastAsia="en-US"/>
        </w:rPr>
        <w:t>S odkazem na výše uvedenou argumentaci k Úmluvě tedy lze konstatovat, že navrhovaná právní úprava je plně slučitelná s Paktem.</w:t>
      </w:r>
    </w:p>
    <w:p w14:paraId="07C5CD18" w14:textId="77777777" w:rsidR="00FA375F" w:rsidRPr="003730B5" w:rsidRDefault="00FA375F" w:rsidP="00D16775">
      <w:pPr>
        <w:pStyle w:val="Nadpis2"/>
        <w:numPr>
          <w:ilvl w:val="1"/>
          <w:numId w:val="42"/>
        </w:numPr>
        <w:jc w:val="both"/>
        <w:rPr>
          <w:sz w:val="28"/>
        </w:rPr>
      </w:pPr>
      <w:r w:rsidRPr="003730B5">
        <w:rPr>
          <w:sz w:val="28"/>
        </w:rPr>
        <w:t>Rámcová úmluva a Protokol Světové zdravotnické organizace o kontrole tabáku</w:t>
      </w:r>
    </w:p>
    <w:p w14:paraId="745AA070" w14:textId="52840A8F" w:rsidR="00521904" w:rsidRPr="003730B5" w:rsidRDefault="00521904" w:rsidP="00521904">
      <w:pPr>
        <w:spacing w:after="120"/>
      </w:pPr>
      <w:r w:rsidRPr="003730B5">
        <w:t xml:space="preserve">Navrhovaná právní úprava je v souladu s Rámcovou úmluvou Světové zdravotnické organizace o kontrole tabáku (FCTC), která byla ve sbírce mezinárodní smluv publikována pod č. 71/2012 m. s. a je pro Českou republiku platná od 30. </w:t>
      </w:r>
      <w:r w:rsidR="00820D28" w:rsidRPr="003730B5">
        <w:t>8.</w:t>
      </w:r>
      <w:r w:rsidRPr="003730B5">
        <w:t xml:space="preserve"> 2012. Návrh přispěje k efektivnějšímu naplňování závazků vyplývajících z článku 6 této úmluvy, podle kterého mají smluvní strany provádět cenová a daňová opatření ke snižování poptávky po tabáku. Vedle navýšení sazeb spotřební daně z tradičních tabákových výrobků se návrhem tohoto zákona zavádí spotřební daň i na další výrobky obsahující tabák, které nepodléhají harmonizované spotřební dani z tabákových výrobků dle legislativy E</w:t>
      </w:r>
      <w:r w:rsidR="009655EE" w:rsidRPr="003730B5">
        <w:t>vropské unie</w:t>
      </w:r>
      <w:r w:rsidRPr="003730B5">
        <w:t xml:space="preserve"> (např. žvýkací a šňupací tabák). V neposlední řadě se spotřební daň zavádí i na výrobky, které jsou rovněž škodlivé pro lidské zdraví, ale obsahují jiné látky než tabák (např. nikotinové sáčky). </w:t>
      </w:r>
    </w:p>
    <w:p w14:paraId="4047EDED" w14:textId="2E95F780" w:rsidR="00521904" w:rsidRPr="003730B5" w:rsidRDefault="00521904" w:rsidP="00521904">
      <w:pPr>
        <w:spacing w:after="120"/>
      </w:pPr>
      <w:r w:rsidRPr="003730B5">
        <w:t xml:space="preserve">Česká republika je také od 10. </w:t>
      </w:r>
      <w:r w:rsidR="00820D28" w:rsidRPr="003730B5">
        <w:t>10.</w:t>
      </w:r>
      <w:r w:rsidRPr="003730B5">
        <w:t xml:space="preserve"> 2019 smluvní stranou Protokolu o odstranění nezákonného obchodu s tabákovými výrobky FCTC.</w:t>
      </w:r>
    </w:p>
    <w:p w14:paraId="3180F9BC" w14:textId="3433D8E6" w:rsidR="00521904" w:rsidRPr="003730B5" w:rsidRDefault="00521904" w:rsidP="00D16775">
      <w:pPr>
        <w:pStyle w:val="Nadpis2"/>
        <w:numPr>
          <w:ilvl w:val="1"/>
          <w:numId w:val="42"/>
        </w:numPr>
        <w:jc w:val="both"/>
        <w:rPr>
          <w:sz w:val="28"/>
        </w:rPr>
      </w:pPr>
      <w:r w:rsidRPr="003730B5">
        <w:rPr>
          <w:sz w:val="28"/>
        </w:rPr>
        <w:t>Mezinárodní smlouvy v oblasti letecké dopravy</w:t>
      </w:r>
    </w:p>
    <w:p w14:paraId="3BF96E19" w14:textId="1BE71DBD" w:rsidR="00521904" w:rsidRPr="003730B5" w:rsidRDefault="00521904" w:rsidP="00521904">
      <w:pPr>
        <w:spacing w:after="120"/>
      </w:pPr>
      <w:r w:rsidRPr="003730B5">
        <w:t xml:space="preserve">Na oblast letecké dopravy se vztahuje tzv. Chicagská úmluva (úmluva č. 147/1947 Sb.). Tato úmluva se primárně týká mezinárodního letectví. Žádné ustanovení této úmluvy nebrání uvalit spotřební daň na čistě vnitrostátní lety. </w:t>
      </w:r>
    </w:p>
    <w:p w14:paraId="6B0195E3" w14:textId="0B31BA49" w:rsidR="00521904" w:rsidRPr="003730B5" w:rsidRDefault="00521904" w:rsidP="00521904">
      <w:pPr>
        <w:spacing w:after="120"/>
      </w:pPr>
      <w:r w:rsidRPr="003730B5">
        <w:t>Evropská unie má s některými státy uzavřenou mnohostrannou dohodu mezi Evropským společenstvím a jeho členskými státy a Albánskou republikou, Bosnou a Hercegovinou, Bývalou jugoslávskou republikou Makedonií, Republikou Černá Hora, Islandskou republikou, Prozatímní správní misí Organizace spojených národů v Kosovu, Norským královstvím, a Republikou Srbsko o vytvoření společného evropského leteckého prostoru. Tento právní předpis nebrání členskému státu aplikovat sazbu spotřební daně na vnitrostátní leteckou dopravu.</w:t>
      </w:r>
    </w:p>
    <w:p w14:paraId="18C0C5E8" w14:textId="4B2EF077" w:rsidR="00521904" w:rsidRPr="003730B5" w:rsidRDefault="00521904" w:rsidP="00521904">
      <w:pPr>
        <w:spacing w:after="120"/>
      </w:pPr>
      <w:r w:rsidRPr="003730B5">
        <w:t xml:space="preserve">Evropská unie dále uzavřela dohodu o letecké dopravě se Spojenými státy americkými. Ani tato dohoda nebrání členskému státu </w:t>
      </w:r>
      <w:r w:rsidR="009655EE" w:rsidRPr="003730B5">
        <w:t>Evropské unie</w:t>
      </w:r>
      <w:r w:rsidRPr="003730B5">
        <w:t xml:space="preserve"> aplikovat sazbu spotřební daně na čistě vnitrostátní lety.</w:t>
      </w:r>
    </w:p>
    <w:p w14:paraId="72E5EA33" w14:textId="77777777" w:rsidR="00FA375F" w:rsidRPr="003730B5" w:rsidRDefault="00FA375F" w:rsidP="00D16775">
      <w:pPr>
        <w:pStyle w:val="Nadpis2"/>
        <w:numPr>
          <w:ilvl w:val="1"/>
          <w:numId w:val="42"/>
        </w:numPr>
        <w:jc w:val="both"/>
        <w:rPr>
          <w:sz w:val="28"/>
        </w:rPr>
      </w:pPr>
      <w:r w:rsidRPr="003730B5">
        <w:rPr>
          <w:sz w:val="28"/>
        </w:rPr>
        <w:t>Celkové zhodnocení slučitelnosti</w:t>
      </w:r>
    </w:p>
    <w:p w14:paraId="030A801D" w14:textId="7B0B80FE" w:rsidR="0003045D" w:rsidRPr="003730B5" w:rsidRDefault="0003045D" w:rsidP="008F2906">
      <w:pPr>
        <w:widowControl w:val="0"/>
        <w:autoSpaceDE w:val="0"/>
        <w:autoSpaceDN w:val="0"/>
        <w:adjustRightInd w:val="0"/>
        <w:spacing w:after="120"/>
        <w:rPr>
          <w:rFonts w:eastAsia="Calibri"/>
          <w:lang w:eastAsia="en-US"/>
        </w:rPr>
      </w:pPr>
      <w:r w:rsidRPr="003730B5">
        <w:rPr>
          <w:rFonts w:eastAsia="Calibri"/>
          <w:lang w:eastAsia="en-US"/>
        </w:rPr>
        <w:t>S ohledem na to, že návrh zákona respektuje výše uvedené požadavky, lze jej považovat za slučitelný s mezinárodními smlouvami, jimiž je Česká republika vázána</w:t>
      </w:r>
      <w:r w:rsidR="005E198B" w:rsidRPr="003730B5">
        <w:rPr>
          <w:rFonts w:eastAsia="Calibri"/>
          <w:lang w:eastAsia="en-US"/>
        </w:rPr>
        <w:t xml:space="preserve">, </w:t>
      </w:r>
      <w:r w:rsidR="00CA40A9" w:rsidRPr="003730B5">
        <w:rPr>
          <w:rFonts w:eastAsia="Calibri"/>
          <w:lang w:eastAsia="en-US"/>
        </w:rPr>
        <w:t>a </w:t>
      </w:r>
      <w:r w:rsidR="005E198B" w:rsidRPr="003730B5">
        <w:rPr>
          <w:rFonts w:eastAsia="Calibri"/>
          <w:lang w:eastAsia="en-US"/>
        </w:rPr>
        <w:t xml:space="preserve">to především </w:t>
      </w:r>
      <w:r w:rsidR="00CA40A9" w:rsidRPr="003730B5">
        <w:rPr>
          <w:rFonts w:eastAsia="Calibri"/>
          <w:lang w:eastAsia="en-US"/>
        </w:rPr>
        <w:lastRenderedPageBreak/>
        <w:t>s </w:t>
      </w:r>
      <w:r w:rsidR="005E198B" w:rsidRPr="003730B5">
        <w:rPr>
          <w:rFonts w:eastAsia="Calibri"/>
          <w:szCs w:val="24"/>
          <w:lang w:eastAsia="en-US"/>
        </w:rPr>
        <w:t xml:space="preserve">Úmluvou o ochraně lidských práv a základních svobod </w:t>
      </w:r>
      <w:r w:rsidR="00CA40A9" w:rsidRPr="003730B5">
        <w:rPr>
          <w:rFonts w:eastAsia="Calibri"/>
          <w:szCs w:val="24"/>
          <w:lang w:eastAsia="en-US"/>
        </w:rPr>
        <w:t>a </w:t>
      </w:r>
      <w:r w:rsidR="005E198B" w:rsidRPr="003730B5">
        <w:rPr>
          <w:rFonts w:eastAsia="Calibri"/>
          <w:szCs w:val="24"/>
          <w:lang w:eastAsia="en-US"/>
        </w:rPr>
        <w:t xml:space="preserve">Mezinárodním paktem </w:t>
      </w:r>
      <w:r w:rsidR="00CA40A9" w:rsidRPr="003730B5">
        <w:rPr>
          <w:rFonts w:eastAsia="Calibri"/>
          <w:szCs w:val="24"/>
          <w:lang w:eastAsia="en-US"/>
        </w:rPr>
        <w:t>o </w:t>
      </w:r>
      <w:r w:rsidR="005E198B" w:rsidRPr="003730B5">
        <w:rPr>
          <w:rFonts w:eastAsia="Calibri"/>
          <w:szCs w:val="24"/>
          <w:lang w:eastAsia="en-US"/>
        </w:rPr>
        <w:t xml:space="preserve">občanských </w:t>
      </w:r>
      <w:r w:rsidR="00CA40A9" w:rsidRPr="003730B5">
        <w:rPr>
          <w:rFonts w:eastAsia="Calibri"/>
          <w:szCs w:val="24"/>
          <w:lang w:eastAsia="en-US"/>
        </w:rPr>
        <w:t>a </w:t>
      </w:r>
      <w:r w:rsidR="005E198B" w:rsidRPr="003730B5">
        <w:rPr>
          <w:rFonts w:eastAsia="Calibri"/>
          <w:szCs w:val="24"/>
          <w:lang w:eastAsia="en-US"/>
        </w:rPr>
        <w:t>politických právech</w:t>
      </w:r>
      <w:r w:rsidRPr="003730B5">
        <w:rPr>
          <w:rFonts w:eastAsia="Calibri"/>
          <w:lang w:eastAsia="en-US"/>
        </w:rPr>
        <w:t>.</w:t>
      </w:r>
    </w:p>
    <w:p w14:paraId="44E19BAC" w14:textId="15D117C2" w:rsidR="0003045D" w:rsidRPr="003730B5" w:rsidRDefault="0003045D" w:rsidP="0059506E">
      <w:pPr>
        <w:pStyle w:val="Nadpis2"/>
        <w:numPr>
          <w:ilvl w:val="1"/>
          <w:numId w:val="28"/>
        </w:numPr>
        <w:shd w:val="clear" w:color="auto" w:fill="FFFFFF"/>
        <w:jc w:val="both"/>
        <w:rPr>
          <w:rFonts w:cs="Times New Roman"/>
        </w:rPr>
      </w:pPr>
      <w:r w:rsidRPr="003730B5">
        <w:rPr>
          <w:rFonts w:cs="Times New Roman"/>
        </w:rPr>
        <w:t>Předpokládaný hospodářský a finanční dopad navrhované právní úpravy</w:t>
      </w:r>
    </w:p>
    <w:tbl>
      <w:tblPr>
        <w:tblW w:w="9072" w:type="dxa"/>
        <w:tblLayout w:type="fixed"/>
        <w:tblCellMar>
          <w:left w:w="0" w:type="dxa"/>
          <w:right w:w="0" w:type="dxa"/>
        </w:tblCellMar>
        <w:tblLook w:val="04A0" w:firstRow="1" w:lastRow="0" w:firstColumn="1" w:lastColumn="0" w:noHBand="0" w:noVBand="1"/>
      </w:tblPr>
      <w:tblGrid>
        <w:gridCol w:w="5382"/>
        <w:gridCol w:w="1845"/>
        <w:gridCol w:w="1845"/>
      </w:tblGrid>
      <w:tr w:rsidR="00E07B4B" w:rsidRPr="003730B5" w14:paraId="38E6ADDD" w14:textId="77777777" w:rsidTr="00402150">
        <w:trPr>
          <w:trHeight w:val="300"/>
        </w:trPr>
        <w:tc>
          <w:tcPr>
            <w:tcW w:w="5382" w:type="dxa"/>
            <w:tcBorders>
              <w:top w:val="single" w:sz="12" w:space="0" w:color="auto"/>
              <w:left w:val="single" w:sz="4" w:space="0" w:color="auto"/>
              <w:bottom w:val="single" w:sz="12" w:space="0" w:color="auto"/>
              <w:right w:val="single" w:sz="4" w:space="0" w:color="auto"/>
            </w:tcBorders>
            <w:shd w:val="clear" w:color="auto" w:fill="DBE5F1" w:themeFill="accent1" w:themeFillTint="33"/>
            <w:noWrap/>
            <w:tcMar>
              <w:top w:w="0" w:type="dxa"/>
              <w:left w:w="70" w:type="dxa"/>
              <w:bottom w:w="0" w:type="dxa"/>
              <w:right w:w="70" w:type="dxa"/>
            </w:tcMar>
            <w:vAlign w:val="bottom"/>
            <w:hideMark/>
          </w:tcPr>
          <w:p w14:paraId="732D5600" w14:textId="76EB6AD8" w:rsidR="00E07B4B" w:rsidRPr="003730B5" w:rsidRDefault="00E07B4B" w:rsidP="00402150">
            <w:pPr>
              <w:keepNext/>
              <w:keepLines/>
              <w:ind w:left="170"/>
              <w:rPr>
                <w:sz w:val="20"/>
              </w:rPr>
            </w:pPr>
            <w:r w:rsidRPr="003730B5">
              <w:rPr>
                <w:b/>
                <w:bCs/>
                <w:sz w:val="20"/>
              </w:rPr>
              <w:t>Dopad na státní rozpočet</w:t>
            </w:r>
          </w:p>
        </w:tc>
        <w:tc>
          <w:tcPr>
            <w:tcW w:w="1845" w:type="dxa"/>
            <w:tcBorders>
              <w:top w:val="single" w:sz="12" w:space="0" w:color="auto"/>
              <w:left w:val="single" w:sz="4" w:space="0" w:color="auto"/>
              <w:bottom w:val="single" w:sz="12" w:space="0" w:color="auto"/>
              <w:right w:val="single" w:sz="4" w:space="0" w:color="auto"/>
            </w:tcBorders>
            <w:shd w:val="clear" w:color="auto" w:fill="DBE5F1" w:themeFill="accent1" w:themeFillTint="33"/>
            <w:noWrap/>
            <w:tcMar>
              <w:top w:w="0" w:type="dxa"/>
              <w:left w:w="70" w:type="dxa"/>
              <w:bottom w:w="0" w:type="dxa"/>
              <w:right w:w="70" w:type="dxa"/>
            </w:tcMar>
            <w:vAlign w:val="center"/>
            <w:hideMark/>
          </w:tcPr>
          <w:p w14:paraId="2D49386F" w14:textId="305BF31F" w:rsidR="00E07B4B" w:rsidRPr="003730B5" w:rsidRDefault="00E07B4B" w:rsidP="00E07B4B">
            <w:pPr>
              <w:keepNext/>
              <w:keepLines/>
              <w:jc w:val="center"/>
              <w:rPr>
                <w:rFonts w:eastAsiaTheme="minorHAnsi"/>
                <w:b/>
                <w:bCs/>
                <w:sz w:val="18"/>
                <w:szCs w:val="18"/>
              </w:rPr>
            </w:pPr>
            <w:r w:rsidRPr="003730B5">
              <w:rPr>
                <w:b/>
                <w:bCs/>
                <w:sz w:val="18"/>
                <w:szCs w:val="18"/>
              </w:rPr>
              <w:t>2024</w:t>
            </w:r>
          </w:p>
        </w:tc>
        <w:tc>
          <w:tcPr>
            <w:tcW w:w="1845" w:type="dxa"/>
            <w:tcBorders>
              <w:top w:val="single" w:sz="12" w:space="0" w:color="auto"/>
              <w:left w:val="single" w:sz="4" w:space="0" w:color="auto"/>
              <w:bottom w:val="single" w:sz="12" w:space="0" w:color="auto"/>
              <w:right w:val="single" w:sz="4" w:space="0" w:color="auto"/>
            </w:tcBorders>
            <w:shd w:val="clear" w:color="auto" w:fill="DBE5F1" w:themeFill="accent1" w:themeFillTint="33"/>
            <w:noWrap/>
            <w:tcMar>
              <w:top w:w="0" w:type="dxa"/>
              <w:left w:w="70" w:type="dxa"/>
              <w:bottom w:w="0" w:type="dxa"/>
              <w:right w:w="70" w:type="dxa"/>
            </w:tcMar>
            <w:vAlign w:val="center"/>
            <w:hideMark/>
          </w:tcPr>
          <w:p w14:paraId="6D06CCAB" w14:textId="528ACABF" w:rsidR="00E07B4B" w:rsidRPr="003730B5" w:rsidRDefault="00E07B4B" w:rsidP="00E07B4B">
            <w:pPr>
              <w:keepNext/>
              <w:keepLines/>
              <w:jc w:val="center"/>
              <w:rPr>
                <w:b/>
                <w:bCs/>
                <w:sz w:val="18"/>
                <w:szCs w:val="18"/>
              </w:rPr>
            </w:pPr>
            <w:r w:rsidRPr="003730B5">
              <w:rPr>
                <w:b/>
                <w:bCs/>
                <w:sz w:val="18"/>
                <w:szCs w:val="18"/>
              </w:rPr>
              <w:t>2025</w:t>
            </w:r>
          </w:p>
        </w:tc>
      </w:tr>
      <w:tr w:rsidR="00E07B4B" w:rsidRPr="003730B5" w14:paraId="013888AB" w14:textId="77777777" w:rsidTr="00402150">
        <w:trPr>
          <w:trHeight w:val="298"/>
        </w:trPr>
        <w:tc>
          <w:tcPr>
            <w:tcW w:w="5382" w:type="dxa"/>
            <w:tcBorders>
              <w:top w:val="single" w:sz="12" w:space="0" w:color="auto"/>
              <w:left w:val="single" w:sz="8" w:space="0" w:color="auto"/>
              <w:bottom w:val="nil"/>
              <w:right w:val="single" w:sz="4" w:space="0" w:color="auto"/>
            </w:tcBorders>
            <w:shd w:val="clear" w:color="auto" w:fill="FDE9D9" w:themeFill="accent6" w:themeFillTint="33"/>
            <w:noWrap/>
            <w:tcMar>
              <w:top w:w="0" w:type="dxa"/>
              <w:left w:w="70" w:type="dxa"/>
              <w:bottom w:w="0" w:type="dxa"/>
              <w:right w:w="70" w:type="dxa"/>
            </w:tcMar>
            <w:vAlign w:val="bottom"/>
            <w:hideMark/>
          </w:tcPr>
          <w:p w14:paraId="72C144FC" w14:textId="212509E7" w:rsidR="00E07B4B" w:rsidRPr="003730B5" w:rsidRDefault="00E07B4B" w:rsidP="00402150">
            <w:pPr>
              <w:keepNext/>
              <w:keepLines/>
              <w:ind w:left="170"/>
              <w:rPr>
                <w:b/>
                <w:bCs/>
                <w:sz w:val="20"/>
              </w:rPr>
            </w:pPr>
            <w:r w:rsidRPr="003730B5">
              <w:rPr>
                <w:b/>
                <w:bCs/>
                <w:sz w:val="20"/>
              </w:rPr>
              <w:t>Celkem </w:t>
            </w:r>
          </w:p>
        </w:tc>
        <w:tc>
          <w:tcPr>
            <w:tcW w:w="1845" w:type="dxa"/>
            <w:tcBorders>
              <w:top w:val="single" w:sz="12" w:space="0" w:color="auto"/>
              <w:left w:val="single" w:sz="4" w:space="0" w:color="auto"/>
              <w:bottom w:val="nil"/>
              <w:right w:val="single" w:sz="4" w:space="0" w:color="auto"/>
            </w:tcBorders>
            <w:shd w:val="clear" w:color="auto" w:fill="FDE9D9" w:themeFill="accent6" w:themeFillTint="33"/>
            <w:noWrap/>
            <w:tcMar>
              <w:top w:w="0" w:type="dxa"/>
              <w:left w:w="70" w:type="dxa"/>
              <w:bottom w:w="0" w:type="dxa"/>
              <w:right w:w="70" w:type="dxa"/>
            </w:tcMar>
            <w:vAlign w:val="center"/>
            <w:hideMark/>
          </w:tcPr>
          <w:p w14:paraId="7B807BCB" w14:textId="77777777" w:rsidR="00E07B4B" w:rsidRPr="003730B5" w:rsidRDefault="00E07B4B" w:rsidP="00E07B4B">
            <w:pPr>
              <w:keepNext/>
              <w:keepLines/>
              <w:jc w:val="center"/>
              <w:rPr>
                <w:b/>
                <w:bCs/>
                <w:sz w:val="20"/>
              </w:rPr>
            </w:pPr>
            <w:r w:rsidRPr="003730B5">
              <w:rPr>
                <w:b/>
                <w:bCs/>
                <w:sz w:val="20"/>
              </w:rPr>
              <w:t>97,8</w:t>
            </w:r>
          </w:p>
        </w:tc>
        <w:tc>
          <w:tcPr>
            <w:tcW w:w="1845" w:type="dxa"/>
            <w:tcBorders>
              <w:top w:val="single" w:sz="12" w:space="0" w:color="auto"/>
              <w:left w:val="single" w:sz="4" w:space="0" w:color="auto"/>
              <w:bottom w:val="nil"/>
              <w:right w:val="single" w:sz="4" w:space="0" w:color="auto"/>
            </w:tcBorders>
            <w:shd w:val="clear" w:color="auto" w:fill="FDE9D9" w:themeFill="accent6" w:themeFillTint="33"/>
            <w:noWrap/>
            <w:tcMar>
              <w:top w:w="0" w:type="dxa"/>
              <w:left w:w="70" w:type="dxa"/>
              <w:bottom w:w="0" w:type="dxa"/>
              <w:right w:w="70" w:type="dxa"/>
            </w:tcMar>
            <w:vAlign w:val="center"/>
            <w:hideMark/>
          </w:tcPr>
          <w:p w14:paraId="0B1A0B84" w14:textId="77777777" w:rsidR="00E07B4B" w:rsidRPr="003730B5" w:rsidRDefault="00E07B4B" w:rsidP="00E07B4B">
            <w:pPr>
              <w:keepNext/>
              <w:keepLines/>
              <w:jc w:val="center"/>
              <w:rPr>
                <w:b/>
                <w:bCs/>
                <w:sz w:val="20"/>
              </w:rPr>
            </w:pPr>
            <w:r w:rsidRPr="003730B5">
              <w:rPr>
                <w:b/>
                <w:bCs/>
                <w:sz w:val="20"/>
              </w:rPr>
              <w:t>53,2</w:t>
            </w:r>
          </w:p>
        </w:tc>
      </w:tr>
      <w:tr w:rsidR="00E07B4B" w:rsidRPr="003730B5" w14:paraId="499189C3" w14:textId="77777777" w:rsidTr="00402150">
        <w:trPr>
          <w:trHeight w:val="298"/>
        </w:trPr>
        <w:tc>
          <w:tcPr>
            <w:tcW w:w="5382" w:type="dxa"/>
            <w:tcBorders>
              <w:top w:val="single" w:sz="8" w:space="0" w:color="auto"/>
              <w:left w:val="single" w:sz="8" w:space="0" w:color="auto"/>
              <w:bottom w:val="single" w:sz="4" w:space="0" w:color="auto"/>
              <w:right w:val="single" w:sz="4" w:space="0" w:color="auto"/>
            </w:tcBorders>
            <w:shd w:val="clear" w:color="auto" w:fill="EAF1DD" w:themeFill="accent3" w:themeFillTint="33"/>
            <w:noWrap/>
            <w:tcMar>
              <w:top w:w="0" w:type="dxa"/>
              <w:left w:w="70" w:type="dxa"/>
              <w:bottom w:w="0" w:type="dxa"/>
              <w:right w:w="70" w:type="dxa"/>
            </w:tcMar>
            <w:vAlign w:val="bottom"/>
            <w:hideMark/>
          </w:tcPr>
          <w:p w14:paraId="7F3B21E2" w14:textId="2C1ED4BD" w:rsidR="00E07B4B" w:rsidRPr="003730B5" w:rsidRDefault="00E07B4B" w:rsidP="00402150">
            <w:pPr>
              <w:keepNext/>
              <w:keepLines/>
              <w:ind w:left="170"/>
              <w:rPr>
                <w:sz w:val="20"/>
              </w:rPr>
            </w:pPr>
            <w:r w:rsidRPr="003730B5">
              <w:rPr>
                <w:b/>
                <w:sz w:val="20"/>
              </w:rPr>
              <w:t>Příjmy</w:t>
            </w:r>
            <w:r w:rsidRPr="003730B5">
              <w:rPr>
                <w:sz w:val="20"/>
              </w:rPr>
              <w:t> </w:t>
            </w:r>
          </w:p>
        </w:tc>
        <w:tc>
          <w:tcPr>
            <w:tcW w:w="1845" w:type="dxa"/>
            <w:tcBorders>
              <w:top w:val="single" w:sz="8" w:space="0" w:color="auto"/>
              <w:left w:val="single" w:sz="4" w:space="0" w:color="auto"/>
              <w:bottom w:val="single" w:sz="4" w:space="0" w:color="auto"/>
              <w:right w:val="single" w:sz="4" w:space="0" w:color="auto"/>
            </w:tcBorders>
            <w:shd w:val="clear" w:color="auto" w:fill="EAF1DD" w:themeFill="accent3" w:themeFillTint="33"/>
            <w:noWrap/>
            <w:tcMar>
              <w:top w:w="0" w:type="dxa"/>
              <w:left w:w="70" w:type="dxa"/>
              <w:bottom w:w="0" w:type="dxa"/>
              <w:right w:w="70" w:type="dxa"/>
            </w:tcMar>
            <w:vAlign w:val="center"/>
            <w:hideMark/>
          </w:tcPr>
          <w:p w14:paraId="1A8FE892" w14:textId="77777777" w:rsidR="00E07B4B" w:rsidRPr="003730B5" w:rsidRDefault="00E07B4B" w:rsidP="00E07B4B">
            <w:pPr>
              <w:keepNext/>
              <w:keepLines/>
              <w:jc w:val="center"/>
              <w:rPr>
                <w:b/>
                <w:bCs/>
                <w:sz w:val="20"/>
              </w:rPr>
            </w:pPr>
            <w:r w:rsidRPr="003730B5">
              <w:rPr>
                <w:b/>
                <w:bCs/>
                <w:sz w:val="20"/>
              </w:rPr>
              <w:t>35,3</w:t>
            </w:r>
          </w:p>
        </w:tc>
        <w:tc>
          <w:tcPr>
            <w:tcW w:w="1845" w:type="dxa"/>
            <w:tcBorders>
              <w:top w:val="single" w:sz="8" w:space="0" w:color="auto"/>
              <w:left w:val="single" w:sz="4" w:space="0" w:color="auto"/>
              <w:bottom w:val="single" w:sz="4" w:space="0" w:color="auto"/>
              <w:right w:val="single" w:sz="4" w:space="0" w:color="auto"/>
            </w:tcBorders>
            <w:shd w:val="clear" w:color="auto" w:fill="EAF1DD" w:themeFill="accent3" w:themeFillTint="33"/>
            <w:noWrap/>
            <w:tcMar>
              <w:top w:w="0" w:type="dxa"/>
              <w:left w:w="70" w:type="dxa"/>
              <w:bottom w:w="0" w:type="dxa"/>
              <w:right w:w="70" w:type="dxa"/>
            </w:tcMar>
            <w:vAlign w:val="center"/>
            <w:hideMark/>
          </w:tcPr>
          <w:p w14:paraId="1DD9DA1F" w14:textId="77777777" w:rsidR="00E07B4B" w:rsidRPr="003730B5" w:rsidRDefault="00E07B4B" w:rsidP="00E07B4B">
            <w:pPr>
              <w:keepNext/>
              <w:keepLines/>
              <w:jc w:val="center"/>
              <w:rPr>
                <w:b/>
                <w:bCs/>
                <w:sz w:val="20"/>
              </w:rPr>
            </w:pPr>
            <w:r w:rsidRPr="003730B5">
              <w:rPr>
                <w:b/>
                <w:bCs/>
                <w:sz w:val="20"/>
              </w:rPr>
              <w:t>37,3</w:t>
            </w:r>
          </w:p>
        </w:tc>
      </w:tr>
      <w:tr w:rsidR="00E07B4B" w:rsidRPr="003730B5" w14:paraId="0BE662B3" w14:textId="77777777" w:rsidTr="00133AC8">
        <w:trPr>
          <w:trHeight w:val="298"/>
        </w:trPr>
        <w:tc>
          <w:tcPr>
            <w:tcW w:w="5382" w:type="dxa"/>
            <w:tcBorders>
              <w:top w:val="single" w:sz="4" w:space="0" w:color="auto"/>
              <w:left w:val="single" w:sz="8" w:space="0" w:color="auto"/>
              <w:bottom w:val="dashed" w:sz="4" w:space="0" w:color="auto"/>
              <w:right w:val="single" w:sz="4" w:space="0" w:color="auto"/>
            </w:tcBorders>
            <w:noWrap/>
            <w:tcMar>
              <w:top w:w="0" w:type="dxa"/>
              <w:left w:w="70" w:type="dxa"/>
              <w:bottom w:w="0" w:type="dxa"/>
              <w:right w:w="70" w:type="dxa"/>
            </w:tcMar>
            <w:vAlign w:val="bottom"/>
            <w:hideMark/>
          </w:tcPr>
          <w:p w14:paraId="054F86A9" w14:textId="0297C5F7" w:rsidR="00E07B4B" w:rsidRPr="003730B5" w:rsidRDefault="00E07B4B" w:rsidP="00402150">
            <w:pPr>
              <w:keepNext/>
              <w:keepLines/>
              <w:ind w:left="170"/>
              <w:rPr>
                <w:sz w:val="20"/>
              </w:rPr>
            </w:pPr>
            <w:r w:rsidRPr="003730B5">
              <w:rPr>
                <w:sz w:val="20"/>
              </w:rPr>
              <w:t>Dohody</w:t>
            </w:r>
            <w:r w:rsidR="008B3B35" w:rsidRPr="003730B5">
              <w:rPr>
                <w:sz w:val="20"/>
              </w:rPr>
              <w:t xml:space="preserve"> </w:t>
            </w:r>
            <w:r w:rsidR="00133AC8" w:rsidRPr="003730B5">
              <w:rPr>
                <w:sz w:val="20"/>
              </w:rPr>
              <w:t>o </w:t>
            </w:r>
            <w:r w:rsidR="008B3B35" w:rsidRPr="003730B5">
              <w:rPr>
                <w:sz w:val="20"/>
              </w:rPr>
              <w:t>provedení práce</w:t>
            </w:r>
          </w:p>
        </w:tc>
        <w:tc>
          <w:tcPr>
            <w:tcW w:w="1845" w:type="dxa"/>
            <w:tcBorders>
              <w:top w:val="single"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56EDAE33" w14:textId="77777777" w:rsidR="00E07B4B" w:rsidRPr="003730B5" w:rsidRDefault="00E07B4B" w:rsidP="00E07B4B">
            <w:pPr>
              <w:keepNext/>
              <w:keepLines/>
              <w:jc w:val="center"/>
              <w:rPr>
                <w:rFonts w:eastAsiaTheme="minorHAnsi"/>
                <w:sz w:val="20"/>
              </w:rPr>
            </w:pPr>
            <w:r w:rsidRPr="003730B5">
              <w:rPr>
                <w:sz w:val="20"/>
              </w:rPr>
              <w:t>1,8</w:t>
            </w:r>
          </w:p>
        </w:tc>
        <w:tc>
          <w:tcPr>
            <w:tcW w:w="1845" w:type="dxa"/>
            <w:tcBorders>
              <w:top w:val="single"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7740CC31" w14:textId="77777777" w:rsidR="00E07B4B" w:rsidRPr="003730B5" w:rsidRDefault="00E07B4B" w:rsidP="00E07B4B">
            <w:pPr>
              <w:keepNext/>
              <w:keepLines/>
              <w:jc w:val="center"/>
              <w:rPr>
                <w:sz w:val="20"/>
              </w:rPr>
            </w:pPr>
            <w:r w:rsidRPr="003730B5">
              <w:rPr>
                <w:sz w:val="20"/>
              </w:rPr>
              <w:t>0,2</w:t>
            </w:r>
          </w:p>
        </w:tc>
      </w:tr>
      <w:tr w:rsidR="00E07B4B" w:rsidRPr="003730B5" w14:paraId="1460C8AB" w14:textId="77777777" w:rsidTr="00133AC8">
        <w:trPr>
          <w:trHeight w:val="298"/>
        </w:trPr>
        <w:tc>
          <w:tcPr>
            <w:tcW w:w="5382" w:type="dxa"/>
            <w:tcBorders>
              <w:top w:val="dashed" w:sz="4" w:space="0" w:color="auto"/>
              <w:left w:val="single" w:sz="8" w:space="0" w:color="auto"/>
              <w:bottom w:val="dashed" w:sz="4" w:space="0" w:color="auto"/>
              <w:right w:val="single" w:sz="4" w:space="0" w:color="auto"/>
            </w:tcBorders>
            <w:noWrap/>
            <w:tcMar>
              <w:top w:w="0" w:type="dxa"/>
              <w:left w:w="70" w:type="dxa"/>
              <w:bottom w:w="0" w:type="dxa"/>
              <w:right w:w="70" w:type="dxa"/>
            </w:tcMar>
            <w:vAlign w:val="bottom"/>
            <w:hideMark/>
          </w:tcPr>
          <w:p w14:paraId="4B44E8C8" w14:textId="04DA0456" w:rsidR="00E07B4B" w:rsidRPr="003730B5" w:rsidRDefault="008B3B35" w:rsidP="008B3B35">
            <w:pPr>
              <w:keepNext/>
              <w:keepLines/>
              <w:ind w:left="170"/>
              <w:rPr>
                <w:sz w:val="20"/>
              </w:rPr>
            </w:pPr>
            <w:r w:rsidRPr="003730B5">
              <w:rPr>
                <w:sz w:val="20"/>
              </w:rPr>
              <w:t>Daň z příjmů fyzických osob</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2DA31447" w14:textId="77777777" w:rsidR="00E07B4B" w:rsidRPr="003730B5" w:rsidRDefault="00E07B4B" w:rsidP="00E07B4B">
            <w:pPr>
              <w:keepNext/>
              <w:keepLines/>
              <w:jc w:val="center"/>
              <w:rPr>
                <w:rFonts w:eastAsiaTheme="minorHAnsi"/>
                <w:sz w:val="20"/>
              </w:rPr>
            </w:pPr>
            <w:r w:rsidRPr="003730B5">
              <w:rPr>
                <w:sz w:val="20"/>
              </w:rPr>
              <w:t>1,8</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644DB68A" w14:textId="77777777" w:rsidR="00E07B4B" w:rsidRPr="003730B5" w:rsidRDefault="00E07B4B" w:rsidP="00E07B4B">
            <w:pPr>
              <w:keepNext/>
              <w:keepLines/>
              <w:jc w:val="center"/>
              <w:rPr>
                <w:sz w:val="20"/>
              </w:rPr>
            </w:pPr>
            <w:r w:rsidRPr="003730B5">
              <w:rPr>
                <w:sz w:val="20"/>
              </w:rPr>
              <w:t>0,9</w:t>
            </w:r>
          </w:p>
        </w:tc>
      </w:tr>
      <w:tr w:rsidR="00E07B4B" w:rsidRPr="003730B5" w14:paraId="71021513" w14:textId="77777777" w:rsidTr="00133AC8">
        <w:trPr>
          <w:trHeight w:val="298"/>
        </w:trPr>
        <w:tc>
          <w:tcPr>
            <w:tcW w:w="5382" w:type="dxa"/>
            <w:tcBorders>
              <w:top w:val="dashed" w:sz="4" w:space="0" w:color="auto"/>
              <w:left w:val="single" w:sz="8" w:space="0" w:color="auto"/>
              <w:bottom w:val="dashed" w:sz="4" w:space="0" w:color="auto"/>
              <w:right w:val="single" w:sz="4" w:space="0" w:color="auto"/>
            </w:tcBorders>
            <w:noWrap/>
            <w:tcMar>
              <w:top w:w="0" w:type="dxa"/>
              <w:left w:w="70" w:type="dxa"/>
              <w:bottom w:w="0" w:type="dxa"/>
              <w:right w:w="70" w:type="dxa"/>
            </w:tcMar>
            <w:vAlign w:val="bottom"/>
            <w:hideMark/>
          </w:tcPr>
          <w:p w14:paraId="2CFB0F59" w14:textId="11F57CF9" w:rsidR="00E07B4B" w:rsidRPr="003730B5" w:rsidRDefault="00E07B4B" w:rsidP="008B3B35">
            <w:pPr>
              <w:keepNext/>
              <w:keepLines/>
              <w:ind w:left="170"/>
              <w:rPr>
                <w:sz w:val="20"/>
              </w:rPr>
            </w:pPr>
            <w:r w:rsidRPr="003730B5">
              <w:rPr>
                <w:sz w:val="20"/>
              </w:rPr>
              <w:t>D</w:t>
            </w:r>
            <w:r w:rsidR="008B3B35" w:rsidRPr="003730B5">
              <w:rPr>
                <w:sz w:val="20"/>
              </w:rPr>
              <w:t>aň z přidané hodnoty</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368881D4" w14:textId="77777777" w:rsidR="00E07B4B" w:rsidRPr="003730B5" w:rsidRDefault="00E07B4B" w:rsidP="00E07B4B">
            <w:pPr>
              <w:keepNext/>
              <w:keepLines/>
              <w:jc w:val="center"/>
              <w:rPr>
                <w:rFonts w:eastAsiaTheme="minorHAnsi"/>
                <w:sz w:val="20"/>
              </w:rPr>
            </w:pPr>
            <w:r w:rsidRPr="003730B5">
              <w:rPr>
                <w:sz w:val="20"/>
              </w:rPr>
              <w:t>-2,1</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2DE97A35" w14:textId="77777777" w:rsidR="00E07B4B" w:rsidRPr="003730B5" w:rsidRDefault="00E07B4B" w:rsidP="00E07B4B">
            <w:pPr>
              <w:keepNext/>
              <w:keepLines/>
              <w:jc w:val="center"/>
              <w:rPr>
                <w:sz w:val="20"/>
              </w:rPr>
            </w:pPr>
            <w:r w:rsidRPr="003730B5">
              <w:rPr>
                <w:sz w:val="20"/>
              </w:rPr>
              <w:t>-0,2</w:t>
            </w:r>
          </w:p>
        </w:tc>
      </w:tr>
      <w:tr w:rsidR="00E07B4B" w:rsidRPr="003730B5" w14:paraId="4269F660" w14:textId="77777777" w:rsidTr="00133AC8">
        <w:trPr>
          <w:trHeight w:val="298"/>
        </w:trPr>
        <w:tc>
          <w:tcPr>
            <w:tcW w:w="5382" w:type="dxa"/>
            <w:tcBorders>
              <w:top w:val="dashed" w:sz="4" w:space="0" w:color="auto"/>
              <w:left w:val="single" w:sz="8" w:space="0" w:color="auto"/>
              <w:bottom w:val="dashed" w:sz="4" w:space="0" w:color="auto"/>
              <w:right w:val="single" w:sz="4" w:space="0" w:color="auto"/>
            </w:tcBorders>
            <w:noWrap/>
            <w:tcMar>
              <w:top w:w="0" w:type="dxa"/>
              <w:left w:w="70" w:type="dxa"/>
              <w:bottom w:w="0" w:type="dxa"/>
              <w:right w:w="70" w:type="dxa"/>
            </w:tcMar>
            <w:vAlign w:val="bottom"/>
            <w:hideMark/>
          </w:tcPr>
          <w:p w14:paraId="6BD7E751" w14:textId="60E9FD9C" w:rsidR="00E07B4B" w:rsidRPr="003730B5" w:rsidRDefault="008B3B35" w:rsidP="008B3B35">
            <w:pPr>
              <w:keepNext/>
              <w:keepLines/>
              <w:ind w:left="170"/>
              <w:rPr>
                <w:sz w:val="20"/>
              </w:rPr>
            </w:pPr>
            <w:r w:rsidRPr="003730B5">
              <w:rPr>
                <w:sz w:val="20"/>
              </w:rPr>
              <w:t>Daň z příjmů právnických osob</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54D1FC92" w14:textId="77777777" w:rsidR="00E07B4B" w:rsidRPr="003730B5" w:rsidRDefault="00E07B4B" w:rsidP="00E07B4B">
            <w:pPr>
              <w:keepNext/>
              <w:keepLines/>
              <w:jc w:val="center"/>
              <w:rPr>
                <w:rFonts w:eastAsiaTheme="minorHAnsi"/>
                <w:sz w:val="20"/>
              </w:rPr>
            </w:pPr>
            <w:r w:rsidRPr="003730B5">
              <w:rPr>
                <w:sz w:val="20"/>
              </w:rPr>
              <w:t>0,0</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16D3477B" w14:textId="77777777" w:rsidR="00E07B4B" w:rsidRPr="003730B5" w:rsidRDefault="00E07B4B" w:rsidP="00E07B4B">
            <w:pPr>
              <w:keepNext/>
              <w:keepLines/>
              <w:jc w:val="center"/>
              <w:rPr>
                <w:sz w:val="20"/>
              </w:rPr>
            </w:pPr>
            <w:r w:rsidRPr="003730B5">
              <w:rPr>
                <w:sz w:val="20"/>
              </w:rPr>
              <w:t>22,0</w:t>
            </w:r>
          </w:p>
        </w:tc>
      </w:tr>
      <w:tr w:rsidR="00E07B4B" w:rsidRPr="003730B5" w14:paraId="3E21D440" w14:textId="77777777" w:rsidTr="00133AC8">
        <w:trPr>
          <w:trHeight w:val="298"/>
        </w:trPr>
        <w:tc>
          <w:tcPr>
            <w:tcW w:w="5382" w:type="dxa"/>
            <w:tcBorders>
              <w:top w:val="dashed" w:sz="4" w:space="0" w:color="auto"/>
              <w:left w:val="single" w:sz="8" w:space="0" w:color="auto"/>
              <w:bottom w:val="dashed" w:sz="4" w:space="0" w:color="auto"/>
              <w:right w:val="single" w:sz="4" w:space="0" w:color="auto"/>
            </w:tcBorders>
            <w:noWrap/>
            <w:tcMar>
              <w:top w:w="0" w:type="dxa"/>
              <w:left w:w="70" w:type="dxa"/>
              <w:bottom w:w="0" w:type="dxa"/>
              <w:right w:w="70" w:type="dxa"/>
            </w:tcMar>
            <w:vAlign w:val="bottom"/>
            <w:hideMark/>
          </w:tcPr>
          <w:p w14:paraId="5DFC6E57" w14:textId="1563F6AC" w:rsidR="00E07B4B" w:rsidRPr="003730B5" w:rsidRDefault="008B3B35" w:rsidP="00402150">
            <w:pPr>
              <w:keepNext/>
              <w:keepLines/>
              <w:ind w:left="170"/>
              <w:rPr>
                <w:sz w:val="20"/>
              </w:rPr>
            </w:pPr>
            <w:r w:rsidRPr="003730B5">
              <w:rPr>
                <w:sz w:val="20"/>
              </w:rPr>
              <w:t>Daň z hazardních her</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3821E68F" w14:textId="77777777" w:rsidR="00E07B4B" w:rsidRPr="003730B5" w:rsidRDefault="00E07B4B" w:rsidP="00E07B4B">
            <w:pPr>
              <w:keepNext/>
              <w:keepLines/>
              <w:jc w:val="center"/>
              <w:rPr>
                <w:rFonts w:eastAsiaTheme="minorHAnsi"/>
                <w:sz w:val="20"/>
              </w:rPr>
            </w:pPr>
            <w:r w:rsidRPr="003730B5">
              <w:rPr>
                <w:sz w:val="20"/>
              </w:rPr>
              <w:t>4,2</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0796C575" w14:textId="77777777" w:rsidR="00E07B4B" w:rsidRPr="003730B5" w:rsidRDefault="00E07B4B" w:rsidP="00E07B4B">
            <w:pPr>
              <w:keepNext/>
              <w:keepLines/>
              <w:jc w:val="center"/>
              <w:rPr>
                <w:sz w:val="20"/>
              </w:rPr>
            </w:pPr>
            <w:r w:rsidRPr="003730B5">
              <w:rPr>
                <w:sz w:val="20"/>
              </w:rPr>
              <w:t>0,0</w:t>
            </w:r>
          </w:p>
        </w:tc>
      </w:tr>
      <w:tr w:rsidR="00E07B4B" w:rsidRPr="003730B5" w14:paraId="58EFCBBD" w14:textId="77777777" w:rsidTr="00133AC8">
        <w:trPr>
          <w:trHeight w:val="298"/>
        </w:trPr>
        <w:tc>
          <w:tcPr>
            <w:tcW w:w="5382" w:type="dxa"/>
            <w:tcBorders>
              <w:top w:val="dashed" w:sz="4" w:space="0" w:color="auto"/>
              <w:left w:val="single" w:sz="8" w:space="0" w:color="auto"/>
              <w:bottom w:val="dashed" w:sz="4" w:space="0" w:color="auto"/>
              <w:right w:val="single" w:sz="4" w:space="0" w:color="auto"/>
            </w:tcBorders>
            <w:noWrap/>
            <w:tcMar>
              <w:top w:w="0" w:type="dxa"/>
              <w:left w:w="70" w:type="dxa"/>
              <w:bottom w:w="0" w:type="dxa"/>
              <w:right w:w="70" w:type="dxa"/>
            </w:tcMar>
            <w:vAlign w:val="bottom"/>
            <w:hideMark/>
          </w:tcPr>
          <w:p w14:paraId="6BC5B82B" w14:textId="634D3DBB" w:rsidR="00E07B4B" w:rsidRPr="003730B5" w:rsidRDefault="008B3B35" w:rsidP="008B3B35">
            <w:pPr>
              <w:keepNext/>
              <w:keepLines/>
              <w:ind w:left="170"/>
              <w:rPr>
                <w:sz w:val="20"/>
              </w:rPr>
            </w:pPr>
            <w:r w:rsidRPr="003730B5">
              <w:rPr>
                <w:sz w:val="20"/>
              </w:rPr>
              <w:t xml:space="preserve">Spotřební daň </w:t>
            </w:r>
            <w:r w:rsidR="0059506E" w:rsidRPr="003730B5">
              <w:rPr>
                <w:sz w:val="20"/>
              </w:rPr>
              <w:t>–</w:t>
            </w:r>
            <w:r w:rsidRPr="003730B5">
              <w:rPr>
                <w:sz w:val="20"/>
              </w:rPr>
              <w:t xml:space="preserve"> líh</w:t>
            </w:r>
            <w:r w:rsidR="0059506E" w:rsidRPr="003730B5">
              <w:rPr>
                <w:sz w:val="20"/>
              </w:rPr>
              <w:t xml:space="preserve"> </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1B373F69" w14:textId="77777777" w:rsidR="00E07B4B" w:rsidRPr="003730B5" w:rsidRDefault="00E07B4B" w:rsidP="00E07B4B">
            <w:pPr>
              <w:keepNext/>
              <w:keepLines/>
              <w:jc w:val="center"/>
              <w:rPr>
                <w:rFonts w:eastAsiaTheme="minorHAnsi"/>
                <w:sz w:val="20"/>
              </w:rPr>
            </w:pPr>
            <w:r w:rsidRPr="003730B5">
              <w:rPr>
                <w:sz w:val="20"/>
              </w:rPr>
              <w:t>0,5</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3188674D" w14:textId="77777777" w:rsidR="00E07B4B" w:rsidRPr="003730B5" w:rsidRDefault="00E07B4B" w:rsidP="00E07B4B">
            <w:pPr>
              <w:keepNext/>
              <w:keepLines/>
              <w:jc w:val="center"/>
              <w:rPr>
                <w:sz w:val="20"/>
              </w:rPr>
            </w:pPr>
            <w:r w:rsidRPr="003730B5">
              <w:rPr>
                <w:sz w:val="20"/>
              </w:rPr>
              <w:t>0,6</w:t>
            </w:r>
          </w:p>
        </w:tc>
      </w:tr>
      <w:tr w:rsidR="00E07B4B" w:rsidRPr="003730B5" w14:paraId="6D7570A8" w14:textId="77777777" w:rsidTr="00133AC8">
        <w:trPr>
          <w:trHeight w:val="298"/>
        </w:trPr>
        <w:tc>
          <w:tcPr>
            <w:tcW w:w="5382" w:type="dxa"/>
            <w:tcBorders>
              <w:top w:val="dashed" w:sz="4" w:space="0" w:color="auto"/>
              <w:left w:val="single" w:sz="8" w:space="0" w:color="auto"/>
              <w:bottom w:val="dashed" w:sz="4" w:space="0" w:color="auto"/>
              <w:right w:val="single" w:sz="4" w:space="0" w:color="auto"/>
            </w:tcBorders>
            <w:noWrap/>
            <w:tcMar>
              <w:top w:w="0" w:type="dxa"/>
              <w:left w:w="70" w:type="dxa"/>
              <w:bottom w:w="0" w:type="dxa"/>
              <w:right w:w="70" w:type="dxa"/>
            </w:tcMar>
            <w:vAlign w:val="bottom"/>
            <w:hideMark/>
          </w:tcPr>
          <w:p w14:paraId="1AA5ED5B" w14:textId="4847C5FA" w:rsidR="00E07B4B" w:rsidRPr="003730B5" w:rsidRDefault="0059506E" w:rsidP="0059506E">
            <w:pPr>
              <w:keepNext/>
              <w:keepLines/>
              <w:ind w:left="170"/>
              <w:rPr>
                <w:sz w:val="20"/>
              </w:rPr>
            </w:pPr>
            <w:r w:rsidRPr="003730B5">
              <w:rPr>
                <w:sz w:val="20"/>
              </w:rPr>
              <w:t>Pojistné na nemocenské pojištění</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6A8F6F62" w14:textId="77777777" w:rsidR="00E07B4B" w:rsidRPr="003730B5" w:rsidRDefault="00E07B4B" w:rsidP="00E07B4B">
            <w:pPr>
              <w:keepNext/>
              <w:keepLines/>
              <w:jc w:val="center"/>
              <w:rPr>
                <w:rFonts w:eastAsiaTheme="minorHAnsi"/>
                <w:sz w:val="20"/>
              </w:rPr>
            </w:pPr>
            <w:r w:rsidRPr="003730B5">
              <w:rPr>
                <w:sz w:val="20"/>
              </w:rPr>
              <w:t>11,9</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1BB0ECB4" w14:textId="77777777" w:rsidR="00E07B4B" w:rsidRPr="003730B5" w:rsidRDefault="00E07B4B" w:rsidP="00E07B4B">
            <w:pPr>
              <w:keepNext/>
              <w:keepLines/>
              <w:jc w:val="center"/>
              <w:rPr>
                <w:sz w:val="20"/>
              </w:rPr>
            </w:pPr>
            <w:r w:rsidRPr="003730B5">
              <w:rPr>
                <w:sz w:val="20"/>
              </w:rPr>
              <w:t>1,1</w:t>
            </w:r>
          </w:p>
        </w:tc>
      </w:tr>
      <w:tr w:rsidR="00E07B4B" w:rsidRPr="003730B5" w14:paraId="328464BA" w14:textId="77777777" w:rsidTr="00133AC8">
        <w:trPr>
          <w:trHeight w:val="298"/>
        </w:trPr>
        <w:tc>
          <w:tcPr>
            <w:tcW w:w="5382" w:type="dxa"/>
            <w:tcBorders>
              <w:top w:val="dashed" w:sz="4" w:space="0" w:color="auto"/>
              <w:left w:val="single" w:sz="8" w:space="0" w:color="auto"/>
              <w:bottom w:val="dashed" w:sz="4" w:space="0" w:color="auto"/>
              <w:right w:val="single" w:sz="4" w:space="0" w:color="auto"/>
            </w:tcBorders>
            <w:noWrap/>
            <w:tcMar>
              <w:top w:w="0" w:type="dxa"/>
              <w:left w:w="70" w:type="dxa"/>
              <w:bottom w:w="0" w:type="dxa"/>
              <w:right w:w="70" w:type="dxa"/>
            </w:tcMar>
            <w:vAlign w:val="bottom"/>
            <w:hideMark/>
          </w:tcPr>
          <w:p w14:paraId="61660CC3" w14:textId="77BC6B89" w:rsidR="00E07B4B" w:rsidRPr="003730B5" w:rsidRDefault="0059506E" w:rsidP="00402150">
            <w:pPr>
              <w:keepNext/>
              <w:keepLines/>
              <w:ind w:left="170"/>
              <w:rPr>
                <w:sz w:val="20"/>
              </w:rPr>
            </w:pPr>
            <w:r w:rsidRPr="003730B5">
              <w:rPr>
                <w:sz w:val="20"/>
              </w:rPr>
              <w:t>Daň z nemovitých věcí</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23049019" w14:textId="77777777" w:rsidR="00E07B4B" w:rsidRPr="003730B5" w:rsidRDefault="00E07B4B" w:rsidP="00E07B4B">
            <w:pPr>
              <w:keepNext/>
              <w:keepLines/>
              <w:jc w:val="center"/>
              <w:rPr>
                <w:rFonts w:eastAsiaTheme="minorHAnsi"/>
                <w:sz w:val="20"/>
              </w:rPr>
            </w:pPr>
            <w:r w:rsidRPr="003730B5">
              <w:rPr>
                <w:sz w:val="20"/>
              </w:rPr>
              <w:t>9,0</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0118E135" w14:textId="77777777" w:rsidR="00E07B4B" w:rsidRPr="003730B5" w:rsidRDefault="00E07B4B" w:rsidP="00E07B4B">
            <w:pPr>
              <w:keepNext/>
              <w:keepLines/>
              <w:jc w:val="center"/>
              <w:rPr>
                <w:sz w:val="20"/>
              </w:rPr>
            </w:pPr>
            <w:r w:rsidRPr="003730B5">
              <w:rPr>
                <w:sz w:val="20"/>
              </w:rPr>
              <w:t>0,3</w:t>
            </w:r>
          </w:p>
        </w:tc>
      </w:tr>
      <w:tr w:rsidR="00E07B4B" w:rsidRPr="003730B5" w14:paraId="28FEACCA" w14:textId="77777777" w:rsidTr="00133AC8">
        <w:trPr>
          <w:trHeight w:val="298"/>
        </w:trPr>
        <w:tc>
          <w:tcPr>
            <w:tcW w:w="5382" w:type="dxa"/>
            <w:tcBorders>
              <w:top w:val="dashed" w:sz="4" w:space="0" w:color="auto"/>
              <w:left w:val="single" w:sz="8" w:space="0" w:color="auto"/>
              <w:bottom w:val="dashed" w:sz="4" w:space="0" w:color="auto"/>
              <w:right w:val="single" w:sz="4" w:space="0" w:color="auto"/>
            </w:tcBorders>
            <w:noWrap/>
            <w:tcMar>
              <w:top w:w="0" w:type="dxa"/>
              <w:left w:w="70" w:type="dxa"/>
              <w:bottom w:w="0" w:type="dxa"/>
              <w:right w:w="70" w:type="dxa"/>
            </w:tcMar>
            <w:vAlign w:val="bottom"/>
            <w:hideMark/>
          </w:tcPr>
          <w:p w14:paraId="15E40084" w14:textId="16D06E4F" w:rsidR="00E07B4B" w:rsidRPr="003730B5" w:rsidRDefault="00E07B4B" w:rsidP="00402150">
            <w:pPr>
              <w:keepNext/>
              <w:keepLines/>
              <w:ind w:left="170"/>
              <w:rPr>
                <w:sz w:val="20"/>
              </w:rPr>
            </w:pPr>
            <w:r w:rsidRPr="003730B5">
              <w:rPr>
                <w:sz w:val="20"/>
              </w:rPr>
              <w:t>Ostatní příjmy</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66F47A57" w14:textId="77777777" w:rsidR="00E07B4B" w:rsidRPr="003730B5" w:rsidRDefault="00E07B4B" w:rsidP="00E07B4B">
            <w:pPr>
              <w:keepNext/>
              <w:keepLines/>
              <w:jc w:val="center"/>
              <w:rPr>
                <w:rFonts w:eastAsiaTheme="minorHAnsi"/>
                <w:sz w:val="20"/>
              </w:rPr>
            </w:pPr>
            <w:r w:rsidRPr="003730B5">
              <w:rPr>
                <w:sz w:val="20"/>
              </w:rPr>
              <w:t>-0,3</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4C064E82" w14:textId="77777777" w:rsidR="00E07B4B" w:rsidRPr="003730B5" w:rsidRDefault="00E07B4B" w:rsidP="00E07B4B">
            <w:pPr>
              <w:keepNext/>
              <w:keepLines/>
              <w:jc w:val="center"/>
              <w:rPr>
                <w:sz w:val="20"/>
              </w:rPr>
            </w:pPr>
            <w:r w:rsidRPr="003730B5">
              <w:rPr>
                <w:sz w:val="20"/>
              </w:rPr>
              <w:t>-0,1</w:t>
            </w:r>
          </w:p>
        </w:tc>
      </w:tr>
      <w:tr w:rsidR="00E07B4B" w:rsidRPr="003730B5" w14:paraId="1261D076" w14:textId="77777777" w:rsidTr="00133AC8">
        <w:trPr>
          <w:trHeight w:val="298"/>
        </w:trPr>
        <w:tc>
          <w:tcPr>
            <w:tcW w:w="5382" w:type="dxa"/>
            <w:tcBorders>
              <w:top w:val="dashed" w:sz="4" w:space="0" w:color="auto"/>
              <w:left w:val="single" w:sz="8" w:space="0" w:color="auto"/>
              <w:bottom w:val="dashed" w:sz="4" w:space="0" w:color="auto"/>
              <w:right w:val="single" w:sz="4" w:space="0" w:color="auto"/>
            </w:tcBorders>
            <w:noWrap/>
            <w:tcMar>
              <w:top w:w="0" w:type="dxa"/>
              <w:left w:w="70" w:type="dxa"/>
              <w:bottom w:w="0" w:type="dxa"/>
              <w:right w:w="70" w:type="dxa"/>
            </w:tcMar>
            <w:vAlign w:val="bottom"/>
            <w:hideMark/>
          </w:tcPr>
          <w:p w14:paraId="2FAA0F99" w14:textId="6454A67E" w:rsidR="00E07B4B" w:rsidRPr="003730B5" w:rsidRDefault="0059506E" w:rsidP="00402150">
            <w:pPr>
              <w:keepNext/>
              <w:keepLines/>
              <w:ind w:left="170"/>
              <w:rPr>
                <w:sz w:val="20"/>
              </w:rPr>
            </w:pPr>
            <w:r w:rsidRPr="003730B5">
              <w:rPr>
                <w:sz w:val="20"/>
              </w:rPr>
              <w:t>Odvody osob samostatně výdělečně činných</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2A252811" w14:textId="77777777" w:rsidR="00E07B4B" w:rsidRPr="003730B5" w:rsidRDefault="00E07B4B" w:rsidP="00E07B4B">
            <w:pPr>
              <w:keepNext/>
              <w:keepLines/>
              <w:jc w:val="center"/>
              <w:rPr>
                <w:rFonts w:eastAsiaTheme="minorHAnsi"/>
                <w:sz w:val="20"/>
              </w:rPr>
            </w:pPr>
            <w:r w:rsidRPr="003730B5">
              <w:rPr>
                <w:sz w:val="20"/>
              </w:rPr>
              <w:t>3,0</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6E7ED297" w14:textId="77777777" w:rsidR="00E07B4B" w:rsidRPr="003730B5" w:rsidRDefault="00E07B4B" w:rsidP="00E07B4B">
            <w:pPr>
              <w:keepNext/>
              <w:keepLines/>
              <w:jc w:val="center"/>
              <w:rPr>
                <w:sz w:val="20"/>
              </w:rPr>
            </w:pPr>
            <w:r w:rsidRPr="003730B5">
              <w:rPr>
                <w:sz w:val="20"/>
              </w:rPr>
              <w:t>4,5</w:t>
            </w:r>
          </w:p>
        </w:tc>
      </w:tr>
      <w:tr w:rsidR="00E07B4B" w:rsidRPr="003730B5" w14:paraId="6B63B5E0" w14:textId="77777777" w:rsidTr="00133AC8">
        <w:trPr>
          <w:trHeight w:val="298"/>
        </w:trPr>
        <w:tc>
          <w:tcPr>
            <w:tcW w:w="5382" w:type="dxa"/>
            <w:tcBorders>
              <w:top w:val="dashed" w:sz="4" w:space="0" w:color="auto"/>
              <w:left w:val="single" w:sz="8" w:space="0" w:color="auto"/>
              <w:bottom w:val="dashed" w:sz="4" w:space="0" w:color="auto"/>
              <w:right w:val="single" w:sz="4" w:space="0" w:color="auto"/>
            </w:tcBorders>
            <w:noWrap/>
            <w:tcMar>
              <w:top w:w="0" w:type="dxa"/>
              <w:left w:w="70" w:type="dxa"/>
              <w:bottom w:w="0" w:type="dxa"/>
              <w:right w:w="70" w:type="dxa"/>
            </w:tcMar>
            <w:vAlign w:val="bottom"/>
            <w:hideMark/>
          </w:tcPr>
          <w:p w14:paraId="104452EA" w14:textId="5215ABAF" w:rsidR="00E07B4B" w:rsidRPr="003730B5" w:rsidRDefault="008B3B35" w:rsidP="008B3B35">
            <w:pPr>
              <w:keepNext/>
              <w:keepLines/>
              <w:ind w:left="170"/>
              <w:rPr>
                <w:sz w:val="20"/>
              </w:rPr>
            </w:pPr>
            <w:r w:rsidRPr="003730B5">
              <w:rPr>
                <w:sz w:val="20"/>
              </w:rPr>
              <w:t xml:space="preserve">Spotřební daň </w:t>
            </w:r>
            <w:r w:rsidR="0059506E" w:rsidRPr="003730B5">
              <w:rPr>
                <w:sz w:val="20"/>
              </w:rPr>
              <w:t>–</w:t>
            </w:r>
            <w:r w:rsidRPr="003730B5">
              <w:rPr>
                <w:sz w:val="20"/>
              </w:rPr>
              <w:t xml:space="preserve"> tabák</w:t>
            </w:r>
            <w:r w:rsidR="0059506E" w:rsidRPr="003730B5">
              <w:rPr>
                <w:sz w:val="20"/>
              </w:rPr>
              <w:t xml:space="preserve"> </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282D96F4" w14:textId="77777777" w:rsidR="00E07B4B" w:rsidRPr="003730B5" w:rsidRDefault="00E07B4B" w:rsidP="00E07B4B">
            <w:pPr>
              <w:keepNext/>
              <w:keepLines/>
              <w:jc w:val="center"/>
              <w:rPr>
                <w:rFonts w:eastAsiaTheme="minorHAnsi"/>
                <w:sz w:val="20"/>
              </w:rPr>
            </w:pPr>
            <w:r w:rsidRPr="003730B5">
              <w:rPr>
                <w:sz w:val="20"/>
              </w:rPr>
              <w:t>3,2</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7804CE1A" w14:textId="77777777" w:rsidR="00E07B4B" w:rsidRPr="003730B5" w:rsidRDefault="00E07B4B" w:rsidP="00E07B4B">
            <w:pPr>
              <w:keepNext/>
              <w:keepLines/>
              <w:jc w:val="center"/>
              <w:rPr>
                <w:sz w:val="20"/>
              </w:rPr>
            </w:pPr>
            <w:r w:rsidRPr="003730B5">
              <w:rPr>
                <w:sz w:val="20"/>
              </w:rPr>
              <w:t>2,8</w:t>
            </w:r>
          </w:p>
        </w:tc>
      </w:tr>
      <w:tr w:rsidR="00E07B4B" w:rsidRPr="003730B5" w14:paraId="0BC11CF4" w14:textId="77777777" w:rsidTr="00133AC8">
        <w:trPr>
          <w:trHeight w:val="298"/>
        </w:trPr>
        <w:tc>
          <w:tcPr>
            <w:tcW w:w="5382" w:type="dxa"/>
            <w:tcBorders>
              <w:top w:val="dashed" w:sz="4" w:space="0" w:color="auto"/>
              <w:left w:val="single" w:sz="8" w:space="0" w:color="auto"/>
              <w:bottom w:val="single" w:sz="8" w:space="0" w:color="auto"/>
              <w:right w:val="single" w:sz="4" w:space="0" w:color="auto"/>
            </w:tcBorders>
            <w:noWrap/>
            <w:tcMar>
              <w:top w:w="0" w:type="dxa"/>
              <w:left w:w="70" w:type="dxa"/>
              <w:bottom w:w="0" w:type="dxa"/>
              <w:right w:w="70" w:type="dxa"/>
            </w:tcMar>
            <w:vAlign w:val="bottom"/>
            <w:hideMark/>
          </w:tcPr>
          <w:p w14:paraId="2A2729F5" w14:textId="3FAD1743" w:rsidR="00E07B4B" w:rsidRPr="003730B5" w:rsidRDefault="0059506E" w:rsidP="0059506E">
            <w:pPr>
              <w:keepNext/>
              <w:keepLines/>
              <w:ind w:left="170"/>
              <w:rPr>
                <w:sz w:val="20"/>
              </w:rPr>
            </w:pPr>
            <w:r w:rsidRPr="003730B5">
              <w:rPr>
                <w:sz w:val="20"/>
              </w:rPr>
              <w:t xml:space="preserve">Omezení </w:t>
            </w:r>
            <w:r w:rsidR="00133AC8" w:rsidRPr="003730B5">
              <w:rPr>
                <w:sz w:val="20"/>
              </w:rPr>
              <w:t>a </w:t>
            </w:r>
            <w:r w:rsidRPr="003730B5">
              <w:rPr>
                <w:sz w:val="20"/>
              </w:rPr>
              <w:t>rušení daňových výjimek</w:t>
            </w:r>
          </w:p>
        </w:tc>
        <w:tc>
          <w:tcPr>
            <w:tcW w:w="1845" w:type="dxa"/>
            <w:tcBorders>
              <w:top w:val="dashed" w:sz="4" w:space="0" w:color="auto"/>
              <w:left w:val="single" w:sz="4" w:space="0" w:color="auto"/>
              <w:bottom w:val="single" w:sz="8" w:space="0" w:color="auto"/>
              <w:right w:val="single" w:sz="4" w:space="0" w:color="auto"/>
            </w:tcBorders>
            <w:shd w:val="clear" w:color="auto" w:fill="auto"/>
            <w:noWrap/>
            <w:tcMar>
              <w:top w:w="0" w:type="dxa"/>
              <w:left w:w="70" w:type="dxa"/>
              <w:bottom w:w="0" w:type="dxa"/>
              <w:right w:w="70" w:type="dxa"/>
            </w:tcMar>
            <w:vAlign w:val="center"/>
            <w:hideMark/>
          </w:tcPr>
          <w:p w14:paraId="3B816DFA" w14:textId="77777777" w:rsidR="00E07B4B" w:rsidRPr="003730B5" w:rsidRDefault="00E07B4B" w:rsidP="00E07B4B">
            <w:pPr>
              <w:keepNext/>
              <w:keepLines/>
              <w:jc w:val="center"/>
              <w:rPr>
                <w:sz w:val="20"/>
              </w:rPr>
            </w:pPr>
            <w:r w:rsidRPr="003730B5">
              <w:rPr>
                <w:sz w:val="20"/>
              </w:rPr>
              <w:t>2,3</w:t>
            </w:r>
          </w:p>
        </w:tc>
        <w:tc>
          <w:tcPr>
            <w:tcW w:w="1845" w:type="dxa"/>
            <w:tcBorders>
              <w:top w:val="dashed" w:sz="4" w:space="0" w:color="auto"/>
              <w:left w:val="single" w:sz="4" w:space="0" w:color="auto"/>
              <w:bottom w:val="single" w:sz="8" w:space="0" w:color="auto"/>
              <w:right w:val="single" w:sz="4" w:space="0" w:color="auto"/>
            </w:tcBorders>
            <w:shd w:val="clear" w:color="auto" w:fill="auto"/>
            <w:noWrap/>
            <w:tcMar>
              <w:top w:w="0" w:type="dxa"/>
              <w:left w:w="70" w:type="dxa"/>
              <w:bottom w:w="0" w:type="dxa"/>
              <w:right w:w="70" w:type="dxa"/>
            </w:tcMar>
            <w:vAlign w:val="center"/>
            <w:hideMark/>
          </w:tcPr>
          <w:p w14:paraId="6F64DEB8" w14:textId="77777777" w:rsidR="00E07B4B" w:rsidRPr="003730B5" w:rsidRDefault="00E07B4B" w:rsidP="00E07B4B">
            <w:pPr>
              <w:keepNext/>
              <w:keepLines/>
              <w:jc w:val="center"/>
              <w:rPr>
                <w:sz w:val="20"/>
              </w:rPr>
            </w:pPr>
            <w:r w:rsidRPr="003730B5">
              <w:rPr>
                <w:sz w:val="20"/>
              </w:rPr>
              <w:t>5,3</w:t>
            </w:r>
          </w:p>
        </w:tc>
      </w:tr>
      <w:tr w:rsidR="00E07B4B" w:rsidRPr="003730B5" w14:paraId="26284A63" w14:textId="77777777" w:rsidTr="00402150">
        <w:trPr>
          <w:trHeight w:val="298"/>
        </w:trPr>
        <w:tc>
          <w:tcPr>
            <w:tcW w:w="5382" w:type="dxa"/>
            <w:tcBorders>
              <w:top w:val="nil"/>
              <w:left w:val="single" w:sz="8" w:space="0" w:color="auto"/>
              <w:bottom w:val="single" w:sz="4" w:space="0" w:color="auto"/>
              <w:right w:val="single" w:sz="4" w:space="0" w:color="auto"/>
            </w:tcBorders>
            <w:shd w:val="clear" w:color="auto" w:fill="EAF1DD" w:themeFill="accent3" w:themeFillTint="33"/>
            <w:noWrap/>
            <w:tcMar>
              <w:top w:w="0" w:type="dxa"/>
              <w:left w:w="70" w:type="dxa"/>
              <w:bottom w:w="0" w:type="dxa"/>
              <w:right w:w="70" w:type="dxa"/>
            </w:tcMar>
            <w:vAlign w:val="bottom"/>
            <w:hideMark/>
          </w:tcPr>
          <w:p w14:paraId="459F3CCC" w14:textId="512FA924" w:rsidR="00E07B4B" w:rsidRPr="003730B5" w:rsidRDefault="00E07B4B" w:rsidP="00402150">
            <w:pPr>
              <w:keepNext/>
              <w:keepLines/>
              <w:ind w:left="170"/>
              <w:rPr>
                <w:sz w:val="20"/>
              </w:rPr>
            </w:pPr>
            <w:r w:rsidRPr="003730B5">
              <w:rPr>
                <w:b/>
                <w:sz w:val="20"/>
              </w:rPr>
              <w:t>Výdaje</w:t>
            </w:r>
          </w:p>
        </w:tc>
        <w:tc>
          <w:tcPr>
            <w:tcW w:w="1845" w:type="dxa"/>
            <w:tcBorders>
              <w:left w:val="single" w:sz="4" w:space="0" w:color="auto"/>
              <w:bottom w:val="single" w:sz="4" w:space="0" w:color="auto"/>
              <w:right w:val="single" w:sz="4" w:space="0" w:color="auto"/>
            </w:tcBorders>
            <w:shd w:val="clear" w:color="auto" w:fill="EAF1DD" w:themeFill="accent3" w:themeFillTint="33"/>
            <w:noWrap/>
            <w:tcMar>
              <w:top w:w="0" w:type="dxa"/>
              <w:left w:w="70" w:type="dxa"/>
              <w:bottom w:w="0" w:type="dxa"/>
              <w:right w:w="70" w:type="dxa"/>
            </w:tcMar>
            <w:vAlign w:val="center"/>
            <w:hideMark/>
          </w:tcPr>
          <w:p w14:paraId="08EC3A33" w14:textId="77777777" w:rsidR="00E07B4B" w:rsidRPr="003730B5" w:rsidRDefault="00E07B4B" w:rsidP="00E07B4B">
            <w:pPr>
              <w:keepNext/>
              <w:keepLines/>
              <w:jc w:val="center"/>
              <w:rPr>
                <w:rFonts w:eastAsiaTheme="minorHAnsi"/>
                <w:b/>
                <w:bCs/>
                <w:sz w:val="20"/>
              </w:rPr>
            </w:pPr>
            <w:r w:rsidRPr="003730B5">
              <w:rPr>
                <w:b/>
                <w:bCs/>
                <w:sz w:val="20"/>
              </w:rPr>
              <w:t>62,5</w:t>
            </w:r>
          </w:p>
        </w:tc>
        <w:tc>
          <w:tcPr>
            <w:tcW w:w="1845" w:type="dxa"/>
            <w:tcBorders>
              <w:left w:val="single" w:sz="4" w:space="0" w:color="auto"/>
              <w:bottom w:val="single" w:sz="4" w:space="0" w:color="auto"/>
              <w:right w:val="single" w:sz="4" w:space="0" w:color="auto"/>
            </w:tcBorders>
            <w:shd w:val="clear" w:color="auto" w:fill="EAF1DD" w:themeFill="accent3" w:themeFillTint="33"/>
            <w:noWrap/>
            <w:tcMar>
              <w:top w:w="0" w:type="dxa"/>
              <w:left w:w="70" w:type="dxa"/>
              <w:bottom w:w="0" w:type="dxa"/>
              <w:right w:w="70" w:type="dxa"/>
            </w:tcMar>
            <w:vAlign w:val="center"/>
            <w:hideMark/>
          </w:tcPr>
          <w:p w14:paraId="69817311" w14:textId="77777777" w:rsidR="00E07B4B" w:rsidRPr="003730B5" w:rsidRDefault="00E07B4B" w:rsidP="00E07B4B">
            <w:pPr>
              <w:keepNext/>
              <w:keepLines/>
              <w:jc w:val="center"/>
              <w:rPr>
                <w:b/>
                <w:bCs/>
                <w:sz w:val="20"/>
              </w:rPr>
            </w:pPr>
            <w:r w:rsidRPr="003730B5">
              <w:rPr>
                <w:b/>
                <w:bCs/>
                <w:sz w:val="20"/>
              </w:rPr>
              <w:t>15,9</w:t>
            </w:r>
          </w:p>
        </w:tc>
      </w:tr>
      <w:tr w:rsidR="00E07B4B" w:rsidRPr="003730B5" w14:paraId="06BFA448" w14:textId="77777777" w:rsidTr="00133AC8">
        <w:trPr>
          <w:trHeight w:val="298"/>
        </w:trPr>
        <w:tc>
          <w:tcPr>
            <w:tcW w:w="5382" w:type="dxa"/>
            <w:tcBorders>
              <w:top w:val="single" w:sz="4" w:space="0" w:color="auto"/>
              <w:left w:val="single" w:sz="8" w:space="0" w:color="auto"/>
              <w:bottom w:val="dashed" w:sz="4" w:space="0" w:color="auto"/>
              <w:right w:val="single" w:sz="4" w:space="0" w:color="auto"/>
            </w:tcBorders>
            <w:noWrap/>
            <w:tcMar>
              <w:top w:w="0" w:type="dxa"/>
              <w:left w:w="70" w:type="dxa"/>
              <w:bottom w:w="0" w:type="dxa"/>
              <w:right w:w="70" w:type="dxa"/>
            </w:tcMar>
            <w:vAlign w:val="bottom"/>
            <w:hideMark/>
          </w:tcPr>
          <w:p w14:paraId="4F480C3D" w14:textId="785A7706" w:rsidR="00E07B4B" w:rsidRPr="003730B5" w:rsidRDefault="00E07B4B" w:rsidP="00402150">
            <w:pPr>
              <w:keepNext/>
              <w:keepLines/>
              <w:ind w:left="170"/>
              <w:rPr>
                <w:sz w:val="20"/>
              </w:rPr>
            </w:pPr>
            <w:r w:rsidRPr="003730B5">
              <w:rPr>
                <w:sz w:val="20"/>
              </w:rPr>
              <w:t>Dotace</w:t>
            </w:r>
          </w:p>
        </w:tc>
        <w:tc>
          <w:tcPr>
            <w:tcW w:w="1845" w:type="dxa"/>
            <w:tcBorders>
              <w:top w:val="single"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1A0A538F" w14:textId="77777777" w:rsidR="00E07B4B" w:rsidRPr="003730B5" w:rsidRDefault="00E07B4B" w:rsidP="00E07B4B">
            <w:pPr>
              <w:keepNext/>
              <w:keepLines/>
              <w:jc w:val="center"/>
              <w:rPr>
                <w:rFonts w:eastAsiaTheme="minorHAnsi"/>
                <w:sz w:val="20"/>
              </w:rPr>
            </w:pPr>
            <w:r w:rsidRPr="003730B5">
              <w:rPr>
                <w:sz w:val="20"/>
              </w:rPr>
              <w:t>45,6</w:t>
            </w:r>
          </w:p>
        </w:tc>
        <w:tc>
          <w:tcPr>
            <w:tcW w:w="1845" w:type="dxa"/>
            <w:tcBorders>
              <w:top w:val="single"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19344ECC" w14:textId="77777777" w:rsidR="00E07B4B" w:rsidRPr="003730B5" w:rsidRDefault="00E07B4B" w:rsidP="00E07B4B">
            <w:pPr>
              <w:keepNext/>
              <w:keepLines/>
              <w:jc w:val="center"/>
              <w:rPr>
                <w:sz w:val="20"/>
              </w:rPr>
            </w:pPr>
            <w:r w:rsidRPr="003730B5">
              <w:rPr>
                <w:sz w:val="20"/>
              </w:rPr>
              <w:t>8,8</w:t>
            </w:r>
          </w:p>
        </w:tc>
      </w:tr>
      <w:tr w:rsidR="00E07B4B" w:rsidRPr="003730B5" w14:paraId="4484F9D5" w14:textId="77777777" w:rsidTr="00133AC8">
        <w:trPr>
          <w:trHeight w:val="298"/>
        </w:trPr>
        <w:tc>
          <w:tcPr>
            <w:tcW w:w="5382" w:type="dxa"/>
            <w:tcBorders>
              <w:top w:val="dashed" w:sz="4" w:space="0" w:color="auto"/>
              <w:left w:val="single" w:sz="8" w:space="0" w:color="auto"/>
              <w:bottom w:val="dashed" w:sz="4" w:space="0" w:color="auto"/>
              <w:right w:val="single" w:sz="4" w:space="0" w:color="auto"/>
            </w:tcBorders>
            <w:noWrap/>
            <w:tcMar>
              <w:top w:w="0" w:type="dxa"/>
              <w:left w:w="70" w:type="dxa"/>
              <w:bottom w:w="0" w:type="dxa"/>
              <w:right w:w="70" w:type="dxa"/>
            </w:tcMar>
            <w:vAlign w:val="bottom"/>
            <w:hideMark/>
          </w:tcPr>
          <w:p w14:paraId="6CAECD0D" w14:textId="48284A84" w:rsidR="00E07B4B" w:rsidRPr="003730B5" w:rsidRDefault="00E07B4B" w:rsidP="00402150">
            <w:pPr>
              <w:keepNext/>
              <w:keepLines/>
              <w:ind w:left="170"/>
              <w:rPr>
                <w:sz w:val="20"/>
              </w:rPr>
            </w:pPr>
            <w:r w:rsidRPr="003730B5">
              <w:rPr>
                <w:sz w:val="20"/>
              </w:rPr>
              <w:t>Platy</w:t>
            </w:r>
            <w:r w:rsidR="0059506E" w:rsidRPr="003730B5">
              <w:rPr>
                <w:sz w:val="20"/>
              </w:rPr>
              <w:t xml:space="preserve"> ve státní sféře</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08FD5078" w14:textId="77777777" w:rsidR="00E07B4B" w:rsidRPr="003730B5" w:rsidRDefault="00E07B4B" w:rsidP="00E07B4B">
            <w:pPr>
              <w:keepNext/>
              <w:keepLines/>
              <w:jc w:val="center"/>
              <w:rPr>
                <w:rFonts w:eastAsiaTheme="minorHAnsi"/>
                <w:sz w:val="20"/>
              </w:rPr>
            </w:pPr>
            <w:r w:rsidRPr="003730B5">
              <w:rPr>
                <w:sz w:val="20"/>
              </w:rPr>
              <w:t>9,9</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7904B447" w14:textId="77777777" w:rsidR="00E07B4B" w:rsidRPr="003730B5" w:rsidRDefault="00E07B4B" w:rsidP="00E07B4B">
            <w:pPr>
              <w:keepNext/>
              <w:keepLines/>
              <w:jc w:val="center"/>
              <w:rPr>
                <w:sz w:val="20"/>
              </w:rPr>
            </w:pPr>
            <w:r w:rsidRPr="003730B5">
              <w:rPr>
                <w:sz w:val="20"/>
              </w:rPr>
              <w:t>0,0</w:t>
            </w:r>
          </w:p>
        </w:tc>
      </w:tr>
      <w:tr w:rsidR="00E07B4B" w:rsidRPr="003730B5" w14:paraId="0145A8C6" w14:textId="77777777" w:rsidTr="00133AC8">
        <w:trPr>
          <w:trHeight w:val="298"/>
        </w:trPr>
        <w:tc>
          <w:tcPr>
            <w:tcW w:w="5382" w:type="dxa"/>
            <w:tcBorders>
              <w:top w:val="dashed" w:sz="4" w:space="0" w:color="auto"/>
              <w:left w:val="single" w:sz="8" w:space="0" w:color="auto"/>
              <w:bottom w:val="dashed" w:sz="4" w:space="0" w:color="auto"/>
              <w:right w:val="single" w:sz="4" w:space="0" w:color="auto"/>
            </w:tcBorders>
            <w:noWrap/>
            <w:tcMar>
              <w:top w:w="0" w:type="dxa"/>
              <w:left w:w="70" w:type="dxa"/>
              <w:bottom w:w="0" w:type="dxa"/>
              <w:right w:w="70" w:type="dxa"/>
            </w:tcMar>
            <w:vAlign w:val="bottom"/>
            <w:hideMark/>
          </w:tcPr>
          <w:p w14:paraId="1368390B" w14:textId="4AB247DC" w:rsidR="00E07B4B" w:rsidRPr="003730B5" w:rsidRDefault="00E07B4B" w:rsidP="00402150">
            <w:pPr>
              <w:keepNext/>
              <w:keepLines/>
              <w:ind w:left="170"/>
              <w:rPr>
                <w:sz w:val="20"/>
              </w:rPr>
            </w:pPr>
            <w:r w:rsidRPr="003730B5">
              <w:rPr>
                <w:sz w:val="20"/>
              </w:rPr>
              <w:t>Provoz</w:t>
            </w:r>
            <w:r w:rsidR="0059506E" w:rsidRPr="003730B5">
              <w:rPr>
                <w:sz w:val="20"/>
              </w:rPr>
              <w:t>ní výdaje ve státní sféře</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20610E8D" w14:textId="77777777" w:rsidR="00E07B4B" w:rsidRPr="003730B5" w:rsidRDefault="00E07B4B" w:rsidP="00E07B4B">
            <w:pPr>
              <w:keepNext/>
              <w:keepLines/>
              <w:jc w:val="center"/>
              <w:rPr>
                <w:rFonts w:eastAsiaTheme="minorHAnsi"/>
                <w:sz w:val="20"/>
              </w:rPr>
            </w:pPr>
            <w:r w:rsidRPr="003730B5">
              <w:rPr>
                <w:sz w:val="20"/>
              </w:rPr>
              <w:t>6,1</w:t>
            </w:r>
          </w:p>
        </w:tc>
        <w:tc>
          <w:tcPr>
            <w:tcW w:w="1845" w:type="dxa"/>
            <w:tcBorders>
              <w:top w:val="dashed" w:sz="4" w:space="0" w:color="auto"/>
              <w:left w:val="single" w:sz="4" w:space="0" w:color="auto"/>
              <w:bottom w:val="dashed" w:sz="4" w:space="0" w:color="auto"/>
              <w:right w:val="single" w:sz="4" w:space="0" w:color="auto"/>
            </w:tcBorders>
            <w:shd w:val="clear" w:color="auto" w:fill="auto"/>
            <w:noWrap/>
            <w:tcMar>
              <w:top w:w="0" w:type="dxa"/>
              <w:left w:w="70" w:type="dxa"/>
              <w:bottom w:w="0" w:type="dxa"/>
              <w:right w:w="70" w:type="dxa"/>
            </w:tcMar>
            <w:vAlign w:val="center"/>
            <w:hideMark/>
          </w:tcPr>
          <w:p w14:paraId="4677E980" w14:textId="77777777" w:rsidR="00E07B4B" w:rsidRPr="003730B5" w:rsidRDefault="00E07B4B" w:rsidP="00E07B4B">
            <w:pPr>
              <w:keepNext/>
              <w:keepLines/>
              <w:jc w:val="center"/>
              <w:rPr>
                <w:sz w:val="20"/>
              </w:rPr>
            </w:pPr>
            <w:r w:rsidRPr="003730B5">
              <w:rPr>
                <w:sz w:val="20"/>
              </w:rPr>
              <w:t>5,1</w:t>
            </w:r>
          </w:p>
        </w:tc>
      </w:tr>
      <w:tr w:rsidR="00E07B4B" w:rsidRPr="003730B5" w14:paraId="6F57AB36" w14:textId="77777777" w:rsidTr="00133AC8">
        <w:trPr>
          <w:trHeight w:val="298"/>
        </w:trPr>
        <w:tc>
          <w:tcPr>
            <w:tcW w:w="5382" w:type="dxa"/>
            <w:tcBorders>
              <w:top w:val="dashed" w:sz="4" w:space="0" w:color="auto"/>
              <w:left w:val="single" w:sz="8" w:space="0" w:color="auto"/>
              <w:bottom w:val="single" w:sz="12" w:space="0" w:color="auto"/>
              <w:right w:val="single" w:sz="4" w:space="0" w:color="auto"/>
            </w:tcBorders>
            <w:noWrap/>
            <w:tcMar>
              <w:top w:w="0" w:type="dxa"/>
              <w:left w:w="70" w:type="dxa"/>
              <w:bottom w:w="0" w:type="dxa"/>
              <w:right w:w="70" w:type="dxa"/>
            </w:tcMar>
            <w:vAlign w:val="bottom"/>
            <w:hideMark/>
          </w:tcPr>
          <w:p w14:paraId="757B8564" w14:textId="530C067F" w:rsidR="00E07B4B" w:rsidRPr="003730B5" w:rsidRDefault="00E07B4B" w:rsidP="00402150">
            <w:pPr>
              <w:keepNext/>
              <w:keepLines/>
              <w:ind w:left="170"/>
              <w:rPr>
                <w:sz w:val="20"/>
              </w:rPr>
            </w:pPr>
            <w:r w:rsidRPr="003730B5">
              <w:rPr>
                <w:sz w:val="20"/>
              </w:rPr>
              <w:t>Ostatní výdaje </w:t>
            </w:r>
          </w:p>
        </w:tc>
        <w:tc>
          <w:tcPr>
            <w:tcW w:w="1845" w:type="dxa"/>
            <w:tcBorders>
              <w:top w:val="dashed" w:sz="4" w:space="0" w:color="auto"/>
              <w:left w:val="single" w:sz="4" w:space="0" w:color="auto"/>
              <w:bottom w:val="single" w:sz="12" w:space="0" w:color="auto"/>
              <w:right w:val="single" w:sz="4" w:space="0" w:color="auto"/>
            </w:tcBorders>
            <w:shd w:val="clear" w:color="auto" w:fill="auto"/>
            <w:noWrap/>
            <w:tcMar>
              <w:top w:w="0" w:type="dxa"/>
              <w:left w:w="70" w:type="dxa"/>
              <w:bottom w:w="0" w:type="dxa"/>
              <w:right w:w="70" w:type="dxa"/>
            </w:tcMar>
            <w:vAlign w:val="center"/>
            <w:hideMark/>
          </w:tcPr>
          <w:p w14:paraId="1EB94E6F" w14:textId="77777777" w:rsidR="00E07B4B" w:rsidRPr="003730B5" w:rsidRDefault="00E07B4B" w:rsidP="00E07B4B">
            <w:pPr>
              <w:keepNext/>
              <w:keepLines/>
              <w:jc w:val="center"/>
              <w:rPr>
                <w:sz w:val="20"/>
              </w:rPr>
            </w:pPr>
            <w:r w:rsidRPr="003730B5">
              <w:rPr>
                <w:sz w:val="20"/>
              </w:rPr>
              <w:t>1,0</w:t>
            </w:r>
          </w:p>
        </w:tc>
        <w:tc>
          <w:tcPr>
            <w:tcW w:w="1845" w:type="dxa"/>
            <w:tcBorders>
              <w:top w:val="dashed" w:sz="4" w:space="0" w:color="auto"/>
              <w:left w:val="single" w:sz="4" w:space="0" w:color="auto"/>
              <w:bottom w:val="single" w:sz="12" w:space="0" w:color="auto"/>
              <w:right w:val="single" w:sz="4" w:space="0" w:color="auto"/>
            </w:tcBorders>
            <w:shd w:val="clear" w:color="auto" w:fill="auto"/>
            <w:noWrap/>
            <w:tcMar>
              <w:top w:w="0" w:type="dxa"/>
              <w:left w:w="70" w:type="dxa"/>
              <w:bottom w:w="0" w:type="dxa"/>
              <w:right w:w="70" w:type="dxa"/>
            </w:tcMar>
            <w:vAlign w:val="center"/>
            <w:hideMark/>
          </w:tcPr>
          <w:p w14:paraId="4602AA9A" w14:textId="77777777" w:rsidR="00E07B4B" w:rsidRPr="003730B5" w:rsidRDefault="00E07B4B" w:rsidP="00E07B4B">
            <w:pPr>
              <w:keepNext/>
              <w:keepLines/>
              <w:jc w:val="center"/>
              <w:rPr>
                <w:sz w:val="20"/>
              </w:rPr>
            </w:pPr>
            <w:r w:rsidRPr="003730B5">
              <w:rPr>
                <w:sz w:val="20"/>
              </w:rPr>
              <w:t>2,0</w:t>
            </w:r>
          </w:p>
        </w:tc>
      </w:tr>
    </w:tbl>
    <w:p w14:paraId="1EA7EAAA" w14:textId="1B6671CE" w:rsidR="00A44E05" w:rsidRPr="003730B5" w:rsidRDefault="00A44E05" w:rsidP="002767E3">
      <w:pPr>
        <w:keepNext/>
        <w:keepLines/>
        <w:rPr>
          <w:rFonts w:cstheme="minorHAnsi"/>
          <w:sz w:val="20"/>
        </w:rPr>
      </w:pPr>
      <w:r w:rsidRPr="003730B5">
        <w:rPr>
          <w:rFonts w:cstheme="minorHAnsi"/>
          <w:sz w:val="20"/>
        </w:rPr>
        <w:t>Pozn.: Hotovostní metodika, izolované primární dopady jednotlivých opatření.</w:t>
      </w:r>
    </w:p>
    <w:p w14:paraId="2AA821EC" w14:textId="5D97ABD5" w:rsidR="003E1250" w:rsidRPr="003730B5" w:rsidRDefault="003E1250" w:rsidP="006F504E">
      <w:pPr>
        <w:pStyle w:val="Nadpis2"/>
        <w:keepNext w:val="0"/>
        <w:widowControl w:val="0"/>
        <w:numPr>
          <w:ilvl w:val="1"/>
          <w:numId w:val="28"/>
        </w:numPr>
        <w:shd w:val="clear" w:color="auto" w:fill="FFFFFF"/>
        <w:jc w:val="both"/>
        <w:rPr>
          <w:rFonts w:cs="Times New Roman"/>
        </w:rPr>
      </w:pPr>
      <w:r w:rsidRPr="003730B5">
        <w:rPr>
          <w:rFonts w:cs="Times New Roman"/>
        </w:rPr>
        <w:t>Zhodnocení sociálních dopadů, včetně dopadů na specifické skupiny obyvatel, zejména osoby sociálně slabé, osoby se</w:t>
      </w:r>
      <w:r w:rsidR="0001089A" w:rsidRPr="003730B5">
        <w:rPr>
          <w:rFonts w:cs="Times New Roman"/>
        </w:rPr>
        <w:t> </w:t>
      </w:r>
      <w:r w:rsidRPr="003730B5">
        <w:rPr>
          <w:rFonts w:cs="Times New Roman"/>
        </w:rPr>
        <w:t xml:space="preserve">zdravotním postižením </w:t>
      </w:r>
      <w:r w:rsidR="007C6C1D" w:rsidRPr="003730B5">
        <w:rPr>
          <w:rFonts w:cs="Times New Roman"/>
        </w:rPr>
        <w:t>a </w:t>
      </w:r>
      <w:r w:rsidRPr="003730B5">
        <w:rPr>
          <w:rFonts w:cs="Times New Roman"/>
        </w:rPr>
        <w:t>národnostní menšiny, dopadů na</w:t>
      </w:r>
      <w:r w:rsidR="009D5E1A" w:rsidRPr="003730B5">
        <w:rPr>
          <w:rFonts w:cs="Times New Roman"/>
        </w:rPr>
        <w:t> </w:t>
      </w:r>
      <w:r w:rsidRPr="003730B5">
        <w:rPr>
          <w:rFonts w:cs="Times New Roman"/>
        </w:rPr>
        <w:t xml:space="preserve">ochranu práv dětí </w:t>
      </w:r>
      <w:r w:rsidR="007C6C1D" w:rsidRPr="003730B5">
        <w:rPr>
          <w:rFonts w:cs="Times New Roman"/>
        </w:rPr>
        <w:t>a </w:t>
      </w:r>
      <w:r w:rsidRPr="003730B5">
        <w:rPr>
          <w:rFonts w:cs="Times New Roman"/>
        </w:rPr>
        <w:t>dopadů na životní prostředí</w:t>
      </w:r>
    </w:p>
    <w:p w14:paraId="3FB704F3" w14:textId="49571437" w:rsidR="003E1250" w:rsidRPr="003730B5" w:rsidRDefault="00B77A79" w:rsidP="003E1250">
      <w:pPr>
        <w:widowControl w:val="0"/>
        <w:spacing w:before="120" w:after="120"/>
      </w:pPr>
      <w:r w:rsidRPr="003730B5">
        <w:t xml:space="preserve">Opatření obsažená v návrhu zákona buď dopady do uvedených oblastí nemají, anebo tyto dopady vyplývají z povahy </w:t>
      </w:r>
      <w:r w:rsidR="00CA40A9" w:rsidRPr="003730B5">
        <w:t>a </w:t>
      </w:r>
      <w:r w:rsidRPr="003730B5">
        <w:t>popisu opatření samotných v jiných částech této důvodové zprávy.</w:t>
      </w:r>
      <w:r w:rsidR="000D6A0B" w:rsidRPr="003730B5">
        <w:t xml:space="preserve"> Nad rámec této skutečnosti lze uvést následující případy konkrétních dopadů.</w:t>
      </w:r>
    </w:p>
    <w:p w14:paraId="56A10D6A" w14:textId="77777777" w:rsidR="00264913" w:rsidRPr="003730B5" w:rsidRDefault="00264913" w:rsidP="004C0569">
      <w:pPr>
        <w:pStyle w:val="Nadpis2"/>
        <w:widowControl w:val="0"/>
        <w:numPr>
          <w:ilvl w:val="0"/>
          <w:numId w:val="0"/>
        </w:numPr>
        <w:shd w:val="clear" w:color="auto" w:fill="FFFFFF"/>
        <w:tabs>
          <w:tab w:val="left" w:pos="567"/>
        </w:tabs>
        <w:jc w:val="both"/>
        <w:rPr>
          <w:i/>
          <w:sz w:val="24"/>
        </w:rPr>
      </w:pPr>
      <w:r w:rsidRPr="003730B5">
        <w:rPr>
          <w:i/>
          <w:sz w:val="24"/>
        </w:rPr>
        <w:t xml:space="preserve">Zvýšení </w:t>
      </w:r>
      <w:r w:rsidR="00E07625" w:rsidRPr="003730B5">
        <w:rPr>
          <w:i/>
          <w:sz w:val="24"/>
        </w:rPr>
        <w:t xml:space="preserve">sazby nemocenského </w:t>
      </w:r>
      <w:r w:rsidRPr="003730B5">
        <w:rPr>
          <w:i/>
          <w:sz w:val="24"/>
        </w:rPr>
        <w:t>pojištění pro zaměstnance</w:t>
      </w:r>
    </w:p>
    <w:p w14:paraId="6D710853" w14:textId="2F4CD384" w:rsidR="00E07625" w:rsidRPr="003730B5" w:rsidRDefault="00E07625" w:rsidP="00E07625">
      <w:pPr>
        <w:widowControl w:val="0"/>
        <w:spacing w:before="120" w:after="120"/>
      </w:pPr>
      <w:r w:rsidRPr="003730B5">
        <w:t xml:space="preserve">Zvýšení pojistné sazby zaměstnanců </w:t>
      </w:r>
      <w:r w:rsidR="00CA40A9" w:rsidRPr="003730B5">
        <w:t>a </w:t>
      </w:r>
      <w:r w:rsidRPr="003730B5">
        <w:t xml:space="preserve">pojistné sazby </w:t>
      </w:r>
      <w:r w:rsidR="00264913" w:rsidRPr="003730B5">
        <w:t>osob samostatně výdělečně činných</w:t>
      </w:r>
      <w:r w:rsidRPr="003730B5">
        <w:t xml:space="preserve"> účastných nemocenského pojištění </w:t>
      </w:r>
      <w:r w:rsidR="00CA40A9" w:rsidRPr="003730B5">
        <w:t>o </w:t>
      </w:r>
      <w:r w:rsidRPr="003730B5">
        <w:t>0,</w:t>
      </w:r>
      <w:r w:rsidR="00CA40A9" w:rsidRPr="003730B5">
        <w:t>6 </w:t>
      </w:r>
      <w:r w:rsidRPr="003730B5">
        <w:t xml:space="preserve">procentního bodu povede ke snížení čistých příjmů nemocensky pojištěných osob. Je však vhodné připomenout, že </w:t>
      </w:r>
      <w:r w:rsidR="00CA40A9" w:rsidRPr="003730B5">
        <w:t>v </w:t>
      </w:r>
      <w:r w:rsidRPr="003730B5">
        <w:t xml:space="preserve">období od roku 2018 došlo postupnými změnami právní úpravy nemocenského pojištění ke zvýšení úrovně finančního zabezpečení osob </w:t>
      </w:r>
      <w:r w:rsidR="00CA40A9" w:rsidRPr="003730B5">
        <w:t>v </w:t>
      </w:r>
      <w:r w:rsidRPr="003730B5">
        <w:t xml:space="preserve">případě sociálních událostí zahrnujících nemoc, mateřství </w:t>
      </w:r>
      <w:r w:rsidR="00CA40A9" w:rsidRPr="003730B5">
        <w:t>a </w:t>
      </w:r>
      <w:r w:rsidRPr="003730B5">
        <w:t xml:space="preserve">otcovství </w:t>
      </w:r>
      <w:r w:rsidR="00CA40A9" w:rsidRPr="003730B5">
        <w:t>a </w:t>
      </w:r>
      <w:r w:rsidRPr="003730B5">
        <w:t xml:space="preserve">péči </w:t>
      </w:r>
      <w:r w:rsidR="00CA40A9" w:rsidRPr="003730B5">
        <w:t>o </w:t>
      </w:r>
      <w:r w:rsidRPr="003730B5">
        <w:t>jiné nemocné osoby, které nebylo kompenzováno úpravou pojistné sazby na nemocenské pojištění.</w:t>
      </w:r>
      <w:r w:rsidR="00031743" w:rsidRPr="003730B5">
        <w:t xml:space="preserve"> </w:t>
      </w:r>
    </w:p>
    <w:p w14:paraId="4E14E997" w14:textId="641DD7E6" w:rsidR="00320E9D" w:rsidRPr="003730B5" w:rsidRDefault="00320E9D" w:rsidP="004C0569">
      <w:pPr>
        <w:pStyle w:val="Nadpis2"/>
        <w:widowControl w:val="0"/>
        <w:numPr>
          <w:ilvl w:val="0"/>
          <w:numId w:val="0"/>
        </w:numPr>
        <w:shd w:val="clear" w:color="auto" w:fill="FFFFFF"/>
        <w:tabs>
          <w:tab w:val="left" w:pos="567"/>
        </w:tabs>
        <w:jc w:val="both"/>
        <w:rPr>
          <w:i/>
          <w:sz w:val="24"/>
        </w:rPr>
      </w:pPr>
      <w:r w:rsidRPr="003730B5">
        <w:rPr>
          <w:i/>
          <w:sz w:val="24"/>
        </w:rPr>
        <w:lastRenderedPageBreak/>
        <w:t xml:space="preserve">Zastropování úlev z odvodů pro dohody </w:t>
      </w:r>
      <w:r w:rsidR="00CA40A9" w:rsidRPr="003730B5">
        <w:rPr>
          <w:i/>
          <w:sz w:val="24"/>
        </w:rPr>
        <w:t>o </w:t>
      </w:r>
      <w:r w:rsidRPr="003730B5">
        <w:rPr>
          <w:i/>
          <w:sz w:val="24"/>
        </w:rPr>
        <w:t>provedení práce</w:t>
      </w:r>
    </w:p>
    <w:p w14:paraId="4199D0EE" w14:textId="5BB1AE42" w:rsidR="00C57351" w:rsidRPr="003730B5" w:rsidRDefault="00C57351" w:rsidP="003E1250">
      <w:pPr>
        <w:widowControl w:val="0"/>
        <w:spacing w:before="120" w:after="120"/>
      </w:pPr>
      <w:r w:rsidRPr="003730B5">
        <w:t xml:space="preserve">Návrh zákona bude mít pozitivní sociální dopady především na zaměstnance činné na základě dohody </w:t>
      </w:r>
      <w:r w:rsidR="00CA40A9" w:rsidRPr="003730B5">
        <w:t>o </w:t>
      </w:r>
      <w:r w:rsidRPr="003730B5">
        <w:t xml:space="preserve">provedení práce, kdy dojde </w:t>
      </w:r>
      <w:r w:rsidR="00CA40A9" w:rsidRPr="003730B5">
        <w:t>k </w:t>
      </w:r>
      <w:r w:rsidRPr="003730B5">
        <w:t xml:space="preserve">omezení kumulace dohod </w:t>
      </w:r>
      <w:r w:rsidR="00CA40A9" w:rsidRPr="003730B5">
        <w:t>o </w:t>
      </w:r>
      <w:r w:rsidRPr="003730B5">
        <w:t xml:space="preserve">provedení práce </w:t>
      </w:r>
      <w:r w:rsidR="00CA40A9" w:rsidRPr="003730B5">
        <w:t>a </w:t>
      </w:r>
      <w:r w:rsidRPr="003730B5">
        <w:t xml:space="preserve">nebude docházet </w:t>
      </w:r>
      <w:r w:rsidR="00CA40A9" w:rsidRPr="003730B5">
        <w:t>k </w:t>
      </w:r>
      <w:r w:rsidRPr="003730B5">
        <w:t xml:space="preserve">nahrazování hlavních pracovních poměrů dohodami </w:t>
      </w:r>
      <w:r w:rsidR="00CA40A9" w:rsidRPr="003730B5">
        <w:t>o </w:t>
      </w:r>
      <w:r w:rsidRPr="003730B5">
        <w:t xml:space="preserve">provedení práce. Dojde </w:t>
      </w:r>
      <w:r w:rsidR="00CA40A9" w:rsidRPr="003730B5">
        <w:t>k </w:t>
      </w:r>
      <w:r w:rsidRPr="003730B5">
        <w:t>lepšímu sociálnímu zabezpečení těchto zaměstnanců.</w:t>
      </w:r>
    </w:p>
    <w:p w14:paraId="01D6834D" w14:textId="0652EC74" w:rsidR="00647568" w:rsidRPr="003730B5" w:rsidRDefault="00031743" w:rsidP="004C0569">
      <w:pPr>
        <w:pStyle w:val="Nadpis2"/>
        <w:keepLines/>
        <w:widowControl w:val="0"/>
        <w:numPr>
          <w:ilvl w:val="0"/>
          <w:numId w:val="0"/>
        </w:numPr>
        <w:shd w:val="clear" w:color="auto" w:fill="FFFFFF"/>
        <w:tabs>
          <w:tab w:val="left" w:pos="567"/>
        </w:tabs>
        <w:jc w:val="both"/>
        <w:rPr>
          <w:i/>
          <w:sz w:val="24"/>
        </w:rPr>
      </w:pPr>
      <w:r w:rsidRPr="003730B5">
        <w:rPr>
          <w:i/>
          <w:sz w:val="24"/>
        </w:rPr>
        <w:t>Změna podmínek vyplácení podpory v nezaměstnanosti</w:t>
      </w:r>
      <w:r w:rsidR="00647568" w:rsidRPr="003730B5">
        <w:rPr>
          <w:i/>
          <w:sz w:val="24"/>
        </w:rPr>
        <w:t xml:space="preserve"> </w:t>
      </w:r>
    </w:p>
    <w:p w14:paraId="7483C102" w14:textId="6A24D054" w:rsidR="00647568" w:rsidRPr="003730B5" w:rsidRDefault="00647568" w:rsidP="00647568">
      <w:pPr>
        <w:widowControl w:val="0"/>
        <w:spacing w:before="120" w:after="120"/>
      </w:pPr>
      <w:r w:rsidRPr="003730B5">
        <w:t xml:space="preserve">Pokud jde </w:t>
      </w:r>
      <w:r w:rsidR="00CA40A9" w:rsidRPr="003730B5">
        <w:t>o </w:t>
      </w:r>
      <w:r w:rsidRPr="003730B5">
        <w:t xml:space="preserve">zrušení odsouvání podpůrčí doby </w:t>
      </w:r>
      <w:r w:rsidR="00CA40A9" w:rsidRPr="003730B5">
        <w:t>a </w:t>
      </w:r>
      <w:r w:rsidRPr="003730B5">
        <w:t xml:space="preserve">zrušení institutu kompenzace, jedná se </w:t>
      </w:r>
      <w:r w:rsidR="00CA40A9" w:rsidRPr="003730B5">
        <w:t>o </w:t>
      </w:r>
      <w:r w:rsidRPr="003730B5">
        <w:t xml:space="preserve">změnu, která nebude mít výrazný sociální dopad na žádnou ze specifických sociálních skupin. Tím, že poskytování podpory </w:t>
      </w:r>
      <w:r w:rsidR="00CA40A9" w:rsidRPr="003730B5">
        <w:t>v </w:t>
      </w:r>
      <w:r w:rsidRPr="003730B5">
        <w:t xml:space="preserve">nezaměstnanosti nebude již odsouváno </w:t>
      </w:r>
      <w:r w:rsidR="00CA40A9" w:rsidRPr="003730B5">
        <w:t>v </w:t>
      </w:r>
      <w:r w:rsidRPr="003730B5">
        <w:t xml:space="preserve">návaznosti na vyplacené odstupné, odbytné či odchodné, budou moci uchazeči </w:t>
      </w:r>
      <w:r w:rsidR="00CA40A9" w:rsidRPr="003730B5">
        <w:t>o </w:t>
      </w:r>
      <w:r w:rsidRPr="003730B5">
        <w:t xml:space="preserve">zaměstnání využít vyplacené odstupné, odbytné či odchodné dle jeho účelu jako satisfakci </w:t>
      </w:r>
      <w:r w:rsidR="00CA40A9" w:rsidRPr="003730B5">
        <w:t>v </w:t>
      </w:r>
      <w:r w:rsidRPr="003730B5">
        <w:t xml:space="preserve">případě ukončení pracovněprávního vztahu bez svého zavinění. Počátek podpůrčí doby, vznikne-li na podporu </w:t>
      </w:r>
      <w:r w:rsidR="00CA40A9" w:rsidRPr="003730B5">
        <w:t>v </w:t>
      </w:r>
      <w:r w:rsidRPr="003730B5">
        <w:t xml:space="preserve">nezaměstnanosti nárok, bude určen předvídatelným způsobem, bez návaznosti na vyplacené odstupné, odbytné či odchodné. Zrušením institutu kompenzace dojde </w:t>
      </w:r>
      <w:r w:rsidR="00CA40A9" w:rsidRPr="003730B5">
        <w:t>k </w:t>
      </w:r>
      <w:r w:rsidRPr="003730B5">
        <w:t xml:space="preserve">návratu </w:t>
      </w:r>
      <w:r w:rsidR="00CA40A9" w:rsidRPr="003730B5">
        <w:t>k </w:t>
      </w:r>
      <w:r w:rsidRPr="003730B5">
        <w:t xml:space="preserve">původnímu stavu před jeho zavedením </w:t>
      </w:r>
      <w:r w:rsidR="00CA40A9" w:rsidRPr="003730B5">
        <w:t>a v </w:t>
      </w:r>
      <w:r w:rsidRPr="003730B5">
        <w:t xml:space="preserve">případě nevyplacení odstupného, odbytného či odchodného </w:t>
      </w:r>
      <w:r w:rsidR="00CA40A9" w:rsidRPr="003730B5">
        <w:t>k </w:t>
      </w:r>
      <w:r w:rsidRPr="003730B5">
        <w:t xml:space="preserve">možnosti uplatňování těchto nároků výhradně </w:t>
      </w:r>
      <w:r w:rsidR="00CA40A9" w:rsidRPr="003730B5">
        <w:t>v </w:t>
      </w:r>
      <w:r w:rsidRPr="003730B5">
        <w:t xml:space="preserve">soukromoprávní rovině, což konvenuje povaze těchto nároků. </w:t>
      </w:r>
    </w:p>
    <w:p w14:paraId="3B7167F8" w14:textId="41F37BD4" w:rsidR="00647568" w:rsidRPr="003730B5" w:rsidRDefault="00031743" w:rsidP="003E1250">
      <w:pPr>
        <w:widowControl w:val="0"/>
        <w:spacing w:before="120" w:after="120"/>
      </w:pPr>
      <w:r w:rsidRPr="003730B5">
        <w:t>V souvislosti se z</w:t>
      </w:r>
      <w:r w:rsidR="00647568" w:rsidRPr="003730B5">
        <w:t>přísnění</w:t>
      </w:r>
      <w:r w:rsidRPr="003730B5">
        <w:t>m</w:t>
      </w:r>
      <w:r w:rsidR="00647568" w:rsidRPr="003730B5">
        <w:t xml:space="preserve"> podmínek pro poskytování podpory </w:t>
      </w:r>
      <w:r w:rsidR="00CA40A9" w:rsidRPr="003730B5">
        <w:t>v </w:t>
      </w:r>
      <w:r w:rsidR="00647568" w:rsidRPr="003730B5">
        <w:t xml:space="preserve">nezaměstnanosti při opakovaném vedení </w:t>
      </w:r>
      <w:r w:rsidR="00CA40A9" w:rsidRPr="003730B5">
        <w:t>v </w:t>
      </w:r>
      <w:r w:rsidR="00647568" w:rsidRPr="003730B5">
        <w:t xml:space="preserve">evidenci uchazečů </w:t>
      </w:r>
      <w:r w:rsidR="00CA40A9" w:rsidRPr="003730B5">
        <w:t>o </w:t>
      </w:r>
      <w:r w:rsidR="00647568" w:rsidRPr="003730B5">
        <w:t>zaměstnání</w:t>
      </w:r>
      <w:r w:rsidRPr="003730B5">
        <w:t xml:space="preserve"> lze uvést, že n</w:t>
      </w:r>
      <w:r w:rsidR="00647568" w:rsidRPr="003730B5">
        <w:t xml:space="preserve">edostatek volné pracovní síly na trhu práce přispívá </w:t>
      </w:r>
      <w:r w:rsidR="00CA40A9" w:rsidRPr="003730B5">
        <w:t>k </w:t>
      </w:r>
      <w:r w:rsidR="00647568" w:rsidRPr="003730B5">
        <w:t xml:space="preserve">ekonomické aktivitě osob </w:t>
      </w:r>
      <w:r w:rsidR="00CA40A9" w:rsidRPr="003730B5">
        <w:t>a k </w:t>
      </w:r>
      <w:r w:rsidR="00647568" w:rsidRPr="003730B5">
        <w:t xml:space="preserve">získání potřebné doby důchodového pojištění, </w:t>
      </w:r>
      <w:r w:rsidR="00CA40A9" w:rsidRPr="003730B5">
        <w:t>a </w:t>
      </w:r>
      <w:r w:rsidR="00647568" w:rsidRPr="003730B5">
        <w:t xml:space="preserve">proto prodloužení délky doby důchodového pojištění pro získání nároku na podporu </w:t>
      </w:r>
      <w:r w:rsidR="00CA40A9" w:rsidRPr="003730B5">
        <w:t>v </w:t>
      </w:r>
      <w:r w:rsidR="00647568" w:rsidRPr="003730B5">
        <w:t xml:space="preserve">nezaměstnanosti při opakované evidenci nepředstavuje zásadní překážku pro vznik nároku na podporu </w:t>
      </w:r>
      <w:r w:rsidR="00CA40A9" w:rsidRPr="003730B5">
        <w:t>v </w:t>
      </w:r>
      <w:r w:rsidR="00647568" w:rsidRPr="003730B5">
        <w:t>nezaměstnanosti.</w:t>
      </w:r>
      <w:r w:rsidRPr="003730B5">
        <w:t xml:space="preserve"> </w:t>
      </w:r>
      <w:r w:rsidR="00CA40A9" w:rsidRPr="003730B5">
        <w:t>V </w:t>
      </w:r>
      <w:r w:rsidR="00647568" w:rsidRPr="003730B5">
        <w:t xml:space="preserve">případě nesplnění podmínek pro vznik nároku na podporu </w:t>
      </w:r>
      <w:r w:rsidR="00CA40A9" w:rsidRPr="003730B5">
        <w:t>v </w:t>
      </w:r>
      <w:r w:rsidR="00647568" w:rsidRPr="003730B5">
        <w:t xml:space="preserve">nezaměstnanosti </w:t>
      </w:r>
      <w:r w:rsidR="00CA40A9" w:rsidRPr="003730B5">
        <w:t>a v </w:t>
      </w:r>
      <w:r w:rsidR="00647568" w:rsidRPr="003730B5">
        <w:t xml:space="preserve">případě nedostatku finančních prostředků na živobytí vstupují osoby do systému pomoci </w:t>
      </w:r>
      <w:r w:rsidR="00CA40A9" w:rsidRPr="003730B5">
        <w:t>v </w:t>
      </w:r>
      <w:r w:rsidR="00647568" w:rsidRPr="003730B5">
        <w:t xml:space="preserve">hmotné nouzi, který na základě individuálního posouzení situace reaguje na potřeby jednotlivců </w:t>
      </w:r>
      <w:r w:rsidR="00CA40A9" w:rsidRPr="003730B5">
        <w:t>a </w:t>
      </w:r>
      <w:r w:rsidR="00647568" w:rsidRPr="003730B5">
        <w:t xml:space="preserve">rodin </w:t>
      </w:r>
      <w:r w:rsidR="00CA40A9" w:rsidRPr="003730B5">
        <w:t>a </w:t>
      </w:r>
      <w:r w:rsidR="00647568" w:rsidRPr="003730B5">
        <w:t xml:space="preserve">slouží </w:t>
      </w:r>
      <w:r w:rsidR="00CA40A9" w:rsidRPr="003730B5">
        <w:t>k </w:t>
      </w:r>
      <w:r w:rsidR="00647568" w:rsidRPr="003730B5">
        <w:t>poskytnutí finanční pomoci, taktéž dávky státní sociální podpory.</w:t>
      </w:r>
      <w:r w:rsidRPr="003730B5">
        <w:t xml:space="preserve"> </w:t>
      </w:r>
      <w:r w:rsidR="00647568" w:rsidRPr="003730B5">
        <w:t xml:space="preserve">Přetrvávající poptávka zaměstnavatelů po volné pracovní síle zvyšuje šance na pracovní uplatnění také znevýhodněných skupin osob, včetně osob se zdravotním postižením </w:t>
      </w:r>
      <w:r w:rsidR="00CA40A9" w:rsidRPr="003730B5">
        <w:t>a </w:t>
      </w:r>
      <w:r w:rsidR="00647568" w:rsidRPr="003730B5">
        <w:t xml:space="preserve">se specifickými potřebami. Zaměstnávání osob se zdravotním postižením je navíc státem podporováno formou poskytování příspěvků na zřízení pracovního místa pro osobu se zdravotním postižením </w:t>
      </w:r>
      <w:r w:rsidR="00CA40A9" w:rsidRPr="003730B5">
        <w:t>a </w:t>
      </w:r>
      <w:r w:rsidR="00647568" w:rsidRPr="003730B5">
        <w:t xml:space="preserve">příspěvků na úhradu provozních nákladů vynaložených </w:t>
      </w:r>
      <w:r w:rsidR="00CA40A9" w:rsidRPr="003730B5">
        <w:t>v </w:t>
      </w:r>
      <w:r w:rsidR="00647568" w:rsidRPr="003730B5">
        <w:t xml:space="preserve">souvislosti se zaměstnáváním této cílové skupiny. Dalším opatřením </w:t>
      </w:r>
      <w:r w:rsidR="00CA40A9" w:rsidRPr="003730B5">
        <w:t>k </w:t>
      </w:r>
      <w:r w:rsidR="00647568" w:rsidRPr="003730B5">
        <w:t xml:space="preserve">podpoře zaměstnávání znevýhodněných skupin osob (osoby se zdravotním postižením, pečující </w:t>
      </w:r>
      <w:r w:rsidR="00CA40A9" w:rsidRPr="003730B5">
        <w:t>o </w:t>
      </w:r>
      <w:r w:rsidR="00647568" w:rsidRPr="003730B5">
        <w:t xml:space="preserve">dítě do 10 let, osoby nad 55 let, rekvalifikovaní uchazeči </w:t>
      </w:r>
      <w:r w:rsidR="00CA40A9" w:rsidRPr="003730B5">
        <w:t>o </w:t>
      </w:r>
      <w:r w:rsidR="00647568" w:rsidRPr="003730B5">
        <w:t xml:space="preserve">zaměstnání) je možnost uplatnění slev na sociálním pojištění </w:t>
      </w:r>
      <w:r w:rsidR="00CA40A9" w:rsidRPr="003730B5">
        <w:t>u </w:t>
      </w:r>
      <w:r w:rsidR="00647568" w:rsidRPr="003730B5">
        <w:t>zaměstnanců pracujících na zkrácený pracovní úvazek.</w:t>
      </w:r>
    </w:p>
    <w:p w14:paraId="34E23F65" w14:textId="662AC007" w:rsidR="001F2310" w:rsidRPr="003730B5" w:rsidRDefault="001F2310" w:rsidP="001F2310">
      <w:pPr>
        <w:pStyle w:val="Nadpis2"/>
        <w:keepLines/>
        <w:widowControl w:val="0"/>
        <w:numPr>
          <w:ilvl w:val="0"/>
          <w:numId w:val="0"/>
        </w:numPr>
        <w:shd w:val="clear" w:color="auto" w:fill="FFFFFF"/>
        <w:tabs>
          <w:tab w:val="left" w:pos="567"/>
        </w:tabs>
        <w:jc w:val="both"/>
        <w:rPr>
          <w:i/>
          <w:sz w:val="24"/>
        </w:rPr>
      </w:pPr>
      <w:r w:rsidRPr="003730B5">
        <w:rPr>
          <w:i/>
          <w:sz w:val="24"/>
        </w:rPr>
        <w:t xml:space="preserve">Změna zákona </w:t>
      </w:r>
      <w:r w:rsidR="00552598" w:rsidRPr="003730B5">
        <w:rPr>
          <w:i/>
          <w:sz w:val="24"/>
        </w:rPr>
        <w:t>o </w:t>
      </w:r>
      <w:r w:rsidRPr="003730B5">
        <w:rPr>
          <w:i/>
          <w:sz w:val="24"/>
        </w:rPr>
        <w:t xml:space="preserve">pozemních komunikacích </w:t>
      </w:r>
    </w:p>
    <w:p w14:paraId="6348D68D" w14:textId="5CBE4392" w:rsidR="001F2310" w:rsidRPr="003730B5" w:rsidRDefault="001F2310" w:rsidP="003E1250">
      <w:pPr>
        <w:widowControl w:val="0"/>
        <w:spacing w:before="120" w:after="120"/>
      </w:pPr>
      <w:r w:rsidRPr="003730B5">
        <w:t xml:space="preserve">Předpokládá se, že navrhovaná právní úprava bude mít pozitivní vliv na ochranu životního prostředí, </w:t>
      </w:r>
      <w:r w:rsidR="00552598" w:rsidRPr="003730B5">
        <w:t>a </w:t>
      </w:r>
      <w:r w:rsidRPr="003730B5">
        <w:t xml:space="preserve">to </w:t>
      </w:r>
      <w:r w:rsidR="00552598" w:rsidRPr="003730B5">
        <w:t>v </w:t>
      </w:r>
      <w:r w:rsidRPr="003730B5">
        <w:t>souvislosti se zavedením čtvrté složky mýtného, jež bude ukládána za účelem návratnosti nákladů vyvolaných emisemi CO</w:t>
      </w:r>
      <w:r w:rsidRPr="003730B5">
        <w:rPr>
          <w:vertAlign w:val="subscript"/>
        </w:rPr>
        <w:t>2</w:t>
      </w:r>
      <w:r w:rsidRPr="003730B5">
        <w:t xml:space="preserve"> při provozu vozidel </w:t>
      </w:r>
      <w:r w:rsidR="00552598" w:rsidRPr="003730B5">
        <w:t>v </w:t>
      </w:r>
      <w:r w:rsidRPr="003730B5">
        <w:t xml:space="preserve">systému elektronického mýtného na zpoplatněných pozemních komunikacích. To by mělo motivovat dopravce k pořizování </w:t>
      </w:r>
      <w:r w:rsidR="00552598" w:rsidRPr="003730B5">
        <w:t>a </w:t>
      </w:r>
      <w:r w:rsidRPr="003730B5">
        <w:t>provozování environmentálně šetrnějších vozidel.</w:t>
      </w:r>
    </w:p>
    <w:p w14:paraId="16743FDB" w14:textId="0053D1E6" w:rsidR="006B1DA9" w:rsidRPr="003730B5" w:rsidRDefault="0003045D" w:rsidP="00B34FBA">
      <w:pPr>
        <w:pStyle w:val="Nadpis2"/>
        <w:numPr>
          <w:ilvl w:val="1"/>
          <w:numId w:val="28"/>
        </w:numPr>
        <w:shd w:val="clear" w:color="auto" w:fill="FFFFFF"/>
        <w:jc w:val="both"/>
        <w:rPr>
          <w:rFonts w:cs="Times New Roman"/>
        </w:rPr>
      </w:pPr>
      <w:r w:rsidRPr="003730B5">
        <w:rPr>
          <w:rFonts w:cs="Times New Roman"/>
        </w:rPr>
        <w:t xml:space="preserve">Zhodnocení dopadu navrhovaného řešení ve vztahu k ochraně soukromí a osobních údajů </w:t>
      </w:r>
      <w:r w:rsidR="001B0FBF" w:rsidRPr="003730B5">
        <w:rPr>
          <w:rFonts w:cs="Times New Roman"/>
        </w:rPr>
        <w:t>(DPIA)</w:t>
      </w:r>
    </w:p>
    <w:p w14:paraId="5188D931" w14:textId="55BE0ED8" w:rsidR="006B1DA9" w:rsidRPr="003730B5" w:rsidRDefault="0010722F" w:rsidP="008F2906">
      <w:pPr>
        <w:widowControl w:val="0"/>
        <w:autoSpaceDE w:val="0"/>
        <w:autoSpaceDN w:val="0"/>
        <w:adjustRightInd w:val="0"/>
        <w:spacing w:after="120"/>
      </w:pPr>
      <w:r w:rsidRPr="003730B5">
        <w:t xml:space="preserve">Návrh zákona zásadním způsobem nemění rozsah </w:t>
      </w:r>
      <w:r w:rsidR="00E712DE" w:rsidRPr="003730B5">
        <w:t>a </w:t>
      </w:r>
      <w:r w:rsidRPr="003730B5">
        <w:t>účel zpracování osobních údajů</w:t>
      </w:r>
      <w:r w:rsidR="000D6A0B" w:rsidRPr="003730B5">
        <w:t xml:space="preserve">, není-li </w:t>
      </w:r>
      <w:r w:rsidR="00726767" w:rsidRPr="003730B5">
        <w:t xml:space="preserve">v této důvodové zprávě </w:t>
      </w:r>
      <w:r w:rsidR="000D6A0B" w:rsidRPr="003730B5">
        <w:t>uvedeno jinak</w:t>
      </w:r>
      <w:r w:rsidRPr="003730B5">
        <w:t xml:space="preserve">. </w:t>
      </w:r>
    </w:p>
    <w:p w14:paraId="774C5593" w14:textId="484D89B9" w:rsidR="001241F1" w:rsidRPr="003730B5" w:rsidRDefault="001241F1" w:rsidP="008F2906">
      <w:pPr>
        <w:widowControl w:val="0"/>
        <w:autoSpaceDE w:val="0"/>
        <w:autoSpaceDN w:val="0"/>
        <w:adjustRightInd w:val="0"/>
        <w:spacing w:after="120"/>
      </w:pPr>
      <w:r w:rsidRPr="003730B5">
        <w:lastRenderedPageBreak/>
        <w:t>Níže uvedené posouzení cílí na oblast správy daní v procesním smyslu, v níž se nachází těžiště materie upravované návrhem zákona. Pro oblasti podléhající procesnímu režimu správního řádu lze přiměřeně aplikovat obdobné závěry</w:t>
      </w:r>
      <w:r w:rsidR="002F167A" w:rsidRPr="003730B5">
        <w:t>, není-li dále uvedeno jinak</w:t>
      </w:r>
      <w:r w:rsidRPr="003730B5">
        <w:t xml:space="preserve">.  </w:t>
      </w:r>
    </w:p>
    <w:p w14:paraId="0A010119" w14:textId="77777777" w:rsidR="006B1DA9" w:rsidRPr="003730B5" w:rsidRDefault="006B1DA9" w:rsidP="006F504E">
      <w:pPr>
        <w:pStyle w:val="Nadpis2"/>
        <w:keepNext w:val="0"/>
        <w:widowControl w:val="0"/>
        <w:numPr>
          <w:ilvl w:val="2"/>
          <w:numId w:val="28"/>
        </w:numPr>
        <w:shd w:val="clear" w:color="auto" w:fill="FFFFFF"/>
        <w:tabs>
          <w:tab w:val="left" w:pos="567"/>
        </w:tabs>
        <w:jc w:val="both"/>
        <w:rPr>
          <w:sz w:val="28"/>
        </w:rPr>
      </w:pPr>
      <w:r w:rsidRPr="003730B5">
        <w:rPr>
          <w:sz w:val="28"/>
        </w:rPr>
        <w:t>Účel zpracování osobních údajů</w:t>
      </w:r>
    </w:p>
    <w:p w14:paraId="0A7F4DCD" w14:textId="64F668A8" w:rsidR="006B1DA9" w:rsidRPr="003730B5" w:rsidRDefault="0010722F" w:rsidP="008F2906">
      <w:pPr>
        <w:widowControl w:val="0"/>
        <w:autoSpaceDE w:val="0"/>
        <w:autoSpaceDN w:val="0"/>
        <w:adjustRightInd w:val="0"/>
        <w:spacing w:after="120"/>
      </w:pPr>
      <w:r w:rsidRPr="003730B5">
        <w:t xml:space="preserve">Podle ustanovení </w:t>
      </w:r>
      <w:r w:rsidR="00E712DE" w:rsidRPr="003730B5">
        <w:t>§ 9 </w:t>
      </w:r>
      <w:r w:rsidRPr="003730B5">
        <w:t xml:space="preserve">odst. </w:t>
      </w:r>
      <w:r w:rsidR="00E712DE" w:rsidRPr="003730B5">
        <w:t>3 </w:t>
      </w:r>
      <w:r w:rsidRPr="003730B5">
        <w:t xml:space="preserve">daňového řádu může správce daně zpracovávat osobní údaje </w:t>
      </w:r>
      <w:r w:rsidR="00E712DE" w:rsidRPr="003730B5">
        <w:t>a </w:t>
      </w:r>
      <w:r w:rsidRPr="003730B5">
        <w:t xml:space="preserve">jiné údaje, jsou-li potřebné pro správu daní, </w:t>
      </w:r>
      <w:r w:rsidR="00E712DE" w:rsidRPr="003730B5">
        <w:t>a </w:t>
      </w:r>
      <w:r w:rsidRPr="003730B5">
        <w:t xml:space="preserve">to jen </w:t>
      </w:r>
      <w:r w:rsidR="00E712DE" w:rsidRPr="003730B5">
        <w:t>v </w:t>
      </w:r>
      <w:r w:rsidRPr="003730B5">
        <w:t xml:space="preserve">rozsahu, který je nezbytný pro dosažení cíle správy daní. Při zpracování osobních údajů správcem daně se rovněž uplatní obecné záruky ochrany osobních údajů, které jsou již obsažené </w:t>
      </w:r>
      <w:r w:rsidR="00E712DE" w:rsidRPr="003730B5">
        <w:t>v </w:t>
      </w:r>
      <w:r w:rsidRPr="003730B5">
        <w:t xml:space="preserve">daňovém řádu (viz </w:t>
      </w:r>
      <w:r w:rsidR="00E712DE" w:rsidRPr="003730B5">
        <w:t>§ </w:t>
      </w:r>
      <w:r w:rsidRPr="003730B5">
        <w:t xml:space="preserve">59a). </w:t>
      </w:r>
    </w:p>
    <w:p w14:paraId="5C19D5D6" w14:textId="51EA4B32" w:rsidR="001F2310" w:rsidRPr="003730B5" w:rsidRDefault="009C46CC" w:rsidP="008F2906">
      <w:pPr>
        <w:widowControl w:val="0"/>
        <w:autoSpaceDE w:val="0"/>
        <w:autoSpaceDN w:val="0"/>
        <w:adjustRightInd w:val="0"/>
        <w:spacing w:after="120"/>
      </w:pPr>
      <w:r w:rsidRPr="003730B5">
        <w:t xml:space="preserve">Pokud jde </w:t>
      </w:r>
      <w:r w:rsidR="00552598" w:rsidRPr="003730B5">
        <w:t>o </w:t>
      </w:r>
      <w:r w:rsidRPr="003730B5">
        <w:t xml:space="preserve">navrhovanou změnu </w:t>
      </w:r>
      <w:r w:rsidR="001F2310" w:rsidRPr="003730B5">
        <w:t xml:space="preserve">zákona </w:t>
      </w:r>
      <w:r w:rsidR="00552598" w:rsidRPr="003730B5">
        <w:t>o </w:t>
      </w:r>
      <w:r w:rsidR="001F2310" w:rsidRPr="003730B5">
        <w:t>přestupcích</w:t>
      </w:r>
      <w:r w:rsidRPr="003730B5">
        <w:t>,</w:t>
      </w:r>
      <w:r w:rsidR="001F2310" w:rsidRPr="003730B5">
        <w:t xml:space="preserve"> přináší </w:t>
      </w:r>
      <w:r w:rsidR="00552598" w:rsidRPr="003730B5">
        <w:t>v </w:t>
      </w:r>
      <w:r w:rsidR="001F2310" w:rsidRPr="003730B5">
        <w:t xml:space="preserve">souvislosti </w:t>
      </w:r>
      <w:r w:rsidR="00552598" w:rsidRPr="003730B5">
        <w:t>s </w:t>
      </w:r>
      <w:r w:rsidR="001F2310" w:rsidRPr="003730B5">
        <w:t xml:space="preserve">digitalizací příkazního řízení na místě jen dílčí </w:t>
      </w:r>
      <w:r w:rsidR="00552598" w:rsidRPr="003730B5">
        <w:t>a </w:t>
      </w:r>
      <w:r w:rsidR="001F2310" w:rsidRPr="003730B5">
        <w:t xml:space="preserve">limitované změny ve zpracování osobních údajů. Rozsah shromažďovaných osobních údajů tedy </w:t>
      </w:r>
      <w:r w:rsidRPr="003730B5">
        <w:t xml:space="preserve">bude </w:t>
      </w:r>
      <w:r w:rsidR="001F2310" w:rsidRPr="003730B5">
        <w:t xml:space="preserve">omezen na údaje nezbytné </w:t>
      </w:r>
      <w:r w:rsidR="00552598" w:rsidRPr="003730B5">
        <w:t>z </w:t>
      </w:r>
      <w:r w:rsidR="001F2310" w:rsidRPr="003730B5">
        <w:t xml:space="preserve">hlediska účelu příkazního řízení na místě </w:t>
      </w:r>
      <w:r w:rsidR="00552598" w:rsidRPr="003730B5">
        <w:t>a </w:t>
      </w:r>
      <w:r w:rsidR="001F2310" w:rsidRPr="003730B5">
        <w:t xml:space="preserve">právní jistoty tohoto řízení; práva </w:t>
      </w:r>
      <w:r w:rsidR="00552598" w:rsidRPr="003730B5">
        <w:t>a </w:t>
      </w:r>
      <w:r w:rsidR="001F2310" w:rsidRPr="003730B5">
        <w:t>povinnosti obviněného z</w:t>
      </w:r>
      <w:r w:rsidRPr="003730B5">
        <w:t> </w:t>
      </w:r>
      <w:r w:rsidR="001F2310" w:rsidRPr="003730B5">
        <w:t xml:space="preserve">přestupku </w:t>
      </w:r>
      <w:r w:rsidR="00552598" w:rsidRPr="003730B5">
        <w:t>v </w:t>
      </w:r>
      <w:r w:rsidR="001F2310" w:rsidRPr="003730B5">
        <w:t>příkazním řízení na místě se nemění.</w:t>
      </w:r>
    </w:p>
    <w:p w14:paraId="1B1833C2" w14:textId="77777777" w:rsidR="006B1DA9" w:rsidRPr="003730B5" w:rsidRDefault="006B1DA9" w:rsidP="006F504E">
      <w:pPr>
        <w:pStyle w:val="Nadpis2"/>
        <w:keepNext w:val="0"/>
        <w:widowControl w:val="0"/>
        <w:numPr>
          <w:ilvl w:val="2"/>
          <w:numId w:val="28"/>
        </w:numPr>
        <w:shd w:val="clear" w:color="auto" w:fill="FFFFFF"/>
        <w:tabs>
          <w:tab w:val="left" w:pos="567"/>
        </w:tabs>
        <w:jc w:val="both"/>
        <w:rPr>
          <w:sz w:val="28"/>
        </w:rPr>
      </w:pPr>
      <w:r w:rsidRPr="003730B5">
        <w:rPr>
          <w:sz w:val="28"/>
        </w:rPr>
        <w:t>Kategorie zpracovávaných osobních údajů</w:t>
      </w:r>
    </w:p>
    <w:p w14:paraId="3673E487" w14:textId="47A16CEC" w:rsidR="006B1DA9" w:rsidRPr="003730B5" w:rsidRDefault="00E712DE" w:rsidP="008F2906">
      <w:pPr>
        <w:widowControl w:val="0"/>
        <w:spacing w:after="120"/>
      </w:pPr>
      <w:r w:rsidRPr="003730B5">
        <w:t>V </w:t>
      </w:r>
      <w:r w:rsidR="0010722F" w:rsidRPr="003730B5">
        <w:t xml:space="preserve">souvislosti </w:t>
      </w:r>
      <w:r w:rsidRPr="003730B5">
        <w:t>s </w:t>
      </w:r>
      <w:r w:rsidR="0010722F" w:rsidRPr="003730B5">
        <w:t xml:space="preserve">návrhem zákona se </w:t>
      </w:r>
      <w:r w:rsidR="00C810C4" w:rsidRPr="003730B5">
        <w:t xml:space="preserve">obecně </w:t>
      </w:r>
      <w:r w:rsidR="0010722F" w:rsidRPr="003730B5">
        <w:t xml:space="preserve">nemění kategorie zpracovávaných osobních údajů.   </w:t>
      </w:r>
    </w:p>
    <w:p w14:paraId="0EF8E788" w14:textId="6BB6FDE0" w:rsidR="00C810C4" w:rsidRPr="003730B5" w:rsidRDefault="00C810C4" w:rsidP="00C810C4">
      <w:pPr>
        <w:widowControl w:val="0"/>
        <w:spacing w:after="120"/>
      </w:pPr>
      <w:r w:rsidRPr="003730B5">
        <w:t xml:space="preserve">V souvislosti </w:t>
      </w:r>
      <w:r w:rsidR="00552598" w:rsidRPr="003730B5">
        <w:t>s </w:t>
      </w:r>
      <w:r w:rsidRPr="003730B5">
        <w:t xml:space="preserve">navrhovanou změnou zákona </w:t>
      </w:r>
      <w:r w:rsidR="00552598" w:rsidRPr="003730B5">
        <w:t>o </w:t>
      </w:r>
      <w:r w:rsidRPr="003730B5">
        <w:t xml:space="preserve">přestupcích lze uvést, že většina kategorií osobních údajů dosud uváděných </w:t>
      </w:r>
      <w:r w:rsidR="00552598" w:rsidRPr="003730B5">
        <w:t>v </w:t>
      </w:r>
      <w:r w:rsidRPr="003730B5">
        <w:t xml:space="preserve">příkazovém bloku se nemění, </w:t>
      </w:r>
      <w:r w:rsidR="00552598" w:rsidRPr="003730B5">
        <w:t>v </w:t>
      </w:r>
      <w:r w:rsidRPr="003730B5">
        <w:t xml:space="preserve">případě podpisů (srov. </w:t>
      </w:r>
      <w:r w:rsidR="00552598" w:rsidRPr="003730B5">
        <w:t>§ </w:t>
      </w:r>
      <w:r w:rsidRPr="003730B5">
        <w:t xml:space="preserve">92 odst. </w:t>
      </w:r>
      <w:r w:rsidR="00552598" w:rsidRPr="003730B5">
        <w:t>4 </w:t>
      </w:r>
      <w:r w:rsidRPr="003730B5">
        <w:t xml:space="preserve">písm. d) </w:t>
      </w:r>
      <w:r w:rsidR="00552598" w:rsidRPr="003730B5">
        <w:t>a </w:t>
      </w:r>
      <w:r w:rsidRPr="003730B5">
        <w:t xml:space="preserve">j) zákona </w:t>
      </w:r>
      <w:r w:rsidR="00552598" w:rsidRPr="003730B5">
        <w:t>o </w:t>
      </w:r>
      <w:r w:rsidRPr="003730B5">
        <w:t>přestup</w:t>
      </w:r>
      <w:r w:rsidR="00E34E00" w:rsidRPr="003730B5">
        <w:t>cích</w:t>
      </w:r>
      <w:r w:rsidRPr="003730B5">
        <w:t xml:space="preserve">) se jako alternativní náležitost zavádí digitalizovaný podpis obviněného </w:t>
      </w:r>
      <w:r w:rsidR="00552598" w:rsidRPr="003730B5">
        <w:t>a </w:t>
      </w:r>
      <w:r w:rsidRPr="003730B5">
        <w:t xml:space="preserve">kvalifikovaný elektronický podpis oprávněné úřední osoby nebo kvalifikovaná elektronická pečeť správního orgánu, tj. orgánu Policie České republiky nebo orgánu Celní správy České republiky (spolu </w:t>
      </w:r>
      <w:r w:rsidR="00552598" w:rsidRPr="003730B5">
        <w:t>s </w:t>
      </w:r>
      <w:r w:rsidRPr="003730B5">
        <w:t xml:space="preserve">kvalifikovaným elektronickým časovým razítkem). Rozsah shromažďovaných osobních údajů tedy zůstává omezen na údaje nezbytné z hlediska účelu příkazního řízení na místě </w:t>
      </w:r>
      <w:r w:rsidR="00552598" w:rsidRPr="003730B5">
        <w:t>a </w:t>
      </w:r>
      <w:r w:rsidRPr="003730B5">
        <w:t xml:space="preserve">právní jistoty tohoto řízení, jak bylo výše uvedeno. Pokud jde </w:t>
      </w:r>
      <w:r w:rsidR="00552598" w:rsidRPr="003730B5">
        <w:t>o </w:t>
      </w:r>
      <w:r w:rsidRPr="003730B5">
        <w:t xml:space="preserve">listinné příkazové bloky, návrh zákona nezavádí (kromě výslovného požadavku na to, aby podpis byl „vlastnoruční“, </w:t>
      </w:r>
      <w:r w:rsidR="00552598" w:rsidRPr="003730B5">
        <w:t>z </w:t>
      </w:r>
      <w:r w:rsidRPr="003730B5">
        <w:t xml:space="preserve">důvodu formálního odlišení analogového </w:t>
      </w:r>
      <w:r w:rsidR="00552598" w:rsidRPr="003730B5">
        <w:t>a </w:t>
      </w:r>
      <w:r w:rsidRPr="003730B5">
        <w:t>digitalizovaného podpisu) žádné změny</w:t>
      </w:r>
      <w:r w:rsidR="003E53B1" w:rsidRPr="003730B5">
        <w:t>,</w:t>
      </w:r>
      <w:r w:rsidRPr="003730B5">
        <w:t xml:space="preserve"> ani pokud jde </w:t>
      </w:r>
      <w:r w:rsidR="00552598" w:rsidRPr="003730B5">
        <w:t>o </w:t>
      </w:r>
      <w:r w:rsidRPr="003730B5">
        <w:t xml:space="preserve">shromažďování osobních údajů. Použití (vyplnění) příkazových bloků </w:t>
      </w:r>
      <w:r w:rsidR="00552598" w:rsidRPr="003730B5">
        <w:t>v </w:t>
      </w:r>
      <w:r w:rsidRPr="003730B5">
        <w:t>obou podobách nadále předchází jednoznačná identifikace obviněného na místě přestupku ze strany oprávněné úřední osoby.</w:t>
      </w:r>
      <w:r w:rsidR="003E53B1" w:rsidRPr="003730B5">
        <w:t xml:space="preserve"> </w:t>
      </w:r>
      <w:r w:rsidRPr="003730B5">
        <w:t xml:space="preserve">Pokud jde </w:t>
      </w:r>
      <w:r w:rsidR="00552598" w:rsidRPr="003730B5">
        <w:t>o </w:t>
      </w:r>
      <w:r w:rsidRPr="003730B5">
        <w:t xml:space="preserve">elektronické příkazové bloky, návrh zákona předpokládá rozšíření zpracování </w:t>
      </w:r>
      <w:r w:rsidR="00552598" w:rsidRPr="003730B5">
        <w:t>o </w:t>
      </w:r>
      <w:r w:rsidRPr="003730B5">
        <w:t xml:space="preserve">pořízení </w:t>
      </w:r>
      <w:r w:rsidR="00552598" w:rsidRPr="003730B5">
        <w:t>a </w:t>
      </w:r>
      <w:r w:rsidRPr="003730B5">
        <w:t xml:space="preserve">další zpracování digitalizovaného podpisu obviněného (nebo osoby jednající za obviněného, který je právnickou nebo podnikající fyzickou osobou) </w:t>
      </w:r>
      <w:r w:rsidR="00552598" w:rsidRPr="003730B5">
        <w:t>a </w:t>
      </w:r>
      <w:r w:rsidRPr="003730B5">
        <w:t xml:space="preserve">připojení kvalifikovaného elektronického podpisu oprávněné úřední osoby (není-li připojena kvalifikovaná elektronická pečeť </w:t>
      </w:r>
      <w:r w:rsidR="003E53B1" w:rsidRPr="003730B5">
        <w:t xml:space="preserve">příslušného </w:t>
      </w:r>
      <w:r w:rsidRPr="003730B5">
        <w:t xml:space="preserve">orgánu). Digitalizovaný podpis je pro účely předloženého návrhu zákona upraven obdobně jako </w:t>
      </w:r>
      <w:r w:rsidR="00552598" w:rsidRPr="003730B5">
        <w:t>u </w:t>
      </w:r>
      <w:r w:rsidRPr="003730B5">
        <w:t xml:space="preserve">převzetí občanského průkazu (srov. </w:t>
      </w:r>
      <w:r w:rsidR="00552598" w:rsidRPr="003730B5">
        <w:t>§ </w:t>
      </w:r>
      <w:r w:rsidRPr="003730B5">
        <w:t xml:space="preserve">18 věta druhá zákona </w:t>
      </w:r>
      <w:r w:rsidR="00552598" w:rsidRPr="003730B5">
        <w:t>č. </w:t>
      </w:r>
      <w:r w:rsidRPr="003730B5">
        <w:t xml:space="preserve">269/2021 Sb., </w:t>
      </w:r>
      <w:r w:rsidR="00552598" w:rsidRPr="003730B5">
        <w:t>o </w:t>
      </w:r>
      <w:r w:rsidRPr="003730B5">
        <w:t>občanských průkazech). Neklade na podepisující osobu žádné zvláštní nároky.</w:t>
      </w:r>
    </w:p>
    <w:p w14:paraId="48E4F5A6" w14:textId="77777777" w:rsidR="006B1DA9" w:rsidRPr="003730B5" w:rsidRDefault="006B1DA9" w:rsidP="006F504E">
      <w:pPr>
        <w:pStyle w:val="Nadpis2"/>
        <w:keepNext w:val="0"/>
        <w:widowControl w:val="0"/>
        <w:numPr>
          <w:ilvl w:val="2"/>
          <w:numId w:val="28"/>
        </w:numPr>
        <w:shd w:val="clear" w:color="auto" w:fill="FFFFFF"/>
        <w:tabs>
          <w:tab w:val="left" w:pos="567"/>
        </w:tabs>
        <w:jc w:val="both"/>
        <w:rPr>
          <w:sz w:val="28"/>
        </w:rPr>
      </w:pPr>
      <w:r w:rsidRPr="003730B5">
        <w:rPr>
          <w:sz w:val="28"/>
        </w:rPr>
        <w:t>Způsob zpracování osobních údajů</w:t>
      </w:r>
    </w:p>
    <w:p w14:paraId="1FE5F92D" w14:textId="5481593A" w:rsidR="006B1DA9" w:rsidRPr="003730B5" w:rsidRDefault="0010722F" w:rsidP="0010722F">
      <w:pPr>
        <w:widowControl w:val="0"/>
        <w:autoSpaceDE w:val="0"/>
        <w:autoSpaceDN w:val="0"/>
        <w:adjustRightInd w:val="0"/>
        <w:spacing w:after="120"/>
      </w:pPr>
      <w:r w:rsidRPr="003730B5">
        <w:t xml:space="preserve">Osobní údaje jsou správcem daně zpracovávány </w:t>
      </w:r>
      <w:r w:rsidR="00E712DE" w:rsidRPr="003730B5">
        <w:t>v </w:t>
      </w:r>
      <w:r w:rsidRPr="003730B5">
        <w:t xml:space="preserve">analogové </w:t>
      </w:r>
      <w:r w:rsidR="00E712DE" w:rsidRPr="003730B5">
        <w:t>i </w:t>
      </w:r>
      <w:r w:rsidRPr="003730B5">
        <w:t xml:space="preserve">digitální podobě. Konkrétní podobu zpracovávání nicméně návrh zákona správci daně nestanovuje </w:t>
      </w:r>
      <w:r w:rsidR="00E712DE" w:rsidRPr="003730B5">
        <w:t>a </w:t>
      </w:r>
      <w:r w:rsidRPr="003730B5">
        <w:t xml:space="preserve">správce daně se v tomto ohledu řídí obecnou právní úpravou podle nařízení Evropského parlamentu </w:t>
      </w:r>
      <w:r w:rsidR="00E712DE" w:rsidRPr="003730B5">
        <w:t>a </w:t>
      </w:r>
      <w:r w:rsidRPr="003730B5">
        <w:t xml:space="preserve">Rady (EU) 2016/679 ze dne 27. dubna 2016 </w:t>
      </w:r>
      <w:r w:rsidR="00E712DE" w:rsidRPr="003730B5">
        <w:t>o </w:t>
      </w:r>
      <w:r w:rsidRPr="003730B5">
        <w:t xml:space="preserve">ochraně fyzických osob </w:t>
      </w:r>
      <w:r w:rsidR="00E712DE" w:rsidRPr="003730B5">
        <w:t>v </w:t>
      </w:r>
      <w:r w:rsidRPr="003730B5">
        <w:t xml:space="preserve">souvislosti se zpracováním osobních údajů </w:t>
      </w:r>
      <w:r w:rsidR="00E712DE" w:rsidRPr="003730B5">
        <w:t>a o </w:t>
      </w:r>
      <w:r w:rsidRPr="003730B5">
        <w:t xml:space="preserve">volném pohybu těchto údajů </w:t>
      </w:r>
      <w:r w:rsidR="00E712DE" w:rsidRPr="003730B5">
        <w:t>a o </w:t>
      </w:r>
      <w:r w:rsidRPr="003730B5">
        <w:t xml:space="preserve">zrušení směrnice 95/46/ES (obecné nařízení </w:t>
      </w:r>
      <w:r w:rsidR="00E712DE" w:rsidRPr="003730B5">
        <w:t>o </w:t>
      </w:r>
      <w:r w:rsidRPr="003730B5">
        <w:t xml:space="preserve">ochraně osobních údajů), zákona </w:t>
      </w:r>
      <w:r w:rsidR="00E712DE" w:rsidRPr="003730B5">
        <w:t>č. </w:t>
      </w:r>
      <w:r w:rsidRPr="003730B5">
        <w:t xml:space="preserve">365/2000 Sb., </w:t>
      </w:r>
      <w:r w:rsidR="00E712DE" w:rsidRPr="003730B5">
        <w:t>o </w:t>
      </w:r>
      <w:r w:rsidRPr="003730B5">
        <w:t xml:space="preserve">informačních systémech veřejné správy </w:t>
      </w:r>
      <w:r w:rsidR="00E712DE" w:rsidRPr="003730B5">
        <w:t>a o </w:t>
      </w:r>
      <w:r w:rsidRPr="003730B5">
        <w:t xml:space="preserve">změně některých dalších zákonů, ve znění pozdějších předpisů, </w:t>
      </w:r>
      <w:r w:rsidR="00E712DE" w:rsidRPr="003730B5">
        <w:t>a </w:t>
      </w:r>
      <w:r w:rsidRPr="003730B5">
        <w:t xml:space="preserve">vyhlášky </w:t>
      </w:r>
      <w:r w:rsidR="00E712DE" w:rsidRPr="003730B5">
        <w:t>č. </w:t>
      </w:r>
      <w:r w:rsidRPr="003730B5">
        <w:t xml:space="preserve">529/2006 Sb., </w:t>
      </w:r>
      <w:r w:rsidR="00E712DE" w:rsidRPr="003730B5">
        <w:t>o </w:t>
      </w:r>
      <w:r w:rsidRPr="003730B5">
        <w:t xml:space="preserve">požadavcích na strukturu </w:t>
      </w:r>
      <w:r w:rsidR="00E712DE" w:rsidRPr="003730B5">
        <w:t>a </w:t>
      </w:r>
      <w:r w:rsidRPr="003730B5">
        <w:t xml:space="preserve">obsah informační koncepce </w:t>
      </w:r>
      <w:r w:rsidR="00E712DE" w:rsidRPr="003730B5">
        <w:t>a </w:t>
      </w:r>
      <w:r w:rsidRPr="003730B5">
        <w:t xml:space="preserve">provozní </w:t>
      </w:r>
      <w:r w:rsidRPr="003730B5">
        <w:lastRenderedPageBreak/>
        <w:t xml:space="preserve">dokumentace a o požadavcích na řízení bezpečnosti </w:t>
      </w:r>
      <w:r w:rsidR="00E712DE" w:rsidRPr="003730B5">
        <w:t>a </w:t>
      </w:r>
      <w:r w:rsidRPr="003730B5">
        <w:t xml:space="preserve">kvality informačních systémů veřejné správy (vyhláška </w:t>
      </w:r>
      <w:r w:rsidR="00E712DE" w:rsidRPr="003730B5">
        <w:t>o </w:t>
      </w:r>
      <w:r w:rsidRPr="003730B5">
        <w:t xml:space="preserve">dlouhodobém řízení informačních systémů veřejné správy). Na způsobu zpracování osobních údajů návrh zákona </w:t>
      </w:r>
      <w:r w:rsidR="002F167A" w:rsidRPr="003730B5">
        <w:t xml:space="preserve">v dané oblasti </w:t>
      </w:r>
      <w:r w:rsidRPr="003730B5">
        <w:t>nic nemění.</w:t>
      </w:r>
    </w:p>
    <w:p w14:paraId="626C6538" w14:textId="6EE1C733" w:rsidR="009C46CC" w:rsidRPr="003730B5" w:rsidRDefault="009C46CC" w:rsidP="0010722F">
      <w:pPr>
        <w:widowControl w:val="0"/>
        <w:autoSpaceDE w:val="0"/>
        <w:autoSpaceDN w:val="0"/>
        <w:adjustRightInd w:val="0"/>
        <w:spacing w:after="120"/>
      </w:pPr>
      <w:r w:rsidRPr="003730B5">
        <w:t xml:space="preserve">Pokud jde </w:t>
      </w:r>
      <w:r w:rsidR="00552598" w:rsidRPr="003730B5">
        <w:t>o </w:t>
      </w:r>
      <w:r w:rsidRPr="003730B5">
        <w:t xml:space="preserve">návrh změny zákona </w:t>
      </w:r>
      <w:r w:rsidR="00552598" w:rsidRPr="003730B5">
        <w:t>o </w:t>
      </w:r>
      <w:r w:rsidRPr="003730B5">
        <w:t xml:space="preserve">přestupcích, nezavádí </w:t>
      </w:r>
      <w:r w:rsidR="00552598" w:rsidRPr="003730B5">
        <w:t>a </w:t>
      </w:r>
      <w:r w:rsidRPr="003730B5">
        <w:t xml:space="preserve">ani implicitně nepředpokládá v souvislosti elektronickými příkazovými bloky novou evidenci osobních údajů. Podstatou digitalizace příkazního řízení na místě ovšem je, že elektronické příkazové bloky budou zpracovávány (vyplnění, evidence, kontrola, zasílání do kompetenční dělené správy) digitálně. To bude probíhat </w:t>
      </w:r>
      <w:r w:rsidR="00552598" w:rsidRPr="003730B5">
        <w:t>v </w:t>
      </w:r>
      <w:r w:rsidRPr="003730B5">
        <w:t xml:space="preserve">existujících systémech elektronické spisové služby. </w:t>
      </w:r>
      <w:r w:rsidR="00552598" w:rsidRPr="003730B5">
        <w:t>V </w:t>
      </w:r>
      <w:r w:rsidRPr="003730B5">
        <w:t xml:space="preserve">případě Policie České republiky půjde </w:t>
      </w:r>
      <w:r w:rsidR="00552598" w:rsidRPr="003730B5">
        <w:t>o </w:t>
      </w:r>
      <w:r w:rsidRPr="003730B5">
        <w:t xml:space="preserve">stávající systém Evidence trestního řízení (ETŘ) </w:t>
      </w:r>
      <w:r w:rsidR="00552598" w:rsidRPr="003730B5">
        <w:t>a v </w:t>
      </w:r>
      <w:r w:rsidRPr="003730B5">
        <w:t xml:space="preserve">případě Celní správy České republiky </w:t>
      </w:r>
      <w:r w:rsidR="00552598" w:rsidRPr="003730B5">
        <w:t>o </w:t>
      </w:r>
      <w:r w:rsidRPr="003730B5">
        <w:t xml:space="preserve">aplikaci „Mobilní dohled“ </w:t>
      </w:r>
      <w:r w:rsidR="00552598" w:rsidRPr="003730B5">
        <w:t>a </w:t>
      </w:r>
      <w:r w:rsidRPr="003730B5">
        <w:t xml:space="preserve">„Spisová služba“. Tyto systémy budou pro zpracování elektronických příkazových bloků uzpůsobeny vytvořením specifických formulářů </w:t>
      </w:r>
      <w:r w:rsidR="00552598" w:rsidRPr="003730B5">
        <w:t>s </w:t>
      </w:r>
      <w:r w:rsidRPr="003730B5">
        <w:t xml:space="preserve">náležitostmi příkazového bloku. Jiné správní orgány nebudou oprávněny elektronické příkazové bloky vydávat. Předpokládá se, že elektronické příkazové bloky budou zpracovávány na mobilních bezpečných platformách (např. tablet se speciálním SW vybavením). Tyto platformy již nyní musí splňovat všechny požadavky na zabezpečení osobních údajů, řízení přístupu </w:t>
      </w:r>
      <w:r w:rsidR="00552598" w:rsidRPr="003730B5">
        <w:t>k </w:t>
      </w:r>
      <w:r w:rsidRPr="003730B5">
        <w:t xml:space="preserve">osobním údajům, pořizování záznamů, tzv. logů, </w:t>
      </w:r>
      <w:r w:rsidR="00552598" w:rsidRPr="003730B5">
        <w:t>o </w:t>
      </w:r>
      <w:r w:rsidRPr="003730B5">
        <w:t xml:space="preserve">zpracování atd.). Tyto systémy jsou vybaveny nepřetržitým </w:t>
      </w:r>
      <w:r w:rsidR="00552598" w:rsidRPr="003730B5">
        <w:t>a </w:t>
      </w:r>
      <w:r w:rsidRPr="003730B5">
        <w:t xml:space="preserve">dálkovým zabezpečeným přístupem do příslušných informačních systémů veřejné správy (např. základní registry, registr vozidel apod.), ze kterých budou čerpat údaje </w:t>
      </w:r>
      <w:r w:rsidR="00552598" w:rsidRPr="003730B5">
        <w:t>v </w:t>
      </w:r>
      <w:r w:rsidRPr="003730B5">
        <w:t xml:space="preserve">rozsahu náležitostí příkazového bloku (srov. </w:t>
      </w:r>
      <w:r w:rsidR="00552598" w:rsidRPr="003730B5">
        <w:t>§ </w:t>
      </w:r>
      <w:r w:rsidRPr="003730B5">
        <w:t xml:space="preserve">92 odst. </w:t>
      </w:r>
      <w:r w:rsidR="00552598" w:rsidRPr="003730B5">
        <w:t>4 </w:t>
      </w:r>
      <w:r w:rsidRPr="003730B5">
        <w:t xml:space="preserve">písm. a) - c) zákona </w:t>
      </w:r>
      <w:r w:rsidR="00552598" w:rsidRPr="003730B5">
        <w:t>o </w:t>
      </w:r>
      <w:r w:rsidRPr="003730B5">
        <w:t xml:space="preserve">přestupcích). Pro zpracování elektronických příkazových bloků se předpokládá vytvoření samostatné aplikace pro tyto mobilní platformy </w:t>
      </w:r>
      <w:r w:rsidR="00552598" w:rsidRPr="003730B5">
        <w:t>v </w:t>
      </w:r>
      <w:r w:rsidRPr="003730B5">
        <w:t>rámci výše uvedených spisových služeb.</w:t>
      </w:r>
    </w:p>
    <w:p w14:paraId="27CCB1B1" w14:textId="6C8ED98A" w:rsidR="003E53B1" w:rsidRPr="003730B5" w:rsidRDefault="003E53B1" w:rsidP="0010722F">
      <w:pPr>
        <w:widowControl w:val="0"/>
        <w:autoSpaceDE w:val="0"/>
        <w:autoSpaceDN w:val="0"/>
        <w:adjustRightInd w:val="0"/>
        <w:spacing w:after="120"/>
      </w:pPr>
      <w:r w:rsidRPr="003730B5">
        <w:t>Samostatnou kategorii představuje navržená změna v oblasti stavebního spoření. Navrhovanou právní úpravou dochází k rozšíření zpracování osobních údajů souvisejících se stavebním spořením na banky. Doposud stavební spoření poskytovaly pouze stavební spořitelny, nově je budou moci poskytovat i banky, a tedy údaje o účastnících obsažené v informačním systému vedeném Ministerstvem financí podle § 9a zákona o stavebním spoření budou moci být poskytnuty nově i bankám, které s danými účastníky uzavřely smlouvu o stavebním spoření. Zde je potřeba zdůraznit, že již dnes se pracovníci bank musí při nakládání s klientskými daty řídit přísnými požadavky zakotvenými v řídicím a kontrolním systému (systému vnitřní správy a řízení) banky. Banka je přitom pod hrozbou sankce povinna zajistit řádné fungování svého řídicího a kontrolního systému, přičemž plnění této povinnosti podléhá dohledu České národní banky. Mimo to budou informace o klientech v souvislosti se stavebním spořením chráněny bankovním tajemstvím podle zákona o bankách, tj. banky budou mít povinnost dbát o zamezení úniku těchto informací mimo sféru úvěrové instituce. Nedochází k žádné změně rozsahu poskytovaných informací oproti stávajícímu rozsahu, který je poskytován stavebním spořitelnám. Zákon přímo uvádí, že poskytovatelé stavebního spoření nesmějí tyto údaje shromažďovat, předávat jiným osobám nebo je využívat nad rámec stanovený zákonem upravujícím ochranu osobních údajů.</w:t>
      </w:r>
    </w:p>
    <w:p w14:paraId="549506F7" w14:textId="77777777" w:rsidR="006B1DA9" w:rsidRPr="003730B5" w:rsidRDefault="006B1DA9" w:rsidP="006F504E">
      <w:pPr>
        <w:pStyle w:val="Nadpis2"/>
        <w:keepNext w:val="0"/>
        <w:widowControl w:val="0"/>
        <w:numPr>
          <w:ilvl w:val="2"/>
          <w:numId w:val="28"/>
        </w:numPr>
        <w:shd w:val="clear" w:color="auto" w:fill="FFFFFF"/>
        <w:tabs>
          <w:tab w:val="left" w:pos="567"/>
        </w:tabs>
        <w:jc w:val="both"/>
        <w:rPr>
          <w:sz w:val="28"/>
        </w:rPr>
      </w:pPr>
      <w:r w:rsidRPr="003730B5">
        <w:rPr>
          <w:sz w:val="28"/>
        </w:rPr>
        <w:t>Veřejnost zpracování</w:t>
      </w:r>
    </w:p>
    <w:p w14:paraId="743926D7" w14:textId="3A1702E9" w:rsidR="006B1DA9" w:rsidRPr="003730B5" w:rsidRDefault="0010722F" w:rsidP="008F2906">
      <w:pPr>
        <w:widowControl w:val="0"/>
        <w:autoSpaceDE w:val="0"/>
        <w:autoSpaceDN w:val="0"/>
        <w:adjustRightInd w:val="0"/>
      </w:pPr>
      <w:r w:rsidRPr="003730B5">
        <w:t>Při správě daně se uplatňuje zásada neveřejnosti (</w:t>
      </w:r>
      <w:r w:rsidR="00E712DE" w:rsidRPr="003730B5">
        <w:t>§ 9 </w:t>
      </w:r>
      <w:r w:rsidRPr="003730B5">
        <w:t xml:space="preserve">odst. </w:t>
      </w:r>
      <w:r w:rsidR="00E712DE" w:rsidRPr="003730B5">
        <w:t>1 </w:t>
      </w:r>
      <w:r w:rsidRPr="003730B5">
        <w:t xml:space="preserve">daňového řádu), která má svůj odraz </w:t>
      </w:r>
      <w:r w:rsidR="00E712DE" w:rsidRPr="003730B5">
        <w:t>v </w:t>
      </w:r>
      <w:r w:rsidRPr="003730B5">
        <w:t xml:space="preserve">povinnosti osob zúčastněných na správě daní </w:t>
      </w:r>
      <w:r w:rsidR="00E712DE" w:rsidRPr="003730B5">
        <w:t>a </w:t>
      </w:r>
      <w:r w:rsidRPr="003730B5">
        <w:t xml:space="preserve">úředních osob zachovávat mlčenlivost </w:t>
      </w:r>
      <w:r w:rsidR="00E712DE" w:rsidRPr="003730B5">
        <w:t>o </w:t>
      </w:r>
      <w:r w:rsidRPr="003730B5">
        <w:t xml:space="preserve">všem, co se </w:t>
      </w:r>
      <w:r w:rsidR="00E712DE" w:rsidRPr="003730B5">
        <w:t>v </w:t>
      </w:r>
      <w:r w:rsidRPr="003730B5">
        <w:t>souvislosti se správou daní dozvěděly. Osobní údaje shromažďované nebudou zpracovávány veřejně.</w:t>
      </w:r>
    </w:p>
    <w:p w14:paraId="4F9402A3" w14:textId="77777777" w:rsidR="006B1DA9" w:rsidRPr="003730B5" w:rsidRDefault="006B1DA9" w:rsidP="006F504E">
      <w:pPr>
        <w:pStyle w:val="Nadpis2"/>
        <w:keepNext w:val="0"/>
        <w:widowControl w:val="0"/>
        <w:numPr>
          <w:ilvl w:val="2"/>
          <w:numId w:val="28"/>
        </w:numPr>
        <w:shd w:val="clear" w:color="auto" w:fill="FFFFFF"/>
        <w:tabs>
          <w:tab w:val="left" w:pos="567"/>
        </w:tabs>
        <w:jc w:val="both"/>
        <w:rPr>
          <w:sz w:val="28"/>
        </w:rPr>
      </w:pPr>
      <w:r w:rsidRPr="003730B5">
        <w:rPr>
          <w:sz w:val="28"/>
        </w:rPr>
        <w:t>Lhůty pro uchování osobních údajů</w:t>
      </w:r>
    </w:p>
    <w:p w14:paraId="7C35FCDB" w14:textId="7B6A3486" w:rsidR="006B1DA9" w:rsidRPr="003730B5" w:rsidRDefault="0010722F" w:rsidP="008F2906">
      <w:pPr>
        <w:widowControl w:val="0"/>
        <w:autoSpaceDE w:val="0"/>
        <w:autoSpaceDN w:val="0"/>
        <w:adjustRightInd w:val="0"/>
      </w:pPr>
      <w:r w:rsidRPr="003730B5">
        <w:t xml:space="preserve">Návrh nemění lhůty pro uchování osobních údajů, resp. nemění obecnou úpravu daňového řádu pro oblast správy daní, která tyto lhůty explicitně nestanoví, ale spojuje dobu uchování osobních </w:t>
      </w:r>
      <w:r w:rsidRPr="003730B5">
        <w:lastRenderedPageBreak/>
        <w:t xml:space="preserve">údajů </w:t>
      </w:r>
      <w:r w:rsidR="00E712DE" w:rsidRPr="003730B5">
        <w:t>s </w:t>
      </w:r>
      <w:r w:rsidRPr="003730B5">
        <w:t>jejich potřebností pro účely správy daní.</w:t>
      </w:r>
    </w:p>
    <w:p w14:paraId="3E324F00" w14:textId="77777777" w:rsidR="006B1DA9" w:rsidRPr="003730B5" w:rsidRDefault="006B1DA9" w:rsidP="00133AC8">
      <w:pPr>
        <w:pStyle w:val="Nadpis2"/>
        <w:numPr>
          <w:ilvl w:val="2"/>
          <w:numId w:val="28"/>
        </w:numPr>
        <w:shd w:val="clear" w:color="auto" w:fill="FFFFFF"/>
        <w:tabs>
          <w:tab w:val="left" w:pos="567"/>
        </w:tabs>
        <w:jc w:val="both"/>
        <w:rPr>
          <w:sz w:val="28"/>
        </w:rPr>
      </w:pPr>
      <w:r w:rsidRPr="003730B5">
        <w:rPr>
          <w:sz w:val="28"/>
        </w:rPr>
        <w:t>Oprávnění subjektu údajů</w:t>
      </w:r>
    </w:p>
    <w:p w14:paraId="2B0D8D24" w14:textId="0CEAFD9A" w:rsidR="006B1DA9" w:rsidRPr="003730B5" w:rsidRDefault="0010722F" w:rsidP="008F2906">
      <w:pPr>
        <w:widowControl w:val="0"/>
        <w:autoSpaceDE w:val="0"/>
        <w:autoSpaceDN w:val="0"/>
        <w:adjustRightInd w:val="0"/>
      </w:pPr>
      <w:r w:rsidRPr="003730B5">
        <w:t xml:space="preserve">Práva subjektů údajů vztahující se ke zpracovávaným osobním údajům uvedená </w:t>
      </w:r>
      <w:r w:rsidR="00E712DE" w:rsidRPr="003730B5">
        <w:t>v čl. </w:t>
      </w:r>
      <w:r w:rsidRPr="003730B5">
        <w:t xml:space="preserve">15 až 22 nařízení Evropského parlamentu </w:t>
      </w:r>
      <w:r w:rsidR="00E712DE" w:rsidRPr="003730B5">
        <w:t>a </w:t>
      </w:r>
      <w:r w:rsidRPr="003730B5">
        <w:t xml:space="preserve">Rady (EU) 2016/679 ze dne 27. dubna 2016 </w:t>
      </w:r>
      <w:r w:rsidR="00E712DE" w:rsidRPr="003730B5">
        <w:t>o </w:t>
      </w:r>
      <w:r w:rsidRPr="003730B5">
        <w:t xml:space="preserve">ochraně fyzických osob </w:t>
      </w:r>
      <w:r w:rsidR="00E712DE" w:rsidRPr="003730B5">
        <w:t>v </w:t>
      </w:r>
      <w:r w:rsidRPr="003730B5">
        <w:t xml:space="preserve">souvislosti se zpracováním osobních údajů </w:t>
      </w:r>
      <w:r w:rsidR="00E712DE" w:rsidRPr="003730B5">
        <w:t>a o </w:t>
      </w:r>
      <w:r w:rsidRPr="003730B5">
        <w:t>volném pohybu těchto údajů a </w:t>
      </w:r>
      <w:r w:rsidR="00E712DE" w:rsidRPr="003730B5">
        <w:t>o </w:t>
      </w:r>
      <w:r w:rsidRPr="003730B5">
        <w:t xml:space="preserve">zrušení směrnice 95/46/ES (obecné nařízení </w:t>
      </w:r>
      <w:r w:rsidR="00E712DE" w:rsidRPr="003730B5">
        <w:t>o </w:t>
      </w:r>
      <w:r w:rsidRPr="003730B5">
        <w:t>ochraně osobních údajů) nejsou návrhem zákona omezena.</w:t>
      </w:r>
    </w:p>
    <w:p w14:paraId="41EC6543" w14:textId="77777777" w:rsidR="006B1DA9" w:rsidRPr="003730B5" w:rsidRDefault="006B1DA9" w:rsidP="006F504E">
      <w:pPr>
        <w:pStyle w:val="Nadpis2"/>
        <w:keepNext w:val="0"/>
        <w:widowControl w:val="0"/>
        <w:numPr>
          <w:ilvl w:val="2"/>
          <w:numId w:val="28"/>
        </w:numPr>
        <w:shd w:val="clear" w:color="auto" w:fill="FFFFFF"/>
        <w:tabs>
          <w:tab w:val="left" w:pos="567"/>
        </w:tabs>
        <w:jc w:val="both"/>
        <w:rPr>
          <w:sz w:val="28"/>
        </w:rPr>
      </w:pPr>
      <w:r w:rsidRPr="003730B5">
        <w:rPr>
          <w:sz w:val="28"/>
        </w:rPr>
        <w:t>Posouzení nebezpečí neoprávněného přístupu k osobním údajům</w:t>
      </w:r>
    </w:p>
    <w:p w14:paraId="24F5843F" w14:textId="117B50C2" w:rsidR="006B1DA9" w:rsidRPr="003730B5" w:rsidRDefault="0010722F" w:rsidP="008F2906">
      <w:pPr>
        <w:widowControl w:val="0"/>
        <w:autoSpaceDE w:val="0"/>
        <w:autoSpaceDN w:val="0"/>
        <w:adjustRightInd w:val="0"/>
      </w:pPr>
      <w:r w:rsidRPr="003730B5">
        <w:t xml:space="preserve">Správce daně je povinen přijmout opatření, aby nedošlo </w:t>
      </w:r>
      <w:r w:rsidR="00E712DE" w:rsidRPr="003730B5">
        <w:t>k </w:t>
      </w:r>
      <w:r w:rsidRPr="003730B5">
        <w:t xml:space="preserve">neoprávněnému nebo nahodilému přístupu </w:t>
      </w:r>
      <w:r w:rsidR="00E712DE" w:rsidRPr="003730B5">
        <w:t>k </w:t>
      </w:r>
      <w:r w:rsidRPr="003730B5">
        <w:t xml:space="preserve">osobním údajům, </w:t>
      </w:r>
      <w:r w:rsidR="00E712DE" w:rsidRPr="003730B5">
        <w:t>k </w:t>
      </w:r>
      <w:r w:rsidRPr="003730B5">
        <w:t>jejich změně, zničení či ztrátě, neoprávněným přenosům nebo neoprávněnému zpracování.</w:t>
      </w:r>
    </w:p>
    <w:p w14:paraId="79DF349B" w14:textId="3A686D30" w:rsidR="006B1DA9" w:rsidRPr="003730B5" w:rsidRDefault="006B1DA9" w:rsidP="006F504E">
      <w:pPr>
        <w:pStyle w:val="Nadpis2"/>
        <w:keepNext w:val="0"/>
        <w:widowControl w:val="0"/>
        <w:numPr>
          <w:ilvl w:val="2"/>
          <w:numId w:val="28"/>
        </w:numPr>
        <w:shd w:val="clear" w:color="auto" w:fill="FFFFFF"/>
        <w:tabs>
          <w:tab w:val="left" w:pos="567"/>
        </w:tabs>
        <w:jc w:val="both"/>
        <w:rPr>
          <w:sz w:val="28"/>
        </w:rPr>
      </w:pPr>
      <w:r w:rsidRPr="003730B5">
        <w:rPr>
          <w:sz w:val="28"/>
        </w:rPr>
        <w:t>Záruky ochrany osobních údajů</w:t>
      </w:r>
    </w:p>
    <w:p w14:paraId="02F228B5" w14:textId="77777777" w:rsidR="006B1DA9" w:rsidRPr="003730B5" w:rsidRDefault="006B1DA9" w:rsidP="004C0569">
      <w:pPr>
        <w:pStyle w:val="Nadpis2"/>
        <w:keepNext w:val="0"/>
        <w:widowControl w:val="0"/>
        <w:numPr>
          <w:ilvl w:val="3"/>
          <w:numId w:val="28"/>
        </w:numPr>
        <w:shd w:val="clear" w:color="auto" w:fill="FFFFFF"/>
        <w:tabs>
          <w:tab w:val="left" w:pos="567"/>
        </w:tabs>
        <w:jc w:val="both"/>
        <w:rPr>
          <w:i/>
          <w:sz w:val="24"/>
        </w:rPr>
      </w:pPr>
      <w:r w:rsidRPr="003730B5">
        <w:rPr>
          <w:i/>
          <w:sz w:val="24"/>
        </w:rPr>
        <w:t>Prevence zneužití osobních údajů</w:t>
      </w:r>
    </w:p>
    <w:p w14:paraId="0F2BC20B" w14:textId="71C47073" w:rsidR="009F0B72" w:rsidRPr="003730B5" w:rsidRDefault="009F0B72" w:rsidP="009F0B72">
      <w:pPr>
        <w:widowControl w:val="0"/>
        <w:autoSpaceDE w:val="0"/>
        <w:autoSpaceDN w:val="0"/>
        <w:adjustRightInd w:val="0"/>
        <w:spacing w:after="120"/>
      </w:pPr>
      <w:r w:rsidRPr="003730B5">
        <w:t xml:space="preserve">Obecně se ochrana osobních údajů řídí právní úpravou obecného nařízení </w:t>
      </w:r>
      <w:r w:rsidR="00E712DE" w:rsidRPr="003730B5">
        <w:t>o </w:t>
      </w:r>
      <w:r w:rsidRPr="003730B5">
        <w:t xml:space="preserve">ochraně osobních údajů </w:t>
      </w:r>
      <w:r w:rsidR="00E712DE" w:rsidRPr="003730B5">
        <w:t>a </w:t>
      </w:r>
      <w:r w:rsidRPr="003730B5">
        <w:t xml:space="preserve">souvisejících právních předpisů, např. zákona </w:t>
      </w:r>
      <w:r w:rsidR="00E712DE" w:rsidRPr="003730B5">
        <w:t>č. </w:t>
      </w:r>
      <w:r w:rsidRPr="003730B5">
        <w:t xml:space="preserve">110/2019 Sb., </w:t>
      </w:r>
      <w:r w:rsidR="00E712DE" w:rsidRPr="003730B5">
        <w:t>o </w:t>
      </w:r>
      <w:r w:rsidRPr="003730B5">
        <w:t xml:space="preserve">zpracování osobních údajů, zákona </w:t>
      </w:r>
      <w:r w:rsidR="00E712DE" w:rsidRPr="003730B5">
        <w:t>č. </w:t>
      </w:r>
      <w:r w:rsidRPr="003730B5">
        <w:t xml:space="preserve">365/2000 Sb., </w:t>
      </w:r>
      <w:r w:rsidR="00E712DE" w:rsidRPr="003730B5">
        <w:t>o </w:t>
      </w:r>
      <w:r w:rsidRPr="003730B5">
        <w:t xml:space="preserve">informačních systémech veřejné správy </w:t>
      </w:r>
      <w:r w:rsidR="00E712DE" w:rsidRPr="003730B5">
        <w:t>a o </w:t>
      </w:r>
      <w:r w:rsidRPr="003730B5">
        <w:t xml:space="preserve">změně některých dalších zákonů, ve znění pozdějších předpisů, </w:t>
      </w:r>
      <w:r w:rsidR="00E712DE" w:rsidRPr="003730B5">
        <w:t>a </w:t>
      </w:r>
      <w:r w:rsidRPr="003730B5">
        <w:t xml:space="preserve">vyhlášky </w:t>
      </w:r>
      <w:r w:rsidR="00E712DE" w:rsidRPr="003730B5">
        <w:t>č. </w:t>
      </w:r>
      <w:r w:rsidRPr="003730B5">
        <w:t xml:space="preserve">529/2006 Sb., </w:t>
      </w:r>
      <w:r w:rsidR="00E712DE" w:rsidRPr="003730B5">
        <w:t>o </w:t>
      </w:r>
      <w:r w:rsidRPr="003730B5">
        <w:t xml:space="preserve">požadavcích na strukturu </w:t>
      </w:r>
      <w:r w:rsidR="00E712DE" w:rsidRPr="003730B5">
        <w:t>a </w:t>
      </w:r>
      <w:r w:rsidRPr="003730B5">
        <w:t xml:space="preserve">obsah informační koncepce </w:t>
      </w:r>
      <w:r w:rsidR="00E712DE" w:rsidRPr="003730B5">
        <w:t>a </w:t>
      </w:r>
      <w:r w:rsidRPr="003730B5">
        <w:t xml:space="preserve">provozní dokumentace </w:t>
      </w:r>
      <w:r w:rsidR="00E712DE" w:rsidRPr="003730B5">
        <w:t>a o </w:t>
      </w:r>
      <w:r w:rsidRPr="003730B5">
        <w:t xml:space="preserve">požadavcích na řízení bezpečnosti </w:t>
      </w:r>
      <w:r w:rsidR="00E712DE" w:rsidRPr="003730B5">
        <w:t>a </w:t>
      </w:r>
      <w:r w:rsidRPr="003730B5">
        <w:t xml:space="preserve">kvality informačních systémů veřejné správy (vyhláška </w:t>
      </w:r>
      <w:r w:rsidR="00E712DE" w:rsidRPr="003730B5">
        <w:t>o </w:t>
      </w:r>
      <w:r w:rsidRPr="003730B5">
        <w:t xml:space="preserve">dlouhodobém řízení informačních systémů veřejné správy). Prostřednictvím naplnění požadavků těchto předpisů je zejména zajištěno, aby se získanými údaji nakládaly toliko úřední osoby, které vykonávají předmětné úkoly (zejména sledování které osoby </w:t>
      </w:r>
      <w:r w:rsidR="00E712DE" w:rsidRPr="003730B5">
        <w:t>a v </w:t>
      </w:r>
      <w:r w:rsidRPr="003730B5">
        <w:t xml:space="preserve">jakém rozsahu </w:t>
      </w:r>
      <w:r w:rsidR="00E712DE" w:rsidRPr="003730B5">
        <w:t>s </w:t>
      </w:r>
      <w:r w:rsidRPr="003730B5">
        <w:t>údaji nakládají).</w:t>
      </w:r>
    </w:p>
    <w:p w14:paraId="1CBFDD24" w14:textId="029284E8" w:rsidR="009F0B72" w:rsidRPr="003730B5" w:rsidRDefault="009F0B72" w:rsidP="009F0B72">
      <w:pPr>
        <w:widowControl w:val="0"/>
        <w:autoSpaceDE w:val="0"/>
        <w:autoSpaceDN w:val="0"/>
        <w:adjustRightInd w:val="0"/>
        <w:spacing w:after="120"/>
      </w:pPr>
      <w:r w:rsidRPr="003730B5">
        <w:t xml:space="preserve">Další úroveň garancí práv subjektu údajů představuje skutečnost, že zpracování osobních údajů správcem daně podléhá dozorové kompetenci Úřadu pro ochranu osobních údajů, vůči němuž je </w:t>
      </w:r>
      <w:r w:rsidR="00E712DE" w:rsidRPr="003730B5">
        <w:t>v </w:t>
      </w:r>
      <w:r w:rsidRPr="003730B5">
        <w:t>tomto rozsahu prolomena daňová mlčenlivost (</w:t>
      </w:r>
      <w:r w:rsidR="00E712DE" w:rsidRPr="003730B5">
        <w:t>§ </w:t>
      </w:r>
      <w:r w:rsidRPr="003730B5">
        <w:t xml:space="preserve">53 odst. </w:t>
      </w:r>
      <w:r w:rsidR="00E712DE" w:rsidRPr="003730B5">
        <w:t>1 </w:t>
      </w:r>
      <w:r w:rsidRPr="003730B5">
        <w:t>písm. g) daňového řádu).</w:t>
      </w:r>
    </w:p>
    <w:p w14:paraId="079369F3" w14:textId="6686E106" w:rsidR="009F0B72" w:rsidRPr="003730B5" w:rsidRDefault="009F0B72" w:rsidP="009F0B72">
      <w:pPr>
        <w:widowControl w:val="0"/>
        <w:autoSpaceDE w:val="0"/>
        <w:autoSpaceDN w:val="0"/>
        <w:adjustRightInd w:val="0"/>
        <w:spacing w:after="120"/>
      </w:pPr>
      <w:r w:rsidRPr="003730B5">
        <w:t xml:space="preserve">Skutečnost, že daný údaj je potřebný pro výkon dané působnosti (plnění konkrétního úkolu), je přezkoumatelná prostřednictvím příslušného spisu </w:t>
      </w:r>
      <w:r w:rsidR="00E712DE" w:rsidRPr="003730B5">
        <w:t>a </w:t>
      </w:r>
      <w:r w:rsidRPr="003730B5">
        <w:t xml:space="preserve">prostřednictvím interních postupů správců daně, které podléhají kontrolním mechanismům </w:t>
      </w:r>
      <w:r w:rsidR="00E712DE" w:rsidRPr="003730B5">
        <w:t>v </w:t>
      </w:r>
      <w:r w:rsidRPr="003730B5">
        <w:t xml:space="preserve">souladu </w:t>
      </w:r>
      <w:r w:rsidR="00E712DE" w:rsidRPr="003730B5">
        <w:t>s </w:t>
      </w:r>
      <w:r w:rsidRPr="003730B5">
        <w:t>právní úpravou ochrany osobních údajů.</w:t>
      </w:r>
    </w:p>
    <w:p w14:paraId="3D5447C6" w14:textId="33EADA9A" w:rsidR="009F0B72" w:rsidRPr="003730B5" w:rsidRDefault="00E712DE" w:rsidP="009F0B72">
      <w:pPr>
        <w:widowControl w:val="0"/>
        <w:autoSpaceDE w:val="0"/>
        <w:autoSpaceDN w:val="0"/>
        <w:adjustRightInd w:val="0"/>
        <w:spacing w:after="120"/>
      </w:pPr>
      <w:r w:rsidRPr="003730B5">
        <w:t>K </w:t>
      </w:r>
      <w:r w:rsidR="009F0B72" w:rsidRPr="003730B5">
        <w:t xml:space="preserve">osobním údajům jsou oprávněny přistupovat pouze osoby oprávněné </w:t>
      </w:r>
      <w:r w:rsidRPr="003730B5">
        <w:t>k </w:t>
      </w:r>
      <w:r w:rsidR="009F0B72" w:rsidRPr="003730B5">
        <w:t>jejich zpracování na základě organizačního řádu (organizační struktury) jednotlivých povinných osob.</w:t>
      </w:r>
    </w:p>
    <w:p w14:paraId="58571F54" w14:textId="2D170EE1" w:rsidR="006B1DA9" w:rsidRPr="003730B5" w:rsidRDefault="009F0B72" w:rsidP="009F0B72">
      <w:pPr>
        <w:widowControl w:val="0"/>
        <w:autoSpaceDE w:val="0"/>
        <w:autoSpaceDN w:val="0"/>
        <w:adjustRightInd w:val="0"/>
        <w:spacing w:after="120"/>
      </w:pPr>
      <w:r w:rsidRPr="003730B5">
        <w:t>Návrh nezavádí nové mechanismy prevence zneužití osobních údajů.</w:t>
      </w:r>
    </w:p>
    <w:p w14:paraId="2159C75D" w14:textId="77777777" w:rsidR="006B1DA9" w:rsidRPr="003730B5" w:rsidRDefault="006B1DA9" w:rsidP="004C0569">
      <w:pPr>
        <w:pStyle w:val="Nadpis2"/>
        <w:keepNext w:val="0"/>
        <w:widowControl w:val="0"/>
        <w:numPr>
          <w:ilvl w:val="3"/>
          <w:numId w:val="28"/>
        </w:numPr>
        <w:shd w:val="clear" w:color="auto" w:fill="FFFFFF"/>
        <w:tabs>
          <w:tab w:val="left" w:pos="567"/>
        </w:tabs>
        <w:jc w:val="both"/>
        <w:rPr>
          <w:i/>
          <w:sz w:val="24"/>
        </w:rPr>
      </w:pPr>
      <w:r w:rsidRPr="003730B5">
        <w:rPr>
          <w:i/>
          <w:sz w:val="24"/>
        </w:rPr>
        <w:t>Sankce za zneužití osobních údajů</w:t>
      </w:r>
    </w:p>
    <w:p w14:paraId="5A01FF21" w14:textId="2242F4A4" w:rsidR="006B1DA9" w:rsidRPr="003730B5" w:rsidRDefault="0010722F" w:rsidP="008F2906">
      <w:pPr>
        <w:widowControl w:val="0"/>
        <w:autoSpaceDE w:val="0"/>
        <w:autoSpaceDN w:val="0"/>
        <w:adjustRightInd w:val="0"/>
        <w:spacing w:after="120"/>
      </w:pPr>
      <w:r w:rsidRPr="003730B5">
        <w:t>Návrh zákon nezavádí nové sankce.</w:t>
      </w:r>
    </w:p>
    <w:p w14:paraId="19A57A85" w14:textId="77777777" w:rsidR="006B1DA9" w:rsidRPr="003730B5" w:rsidRDefault="006B1DA9" w:rsidP="00B34FBA">
      <w:pPr>
        <w:pStyle w:val="Nadpis2"/>
        <w:widowControl w:val="0"/>
        <w:numPr>
          <w:ilvl w:val="2"/>
          <w:numId w:val="28"/>
        </w:numPr>
        <w:shd w:val="clear" w:color="auto" w:fill="FFFFFF"/>
        <w:tabs>
          <w:tab w:val="left" w:pos="567"/>
        </w:tabs>
        <w:jc w:val="both"/>
        <w:rPr>
          <w:sz w:val="28"/>
        </w:rPr>
      </w:pPr>
      <w:r w:rsidRPr="003730B5">
        <w:rPr>
          <w:sz w:val="28"/>
        </w:rPr>
        <w:t>Závěr</w:t>
      </w:r>
    </w:p>
    <w:p w14:paraId="0D6DA2B4" w14:textId="11057BBD" w:rsidR="0003045D" w:rsidRPr="003730B5" w:rsidRDefault="0010722F" w:rsidP="008F2906">
      <w:pPr>
        <w:widowControl w:val="0"/>
        <w:spacing w:after="120"/>
      </w:pPr>
      <w:r w:rsidRPr="003730B5">
        <w:t xml:space="preserve">Navrhovaná právní úprava nemění parametry zacházení </w:t>
      </w:r>
      <w:r w:rsidR="00E712DE" w:rsidRPr="003730B5">
        <w:t>s </w:t>
      </w:r>
      <w:r w:rsidRPr="003730B5">
        <w:t xml:space="preserve">osobními údaji </w:t>
      </w:r>
      <w:r w:rsidR="00E712DE" w:rsidRPr="003730B5">
        <w:t>a </w:t>
      </w:r>
      <w:r w:rsidRPr="003730B5">
        <w:t xml:space="preserve">jejich ochrany. Jde </w:t>
      </w:r>
      <w:r w:rsidR="00E712DE" w:rsidRPr="003730B5">
        <w:t>o </w:t>
      </w:r>
      <w:r w:rsidRPr="003730B5">
        <w:t xml:space="preserve">přiměřené </w:t>
      </w:r>
      <w:r w:rsidR="00E712DE" w:rsidRPr="003730B5">
        <w:t>a </w:t>
      </w:r>
      <w:r w:rsidRPr="003730B5">
        <w:t xml:space="preserve">relevantní zpracování osobních údajů omezené na nezbytný rozsah ve vztahu k účelu, pro který jsou zpracovávány. Právní úprava </w:t>
      </w:r>
      <w:r w:rsidR="00CA40A9" w:rsidRPr="003730B5">
        <w:t>s </w:t>
      </w:r>
      <w:r w:rsidRPr="003730B5">
        <w:t>sebou nenese jiné dopady na soukromí dotčených ani jiných osob.</w:t>
      </w:r>
    </w:p>
    <w:p w14:paraId="4207957A" w14:textId="0BB7C8D5" w:rsidR="0003045D" w:rsidRPr="003730B5" w:rsidRDefault="0003045D" w:rsidP="006F504E">
      <w:pPr>
        <w:pStyle w:val="Nadpis2"/>
        <w:keepNext w:val="0"/>
        <w:widowControl w:val="0"/>
        <w:numPr>
          <w:ilvl w:val="1"/>
          <w:numId w:val="28"/>
        </w:numPr>
        <w:shd w:val="clear" w:color="auto" w:fill="FFFFFF"/>
        <w:jc w:val="both"/>
        <w:rPr>
          <w:rFonts w:cs="Times New Roman"/>
        </w:rPr>
      </w:pPr>
      <w:r w:rsidRPr="003730B5">
        <w:rPr>
          <w:rFonts w:cs="Times New Roman"/>
        </w:rPr>
        <w:lastRenderedPageBreak/>
        <w:t>Zhodnocení korupčních rizik navrhovaného řešení (CIA)</w:t>
      </w:r>
    </w:p>
    <w:p w14:paraId="37FE4B1A" w14:textId="616DD328" w:rsidR="0003045D" w:rsidRPr="003730B5" w:rsidRDefault="0003045D" w:rsidP="008F2906">
      <w:pPr>
        <w:widowControl w:val="0"/>
        <w:spacing w:after="120"/>
        <w:rPr>
          <w:szCs w:val="24"/>
        </w:rPr>
      </w:pPr>
      <w:r w:rsidRPr="003730B5">
        <w:rPr>
          <w:szCs w:val="24"/>
        </w:rPr>
        <w:t>Na základě provedené analýzy navrhované regulace z </w:t>
      </w:r>
      <w:r w:rsidRPr="003730B5">
        <w:rPr>
          <w:rFonts w:eastAsia="Calibri"/>
          <w:szCs w:val="22"/>
          <w:lang w:eastAsia="en-US"/>
        </w:rPr>
        <w:t>hlediska</w:t>
      </w:r>
      <w:r w:rsidRPr="003730B5">
        <w:rPr>
          <w:szCs w:val="24"/>
        </w:rPr>
        <w:t xml:space="preserve"> identifikace korupčních rizik a jejich eliminace lze podle jednotlivých kritérií uvést následující.</w:t>
      </w:r>
    </w:p>
    <w:p w14:paraId="4D4A842A" w14:textId="62CA052B" w:rsidR="005B0FEF" w:rsidRPr="003730B5" w:rsidRDefault="005B0FEF" w:rsidP="005B0FEF">
      <w:pPr>
        <w:widowControl w:val="0"/>
        <w:autoSpaceDE w:val="0"/>
        <w:autoSpaceDN w:val="0"/>
        <w:adjustRightInd w:val="0"/>
        <w:spacing w:after="120"/>
        <w:rPr>
          <w:szCs w:val="24"/>
        </w:rPr>
      </w:pPr>
      <w:r w:rsidRPr="003730B5">
        <w:t xml:space="preserve">Níže uvedené posouzení cílí </w:t>
      </w:r>
      <w:r w:rsidR="00FF6520" w:rsidRPr="003730B5">
        <w:t xml:space="preserve">především </w:t>
      </w:r>
      <w:r w:rsidRPr="003730B5">
        <w:t xml:space="preserve">na oblast správy daní v procesním smyslu, v níž se nachází těžiště materie upravované návrhem zákona. Pro oblasti podléhající procesnímu režimu správního řádu lze přiměřeně aplikovat obdobné závěry, není-li dále uvedeno jinak.  </w:t>
      </w:r>
    </w:p>
    <w:p w14:paraId="3193FFDC" w14:textId="77777777" w:rsidR="0003045D" w:rsidRPr="003730B5" w:rsidRDefault="0003045D" w:rsidP="00FA6F01">
      <w:pPr>
        <w:pStyle w:val="Nadpis2"/>
        <w:widowControl w:val="0"/>
        <w:numPr>
          <w:ilvl w:val="2"/>
          <w:numId w:val="28"/>
        </w:numPr>
        <w:shd w:val="clear" w:color="auto" w:fill="FFFFFF"/>
        <w:tabs>
          <w:tab w:val="left" w:pos="567"/>
        </w:tabs>
        <w:jc w:val="both"/>
        <w:rPr>
          <w:sz w:val="28"/>
        </w:rPr>
      </w:pPr>
      <w:r w:rsidRPr="003730B5">
        <w:rPr>
          <w:sz w:val="28"/>
        </w:rPr>
        <w:t>Přiměřenost</w:t>
      </w:r>
    </w:p>
    <w:p w14:paraId="15CB657A" w14:textId="3592EAFD" w:rsidR="0003045D" w:rsidRPr="003730B5" w:rsidRDefault="004B46CD" w:rsidP="008F2906">
      <w:pPr>
        <w:pStyle w:val="DTlotextu2"/>
        <w:widowControl w:val="0"/>
        <w:ind w:left="0"/>
        <w:rPr>
          <w:rFonts w:eastAsia="Calibri"/>
          <w:lang w:eastAsia="en-US"/>
        </w:rPr>
      </w:pPr>
      <w:r w:rsidRPr="003730B5">
        <w:rPr>
          <w:rFonts w:eastAsia="Calibri"/>
          <w:lang w:eastAsia="en-US"/>
        </w:rPr>
        <w:t xml:space="preserve">Pokud jde </w:t>
      </w:r>
      <w:r w:rsidR="00E712DE" w:rsidRPr="003730B5">
        <w:rPr>
          <w:rFonts w:eastAsia="Calibri"/>
          <w:lang w:eastAsia="en-US"/>
        </w:rPr>
        <w:t>o </w:t>
      </w:r>
      <w:r w:rsidRPr="003730B5">
        <w:rPr>
          <w:rFonts w:eastAsia="Calibri"/>
          <w:lang w:eastAsia="en-US"/>
        </w:rPr>
        <w:t xml:space="preserve">rozsah působnosti správního orgánu, je rozhodující jak zákonný okruh působností jako takový, tak míra diskrece, kterou zákon při výkonu jednotlivých působností správnímu orgánu umožňuje, resp. jakou míru diskrece zákon předpokládá. Jakýkoli normativní text zakotvující určitou míru diskrece sám </w:t>
      </w:r>
      <w:r w:rsidR="00E712DE" w:rsidRPr="003730B5">
        <w:rPr>
          <w:rFonts w:eastAsia="Calibri"/>
          <w:lang w:eastAsia="en-US"/>
        </w:rPr>
        <w:t>o </w:t>
      </w:r>
      <w:r w:rsidRPr="003730B5">
        <w:rPr>
          <w:rFonts w:eastAsia="Calibri"/>
          <w:lang w:eastAsia="en-US"/>
        </w:rPr>
        <w:t xml:space="preserve">sobě představuje potenciální korupční riziko. Proto se při přípravě takového ustanovení vždy poměřuje nutnost zavedení takové diskrece daného orgánu </w:t>
      </w:r>
      <w:r w:rsidR="00E712DE" w:rsidRPr="003730B5">
        <w:rPr>
          <w:rFonts w:eastAsia="Calibri"/>
          <w:lang w:eastAsia="en-US"/>
        </w:rPr>
        <w:t>s </w:t>
      </w:r>
      <w:r w:rsidRPr="003730B5">
        <w:rPr>
          <w:rFonts w:eastAsia="Calibri"/>
          <w:lang w:eastAsia="en-US"/>
        </w:rPr>
        <w:t xml:space="preserve">mírou zásahu do individuální sféry subjektu, </w:t>
      </w:r>
      <w:r w:rsidR="00E712DE" w:rsidRPr="003730B5">
        <w:rPr>
          <w:rFonts w:eastAsia="Calibri"/>
          <w:lang w:eastAsia="en-US"/>
        </w:rPr>
        <w:t>o </w:t>
      </w:r>
      <w:r w:rsidRPr="003730B5">
        <w:rPr>
          <w:rFonts w:eastAsia="Calibri"/>
          <w:lang w:eastAsia="en-US"/>
        </w:rPr>
        <w:t xml:space="preserve">jehož právech </w:t>
      </w:r>
      <w:r w:rsidR="00E712DE" w:rsidRPr="003730B5">
        <w:rPr>
          <w:rFonts w:eastAsia="Calibri"/>
          <w:lang w:eastAsia="en-US"/>
        </w:rPr>
        <w:t>a </w:t>
      </w:r>
      <w:r w:rsidRPr="003730B5">
        <w:rPr>
          <w:rFonts w:eastAsia="Calibri"/>
          <w:lang w:eastAsia="en-US"/>
        </w:rPr>
        <w:t>povinnostech by se v</w:t>
      </w:r>
      <w:r w:rsidR="005A2E48" w:rsidRPr="003730B5">
        <w:rPr>
          <w:rFonts w:eastAsia="Calibri"/>
          <w:lang w:eastAsia="en-US"/>
        </w:rPr>
        <w:t> </w:t>
      </w:r>
      <w:r w:rsidRPr="003730B5">
        <w:rPr>
          <w:rFonts w:eastAsia="Calibri"/>
          <w:lang w:eastAsia="en-US"/>
        </w:rPr>
        <w:t xml:space="preserve">rámci této diskrece rozhodovalo. Navržená právní úprava mění kompetence správních orgánů pouze způsobem, který zpřesňuje rozsah kompetencí stávajících, anebo zavádí kompetenci novou, </w:t>
      </w:r>
      <w:r w:rsidR="00E712DE" w:rsidRPr="003730B5">
        <w:rPr>
          <w:rFonts w:eastAsia="Calibri"/>
          <w:lang w:eastAsia="en-US"/>
        </w:rPr>
        <w:t>a </w:t>
      </w:r>
      <w:r w:rsidRPr="003730B5">
        <w:rPr>
          <w:rFonts w:eastAsia="Calibri"/>
          <w:lang w:eastAsia="en-US"/>
        </w:rPr>
        <w:t xml:space="preserve">to pouze </w:t>
      </w:r>
      <w:r w:rsidR="00E712DE" w:rsidRPr="003730B5">
        <w:rPr>
          <w:rFonts w:eastAsia="Calibri"/>
          <w:lang w:eastAsia="en-US"/>
        </w:rPr>
        <w:t>v </w:t>
      </w:r>
      <w:r w:rsidRPr="003730B5">
        <w:rPr>
          <w:rFonts w:eastAsia="Calibri"/>
          <w:lang w:eastAsia="en-US"/>
        </w:rPr>
        <w:t xml:space="preserve">rozsahu nezbytném pro úpravu vztahů, které mají být právní úpravou nově regulovány, přičemž míra diskrece je vzhledem </w:t>
      </w:r>
      <w:r w:rsidR="00E712DE" w:rsidRPr="003730B5">
        <w:rPr>
          <w:rFonts w:eastAsia="Calibri"/>
          <w:lang w:eastAsia="en-US"/>
        </w:rPr>
        <w:t>k </w:t>
      </w:r>
      <w:r w:rsidRPr="003730B5">
        <w:rPr>
          <w:rFonts w:eastAsia="Calibri"/>
          <w:lang w:eastAsia="en-US"/>
        </w:rPr>
        <w:t>vymezení povinností minimální.</w:t>
      </w:r>
    </w:p>
    <w:p w14:paraId="06F72301" w14:textId="0D935B1B" w:rsidR="000C74B4" w:rsidRPr="003730B5" w:rsidRDefault="00FF6520" w:rsidP="00FF6520">
      <w:pPr>
        <w:pStyle w:val="DTlotextu2"/>
        <w:widowControl w:val="0"/>
        <w:ind w:left="0"/>
        <w:rPr>
          <w:rFonts w:eastAsia="Calibri"/>
          <w:lang w:eastAsia="en-US"/>
        </w:rPr>
      </w:pPr>
      <w:r w:rsidRPr="003730B5">
        <w:rPr>
          <w:rFonts w:eastAsia="Calibri"/>
          <w:lang w:eastAsia="en-US"/>
        </w:rPr>
        <w:t xml:space="preserve">Pokud jde </w:t>
      </w:r>
      <w:r w:rsidR="00552598" w:rsidRPr="003730B5">
        <w:rPr>
          <w:rFonts w:eastAsia="Calibri"/>
          <w:lang w:eastAsia="en-US"/>
        </w:rPr>
        <w:t>o </w:t>
      </w:r>
      <w:r w:rsidRPr="003730B5">
        <w:rPr>
          <w:rFonts w:eastAsia="Calibri"/>
          <w:lang w:eastAsia="en-US"/>
        </w:rPr>
        <w:t xml:space="preserve">návrh změny zákona </w:t>
      </w:r>
      <w:r w:rsidR="00552598" w:rsidRPr="003730B5">
        <w:rPr>
          <w:rFonts w:eastAsia="Calibri"/>
          <w:lang w:eastAsia="en-US"/>
        </w:rPr>
        <w:t>o </w:t>
      </w:r>
      <w:r w:rsidRPr="003730B5">
        <w:rPr>
          <w:rFonts w:eastAsia="Calibri"/>
          <w:lang w:eastAsia="en-US"/>
        </w:rPr>
        <w:t>přestupcích, lze uvést, že n</w:t>
      </w:r>
      <w:r w:rsidR="000C74B4" w:rsidRPr="003730B5">
        <w:rPr>
          <w:rFonts w:eastAsia="Calibri"/>
          <w:lang w:eastAsia="en-US"/>
        </w:rPr>
        <w:t xml:space="preserve">avržená právní úprava nezavádí novou kompetenci orgánů Policie České republiky </w:t>
      </w:r>
      <w:r w:rsidR="00CA40A9" w:rsidRPr="003730B5">
        <w:rPr>
          <w:rFonts w:eastAsia="Calibri"/>
          <w:lang w:eastAsia="en-US"/>
        </w:rPr>
        <w:t>a </w:t>
      </w:r>
      <w:r w:rsidR="000C74B4" w:rsidRPr="003730B5">
        <w:rPr>
          <w:rFonts w:eastAsia="Calibri"/>
          <w:lang w:eastAsia="en-US"/>
        </w:rPr>
        <w:t xml:space="preserve">orgánů Celní správy České republiky, pouze specifickou formu rozhodnutí </w:t>
      </w:r>
      <w:r w:rsidR="00CA40A9" w:rsidRPr="003730B5">
        <w:rPr>
          <w:rFonts w:eastAsia="Calibri"/>
          <w:lang w:eastAsia="en-US"/>
        </w:rPr>
        <w:t>v </w:t>
      </w:r>
      <w:r w:rsidR="000C74B4" w:rsidRPr="003730B5">
        <w:rPr>
          <w:rFonts w:eastAsia="Calibri"/>
          <w:lang w:eastAsia="en-US"/>
        </w:rPr>
        <w:t xml:space="preserve">příkazním řízení na místě, které je vyhotoveno (vedle listinné podoby) také </w:t>
      </w:r>
      <w:r w:rsidR="00CA40A9" w:rsidRPr="003730B5">
        <w:rPr>
          <w:rFonts w:eastAsia="Calibri"/>
          <w:lang w:eastAsia="en-US"/>
        </w:rPr>
        <w:t>v </w:t>
      </w:r>
      <w:r w:rsidR="000C74B4" w:rsidRPr="003730B5">
        <w:rPr>
          <w:rFonts w:eastAsia="Calibri"/>
          <w:lang w:eastAsia="en-US"/>
        </w:rPr>
        <w:t xml:space="preserve">elektronické podobě. Potenciální míra korupčního rizika se tedy nezvyšuje. Tím, že se elektronický příkazový blok generuje, eviduje </w:t>
      </w:r>
      <w:r w:rsidR="00CA40A9" w:rsidRPr="003730B5">
        <w:rPr>
          <w:rFonts w:eastAsia="Calibri"/>
          <w:lang w:eastAsia="en-US"/>
        </w:rPr>
        <w:t>a </w:t>
      </w:r>
      <w:r w:rsidR="000C74B4" w:rsidRPr="003730B5">
        <w:rPr>
          <w:rFonts w:eastAsia="Calibri"/>
          <w:lang w:eastAsia="en-US"/>
        </w:rPr>
        <w:t xml:space="preserve">listinný stejnopis pořizuje </w:t>
      </w:r>
      <w:r w:rsidR="00CA40A9" w:rsidRPr="003730B5">
        <w:rPr>
          <w:rFonts w:eastAsia="Calibri"/>
          <w:lang w:eastAsia="en-US"/>
        </w:rPr>
        <w:t>z </w:t>
      </w:r>
      <w:r w:rsidR="000C74B4" w:rsidRPr="003730B5">
        <w:rPr>
          <w:rFonts w:eastAsia="Calibri"/>
          <w:lang w:eastAsia="en-US"/>
        </w:rPr>
        <w:t xml:space="preserve">informačního systému, kde jsou všechny úkony logovány, se míra rizika korupčního jednání spíše snižuje. Ke snížení míry korupčního rizika přispívá </w:t>
      </w:r>
      <w:r w:rsidR="00CA40A9" w:rsidRPr="003730B5">
        <w:rPr>
          <w:rFonts w:eastAsia="Calibri"/>
          <w:lang w:eastAsia="en-US"/>
        </w:rPr>
        <w:t>i </w:t>
      </w:r>
      <w:r w:rsidR="000C74B4" w:rsidRPr="003730B5">
        <w:rPr>
          <w:rFonts w:eastAsia="Calibri"/>
          <w:lang w:eastAsia="en-US"/>
        </w:rPr>
        <w:t>možnost předvolby skutkových podstat přestupků, které je možné řešit příkazem na místě, včetně správních trestů ve formuláři elektronického příkazového bloku.</w:t>
      </w:r>
    </w:p>
    <w:p w14:paraId="3427CF49" w14:textId="77777777" w:rsidR="0003045D" w:rsidRPr="003730B5" w:rsidRDefault="0003045D" w:rsidP="00DC0CD0">
      <w:pPr>
        <w:pStyle w:val="Nadpis2"/>
        <w:keepNext w:val="0"/>
        <w:widowControl w:val="0"/>
        <w:numPr>
          <w:ilvl w:val="2"/>
          <w:numId w:val="28"/>
        </w:numPr>
        <w:shd w:val="clear" w:color="auto" w:fill="FFFFFF"/>
        <w:tabs>
          <w:tab w:val="left" w:pos="567"/>
        </w:tabs>
        <w:jc w:val="both"/>
        <w:rPr>
          <w:sz w:val="28"/>
        </w:rPr>
      </w:pPr>
      <w:r w:rsidRPr="003730B5">
        <w:rPr>
          <w:sz w:val="28"/>
        </w:rPr>
        <w:t>Efektivita</w:t>
      </w:r>
    </w:p>
    <w:p w14:paraId="7647F20B" w14:textId="2CDBC9E2" w:rsidR="0003045D" w:rsidRPr="003730B5" w:rsidRDefault="00E712DE" w:rsidP="008F2906">
      <w:pPr>
        <w:pStyle w:val="DTlotextu2"/>
        <w:widowControl w:val="0"/>
        <w:ind w:left="0"/>
        <w:rPr>
          <w:rFonts w:eastAsia="Calibri"/>
          <w:lang w:eastAsia="en-US"/>
        </w:rPr>
      </w:pPr>
      <w:r w:rsidRPr="003730B5">
        <w:rPr>
          <w:rFonts w:eastAsia="Calibri"/>
          <w:lang w:eastAsia="en-US"/>
        </w:rPr>
        <w:t>K </w:t>
      </w:r>
      <w:r w:rsidR="004B46CD" w:rsidRPr="003730B5">
        <w:rPr>
          <w:rFonts w:eastAsia="Calibri"/>
          <w:lang w:eastAsia="en-US"/>
        </w:rPr>
        <w:t xml:space="preserve">uložení, kontrole </w:t>
      </w:r>
      <w:r w:rsidRPr="003730B5">
        <w:rPr>
          <w:rFonts w:eastAsia="Calibri"/>
          <w:lang w:eastAsia="en-US"/>
        </w:rPr>
        <w:t>a </w:t>
      </w:r>
      <w:r w:rsidR="004B46CD" w:rsidRPr="003730B5">
        <w:rPr>
          <w:rFonts w:eastAsia="Calibri"/>
          <w:lang w:eastAsia="en-US"/>
        </w:rPr>
        <w:t xml:space="preserve">vynucování splnění povinnosti při správě daní je věcně </w:t>
      </w:r>
      <w:r w:rsidRPr="003730B5">
        <w:rPr>
          <w:rFonts w:eastAsia="Calibri"/>
          <w:lang w:eastAsia="en-US"/>
        </w:rPr>
        <w:t>a </w:t>
      </w:r>
      <w:r w:rsidR="004B46CD" w:rsidRPr="003730B5">
        <w:rPr>
          <w:rFonts w:eastAsia="Calibri"/>
          <w:lang w:eastAsia="en-US"/>
        </w:rPr>
        <w:t xml:space="preserve">místně příslušný správce daně. Správce daně obvykle disponuje podklady pro vydání daného rozhodnutí, ale </w:t>
      </w:r>
      <w:r w:rsidRPr="003730B5">
        <w:rPr>
          <w:rFonts w:eastAsia="Calibri"/>
          <w:lang w:eastAsia="en-US"/>
        </w:rPr>
        <w:t>i </w:t>
      </w:r>
      <w:r w:rsidR="004B46CD" w:rsidRPr="003730B5">
        <w:rPr>
          <w:rFonts w:eastAsia="Calibri"/>
          <w:lang w:eastAsia="en-US"/>
        </w:rPr>
        <w:t xml:space="preserve">potřebnými odbornými znalostmi, čímž je zaručena efektivní implementace dané regulace </w:t>
      </w:r>
      <w:r w:rsidRPr="003730B5">
        <w:rPr>
          <w:rFonts w:eastAsia="Calibri"/>
          <w:lang w:eastAsia="en-US"/>
        </w:rPr>
        <w:t>i </w:t>
      </w:r>
      <w:r w:rsidR="004B46CD" w:rsidRPr="003730B5">
        <w:rPr>
          <w:rFonts w:eastAsia="Calibri"/>
          <w:lang w:eastAsia="en-US"/>
        </w:rPr>
        <w:t xml:space="preserve">její efektivní kontrola, případně vynucování. Nástroje kontroly </w:t>
      </w:r>
      <w:r w:rsidRPr="003730B5">
        <w:rPr>
          <w:rFonts w:eastAsia="Calibri"/>
          <w:lang w:eastAsia="en-US"/>
        </w:rPr>
        <w:t>a </w:t>
      </w:r>
      <w:r w:rsidR="004B46CD" w:rsidRPr="003730B5">
        <w:rPr>
          <w:rFonts w:eastAsia="Calibri"/>
          <w:lang w:eastAsia="en-US"/>
        </w:rPr>
        <w:t xml:space="preserve">vynucování jsou </w:t>
      </w:r>
      <w:r w:rsidRPr="003730B5">
        <w:rPr>
          <w:rFonts w:eastAsia="Calibri"/>
          <w:lang w:eastAsia="en-US"/>
        </w:rPr>
        <w:t>v </w:t>
      </w:r>
      <w:r w:rsidR="004B46CD" w:rsidRPr="003730B5">
        <w:rPr>
          <w:rFonts w:eastAsia="Calibri"/>
          <w:lang w:eastAsia="en-US"/>
        </w:rPr>
        <w:t>oblasti správy daní upraveny jako obecné instituty daňového řádu.</w:t>
      </w:r>
    </w:p>
    <w:p w14:paraId="411D779F" w14:textId="77777777" w:rsidR="0003045D" w:rsidRPr="003730B5" w:rsidRDefault="0003045D" w:rsidP="00DC0CD0">
      <w:pPr>
        <w:pStyle w:val="Nadpis2"/>
        <w:keepNext w:val="0"/>
        <w:widowControl w:val="0"/>
        <w:numPr>
          <w:ilvl w:val="2"/>
          <w:numId w:val="28"/>
        </w:numPr>
        <w:shd w:val="clear" w:color="auto" w:fill="FFFFFF"/>
        <w:tabs>
          <w:tab w:val="left" w:pos="567"/>
        </w:tabs>
        <w:jc w:val="both"/>
        <w:rPr>
          <w:sz w:val="28"/>
        </w:rPr>
      </w:pPr>
      <w:r w:rsidRPr="003730B5">
        <w:rPr>
          <w:sz w:val="28"/>
        </w:rPr>
        <w:t>Odpovědnost</w:t>
      </w:r>
    </w:p>
    <w:p w14:paraId="536EA741" w14:textId="264A20E0" w:rsidR="00252E2F" w:rsidRPr="003730B5" w:rsidRDefault="004B46CD" w:rsidP="004B46CD">
      <w:pPr>
        <w:pStyle w:val="DTlotextu2"/>
        <w:widowControl w:val="0"/>
        <w:ind w:left="0"/>
        <w:rPr>
          <w:rFonts w:eastAsia="Calibri"/>
          <w:lang w:eastAsia="en-US"/>
        </w:rPr>
      </w:pPr>
      <w:r w:rsidRPr="003730B5">
        <w:rPr>
          <w:rFonts w:eastAsia="Calibri"/>
          <w:lang w:eastAsia="en-US"/>
        </w:rPr>
        <w:t xml:space="preserve">Zvolená právní úprava vždy jasně reflektuje požadavek </w:t>
      </w:r>
      <w:r w:rsidR="00E712DE" w:rsidRPr="003730B5">
        <w:rPr>
          <w:rFonts w:eastAsia="Calibri"/>
          <w:lang w:eastAsia="en-US"/>
        </w:rPr>
        <w:t>čl. </w:t>
      </w:r>
      <w:r w:rsidRPr="003730B5">
        <w:rPr>
          <w:rFonts w:eastAsia="Calibri"/>
          <w:lang w:eastAsia="en-US"/>
        </w:rPr>
        <w:t xml:space="preserve">79 odst. </w:t>
      </w:r>
      <w:r w:rsidR="00E712DE" w:rsidRPr="003730B5">
        <w:rPr>
          <w:rFonts w:eastAsia="Calibri"/>
          <w:lang w:eastAsia="en-US"/>
        </w:rPr>
        <w:t>1 </w:t>
      </w:r>
      <w:r w:rsidRPr="003730B5">
        <w:rPr>
          <w:rFonts w:eastAsia="Calibri"/>
          <w:lang w:eastAsia="en-US"/>
        </w:rPr>
        <w:t xml:space="preserve">Ústavy, podle něhož musí být působnost správního orgánu stanovena zákonem. Odpovědnou osobou na straně správce daně, resp. jiného správního orgánu je </w:t>
      </w:r>
      <w:r w:rsidR="00E712DE" w:rsidRPr="003730B5">
        <w:rPr>
          <w:rFonts w:eastAsia="Calibri"/>
          <w:lang w:eastAsia="en-US"/>
        </w:rPr>
        <w:t>v </w:t>
      </w:r>
      <w:r w:rsidRPr="003730B5">
        <w:rPr>
          <w:rFonts w:eastAsia="Calibri"/>
          <w:lang w:eastAsia="en-US"/>
        </w:rPr>
        <w:t xml:space="preserve">daňovém řízení vždy úřední osoba. Určení konkrétní úřední osoby je prováděno na základě vnitřních předpisů, resp. organizačního uspořádání konkrétního správního orgánu, přičemž popis své organizační struktury je správní orgán povinen zveřejnit na základě zákona </w:t>
      </w:r>
      <w:r w:rsidR="00E712DE" w:rsidRPr="003730B5">
        <w:rPr>
          <w:rFonts w:eastAsia="Calibri"/>
          <w:lang w:eastAsia="en-US"/>
        </w:rPr>
        <w:t>č. </w:t>
      </w:r>
      <w:r w:rsidRPr="003730B5">
        <w:rPr>
          <w:rFonts w:eastAsia="Calibri"/>
          <w:lang w:eastAsia="en-US"/>
        </w:rPr>
        <w:t xml:space="preserve">106/1999 Sb., </w:t>
      </w:r>
      <w:r w:rsidR="00E712DE" w:rsidRPr="003730B5">
        <w:rPr>
          <w:rFonts w:eastAsia="Calibri"/>
          <w:lang w:eastAsia="en-US"/>
        </w:rPr>
        <w:t>o </w:t>
      </w:r>
      <w:r w:rsidRPr="003730B5">
        <w:rPr>
          <w:rFonts w:eastAsia="Calibri"/>
          <w:lang w:eastAsia="en-US"/>
        </w:rPr>
        <w:t xml:space="preserve">svobodném přístupu </w:t>
      </w:r>
      <w:r w:rsidR="00E712DE" w:rsidRPr="003730B5">
        <w:rPr>
          <w:rFonts w:eastAsia="Calibri"/>
          <w:lang w:eastAsia="en-US"/>
        </w:rPr>
        <w:t>k </w:t>
      </w:r>
      <w:r w:rsidRPr="003730B5">
        <w:rPr>
          <w:rFonts w:eastAsia="Calibri"/>
          <w:lang w:eastAsia="en-US"/>
        </w:rPr>
        <w:t xml:space="preserve">informacím, ve znění pozdějších předpisů. Totožnost konkrétní úřední osoby je přitom seznatelná zákonem předvídaným postupem (srov. </w:t>
      </w:r>
      <w:r w:rsidR="00E712DE" w:rsidRPr="003730B5">
        <w:rPr>
          <w:rFonts w:eastAsia="Calibri"/>
          <w:lang w:eastAsia="en-US"/>
        </w:rPr>
        <w:t>§ </w:t>
      </w:r>
      <w:r w:rsidRPr="003730B5">
        <w:rPr>
          <w:rFonts w:eastAsia="Calibri"/>
          <w:lang w:eastAsia="en-US"/>
        </w:rPr>
        <w:t xml:space="preserve">12 odst. </w:t>
      </w:r>
      <w:r w:rsidR="00E712DE" w:rsidRPr="003730B5">
        <w:rPr>
          <w:rFonts w:eastAsia="Calibri"/>
          <w:lang w:eastAsia="en-US"/>
        </w:rPr>
        <w:t>4 </w:t>
      </w:r>
      <w:r w:rsidRPr="003730B5">
        <w:rPr>
          <w:rFonts w:eastAsia="Calibri"/>
          <w:lang w:eastAsia="en-US"/>
        </w:rPr>
        <w:t>daňového řádu); úřední osoba je povinna se při výkonu působnosti správního orgánu prokazovat příslušným služebním průkazem.</w:t>
      </w:r>
      <w:r w:rsidR="00252E2F" w:rsidRPr="003730B5">
        <w:rPr>
          <w:rFonts w:eastAsia="Calibri"/>
          <w:lang w:eastAsia="en-US"/>
        </w:rPr>
        <w:t xml:space="preserve"> Totožnost oprávněné úřední osoby je zpravidla dána též jedinečnou identifikací </w:t>
      </w:r>
      <w:r w:rsidR="00552598" w:rsidRPr="003730B5">
        <w:rPr>
          <w:rFonts w:eastAsia="Calibri"/>
          <w:lang w:eastAsia="en-US"/>
        </w:rPr>
        <w:t>v </w:t>
      </w:r>
      <w:r w:rsidR="00252E2F" w:rsidRPr="003730B5">
        <w:rPr>
          <w:rFonts w:eastAsia="Calibri"/>
          <w:lang w:eastAsia="en-US"/>
        </w:rPr>
        <w:t xml:space="preserve">informačním systému, do něhož se oprávněná úřední osoba přihlašuje svým uživatelským jménem </w:t>
      </w:r>
      <w:r w:rsidR="00552598" w:rsidRPr="003730B5">
        <w:rPr>
          <w:rFonts w:eastAsia="Calibri"/>
          <w:lang w:eastAsia="en-US"/>
        </w:rPr>
        <w:t>a </w:t>
      </w:r>
      <w:r w:rsidR="00252E2F" w:rsidRPr="003730B5">
        <w:rPr>
          <w:rFonts w:eastAsia="Calibri"/>
          <w:lang w:eastAsia="en-US"/>
        </w:rPr>
        <w:t xml:space="preserve">heslem, </w:t>
      </w:r>
      <w:r w:rsidR="00252E2F" w:rsidRPr="003730B5">
        <w:rPr>
          <w:rFonts w:eastAsia="Calibri"/>
          <w:lang w:eastAsia="en-US"/>
        </w:rPr>
        <w:lastRenderedPageBreak/>
        <w:t xml:space="preserve">které je třeba </w:t>
      </w:r>
      <w:r w:rsidR="00552598" w:rsidRPr="003730B5">
        <w:rPr>
          <w:rFonts w:eastAsia="Calibri"/>
          <w:lang w:eastAsia="en-US"/>
        </w:rPr>
        <w:t>v </w:t>
      </w:r>
      <w:r w:rsidR="00252E2F" w:rsidRPr="003730B5">
        <w:rPr>
          <w:rFonts w:eastAsia="Calibri"/>
          <w:lang w:eastAsia="en-US"/>
        </w:rPr>
        <w:t>pravidelných intervalech obměňovat.</w:t>
      </w:r>
    </w:p>
    <w:p w14:paraId="26F18BFB" w14:textId="77777777" w:rsidR="0003045D" w:rsidRPr="003730B5" w:rsidRDefault="0003045D" w:rsidP="00133AC8">
      <w:pPr>
        <w:pStyle w:val="Nadpis2"/>
        <w:numPr>
          <w:ilvl w:val="2"/>
          <w:numId w:val="28"/>
        </w:numPr>
        <w:shd w:val="clear" w:color="auto" w:fill="FFFFFF"/>
        <w:tabs>
          <w:tab w:val="left" w:pos="567"/>
        </w:tabs>
        <w:jc w:val="both"/>
        <w:rPr>
          <w:sz w:val="28"/>
        </w:rPr>
      </w:pPr>
      <w:r w:rsidRPr="003730B5">
        <w:rPr>
          <w:sz w:val="28"/>
        </w:rPr>
        <w:t>Opravné prostředky</w:t>
      </w:r>
    </w:p>
    <w:p w14:paraId="1B93EC82" w14:textId="1F091C17" w:rsidR="0003045D" w:rsidRPr="003730B5" w:rsidRDefault="005A2E48" w:rsidP="008F2906">
      <w:pPr>
        <w:pStyle w:val="DTlotextu2"/>
        <w:widowControl w:val="0"/>
        <w:ind w:left="0"/>
        <w:rPr>
          <w:rFonts w:eastAsia="Calibri"/>
          <w:lang w:eastAsia="en-US"/>
        </w:rPr>
      </w:pPr>
      <w:r w:rsidRPr="003730B5">
        <w:rPr>
          <w:rFonts w:eastAsia="Calibri"/>
          <w:lang w:eastAsia="en-US"/>
        </w:rPr>
        <w:t xml:space="preserve">Možnost účinné obrany proti nesprávnému postupu správce daně </w:t>
      </w:r>
      <w:r w:rsidR="00E712DE" w:rsidRPr="003730B5">
        <w:rPr>
          <w:rFonts w:eastAsia="Calibri"/>
          <w:lang w:eastAsia="en-US"/>
        </w:rPr>
        <w:t>v </w:t>
      </w:r>
      <w:r w:rsidRPr="003730B5">
        <w:rPr>
          <w:rFonts w:eastAsia="Calibri"/>
          <w:lang w:eastAsia="en-US"/>
        </w:rPr>
        <w:t xml:space="preserve">tuzemsku zakotvuje v obecné rovině daňový řád. </w:t>
      </w:r>
      <w:r w:rsidR="00E712DE" w:rsidRPr="003730B5">
        <w:rPr>
          <w:rFonts w:eastAsia="Calibri"/>
          <w:lang w:eastAsia="en-US"/>
        </w:rPr>
        <w:t>Z </w:t>
      </w:r>
      <w:r w:rsidRPr="003730B5">
        <w:rPr>
          <w:rFonts w:eastAsia="Calibri"/>
          <w:lang w:eastAsia="en-US"/>
        </w:rPr>
        <w:t xml:space="preserve">hlediska opravných prostředků existuje možnost účinné obrany proti nesprávnému postupu správce daně </w:t>
      </w:r>
      <w:r w:rsidR="00E712DE" w:rsidRPr="003730B5">
        <w:rPr>
          <w:rFonts w:eastAsia="Calibri"/>
          <w:lang w:eastAsia="en-US"/>
        </w:rPr>
        <w:t>v </w:t>
      </w:r>
      <w:r w:rsidRPr="003730B5">
        <w:rPr>
          <w:rFonts w:eastAsia="Calibri"/>
          <w:lang w:eastAsia="en-US"/>
        </w:rPr>
        <w:t xml:space="preserve">první řadě </w:t>
      </w:r>
      <w:r w:rsidR="00E712DE" w:rsidRPr="003730B5">
        <w:rPr>
          <w:rFonts w:eastAsia="Calibri"/>
          <w:lang w:eastAsia="en-US"/>
        </w:rPr>
        <w:t>v </w:t>
      </w:r>
      <w:r w:rsidRPr="003730B5">
        <w:rPr>
          <w:rFonts w:eastAsia="Calibri"/>
          <w:lang w:eastAsia="en-US"/>
        </w:rPr>
        <w:t xml:space="preserve">podobě řádného opravného prostředku, kterým je odvolání, resp. rozklad (srov. </w:t>
      </w:r>
      <w:r w:rsidR="00E712DE" w:rsidRPr="003730B5">
        <w:rPr>
          <w:rFonts w:eastAsia="Calibri"/>
          <w:lang w:eastAsia="en-US"/>
        </w:rPr>
        <w:t>§ </w:t>
      </w:r>
      <w:r w:rsidRPr="003730B5">
        <w:rPr>
          <w:rFonts w:eastAsia="Calibri"/>
          <w:lang w:eastAsia="en-US"/>
        </w:rPr>
        <w:t xml:space="preserve">109 </w:t>
      </w:r>
      <w:r w:rsidR="00E712DE" w:rsidRPr="003730B5">
        <w:rPr>
          <w:rFonts w:eastAsia="Calibri"/>
          <w:lang w:eastAsia="en-US"/>
        </w:rPr>
        <w:t>a </w:t>
      </w:r>
      <w:r w:rsidRPr="003730B5">
        <w:rPr>
          <w:rFonts w:eastAsia="Calibri"/>
          <w:lang w:eastAsia="en-US"/>
        </w:rPr>
        <w:t xml:space="preserve">násl. daňového řádu). </w:t>
      </w:r>
      <w:r w:rsidR="00E712DE" w:rsidRPr="003730B5">
        <w:rPr>
          <w:rFonts w:eastAsia="Calibri"/>
          <w:lang w:eastAsia="en-US"/>
        </w:rPr>
        <w:t>V </w:t>
      </w:r>
      <w:r w:rsidRPr="003730B5">
        <w:rPr>
          <w:rFonts w:eastAsia="Calibri"/>
          <w:lang w:eastAsia="en-US"/>
        </w:rPr>
        <w:t xml:space="preserve">souladu </w:t>
      </w:r>
      <w:r w:rsidR="00E712DE" w:rsidRPr="003730B5">
        <w:rPr>
          <w:rFonts w:eastAsia="Calibri"/>
          <w:lang w:eastAsia="en-US"/>
        </w:rPr>
        <w:t>s § </w:t>
      </w:r>
      <w:r w:rsidRPr="003730B5">
        <w:rPr>
          <w:rFonts w:eastAsia="Calibri"/>
          <w:lang w:eastAsia="en-US"/>
        </w:rPr>
        <w:t>102 odst. </w:t>
      </w:r>
      <w:r w:rsidR="00E712DE" w:rsidRPr="003730B5">
        <w:rPr>
          <w:rFonts w:eastAsia="Calibri"/>
          <w:lang w:eastAsia="en-US"/>
        </w:rPr>
        <w:t>1 </w:t>
      </w:r>
      <w:r w:rsidRPr="003730B5">
        <w:rPr>
          <w:rFonts w:eastAsia="Calibri"/>
          <w:lang w:eastAsia="en-US"/>
        </w:rPr>
        <w:t xml:space="preserve">písm. f) daňového řádu má správce daně povinnost </w:t>
      </w:r>
      <w:r w:rsidR="00E712DE" w:rsidRPr="003730B5">
        <w:rPr>
          <w:rFonts w:eastAsia="Calibri"/>
          <w:lang w:eastAsia="en-US"/>
        </w:rPr>
        <w:t>v </w:t>
      </w:r>
      <w:r w:rsidRPr="003730B5">
        <w:rPr>
          <w:rFonts w:eastAsia="Calibri"/>
          <w:lang w:eastAsia="en-US"/>
        </w:rPr>
        <w:t xml:space="preserve">rozhodnutí uvést poučení, zda je možné proti rozhodnutí podat odvolání, </w:t>
      </w:r>
      <w:r w:rsidR="00E712DE" w:rsidRPr="003730B5">
        <w:rPr>
          <w:rFonts w:eastAsia="Calibri"/>
          <w:lang w:eastAsia="en-US"/>
        </w:rPr>
        <w:t>v </w:t>
      </w:r>
      <w:r w:rsidRPr="003730B5">
        <w:rPr>
          <w:rFonts w:eastAsia="Calibri"/>
          <w:lang w:eastAsia="en-US"/>
        </w:rPr>
        <w:t xml:space="preserve">jaké lhůtě je tak možno učinit, </w:t>
      </w:r>
      <w:r w:rsidR="00E712DE" w:rsidRPr="003730B5">
        <w:rPr>
          <w:rFonts w:eastAsia="Calibri"/>
          <w:lang w:eastAsia="en-US"/>
        </w:rPr>
        <w:t>u </w:t>
      </w:r>
      <w:r w:rsidRPr="003730B5">
        <w:rPr>
          <w:rFonts w:eastAsia="Calibri"/>
          <w:lang w:eastAsia="en-US"/>
        </w:rPr>
        <w:t xml:space="preserve">kterého správce daně se odvolání podává, spolu </w:t>
      </w:r>
      <w:r w:rsidR="00E712DE" w:rsidRPr="003730B5">
        <w:rPr>
          <w:rFonts w:eastAsia="Calibri"/>
          <w:lang w:eastAsia="en-US"/>
        </w:rPr>
        <w:t>s </w:t>
      </w:r>
      <w:r w:rsidRPr="003730B5">
        <w:rPr>
          <w:rFonts w:eastAsia="Calibri"/>
          <w:lang w:eastAsia="en-US"/>
        </w:rPr>
        <w:t xml:space="preserve">upozorněním na případné vyloučení odkladného účinku. Neúplné, nesprávné nebo chybějící poučení je spojeno </w:t>
      </w:r>
      <w:r w:rsidR="00E712DE" w:rsidRPr="003730B5">
        <w:rPr>
          <w:rFonts w:eastAsia="Calibri"/>
          <w:lang w:eastAsia="en-US"/>
        </w:rPr>
        <w:t>s </w:t>
      </w:r>
      <w:r w:rsidRPr="003730B5">
        <w:rPr>
          <w:rFonts w:eastAsia="Calibri"/>
          <w:lang w:eastAsia="en-US"/>
        </w:rPr>
        <w:t xml:space="preserve">důsledky </w:t>
      </w:r>
      <w:r w:rsidRPr="003730B5">
        <w:rPr>
          <w:rFonts w:eastAsia="Calibri"/>
          <w:i/>
          <w:lang w:eastAsia="en-US"/>
        </w:rPr>
        <w:t>pro bono</w:t>
      </w:r>
      <w:r w:rsidRPr="003730B5">
        <w:rPr>
          <w:rFonts w:eastAsia="Calibri"/>
          <w:lang w:eastAsia="en-US"/>
        </w:rPr>
        <w:t xml:space="preserve"> daného subjektu uvedenými </w:t>
      </w:r>
      <w:r w:rsidR="00E712DE" w:rsidRPr="003730B5">
        <w:rPr>
          <w:rFonts w:eastAsia="Calibri"/>
          <w:lang w:eastAsia="en-US"/>
        </w:rPr>
        <w:t>v § </w:t>
      </w:r>
      <w:r w:rsidRPr="003730B5">
        <w:rPr>
          <w:rFonts w:eastAsia="Calibri"/>
          <w:lang w:eastAsia="en-US"/>
        </w:rPr>
        <w:t xml:space="preserve">110 odst. </w:t>
      </w:r>
      <w:r w:rsidR="00E712DE" w:rsidRPr="003730B5">
        <w:rPr>
          <w:rFonts w:eastAsia="Calibri"/>
          <w:lang w:eastAsia="en-US"/>
        </w:rPr>
        <w:t>1 </w:t>
      </w:r>
      <w:r w:rsidRPr="003730B5">
        <w:rPr>
          <w:rFonts w:eastAsia="Calibri"/>
          <w:lang w:eastAsia="en-US"/>
        </w:rPr>
        <w:t xml:space="preserve">daňového řádu. Existuje také možnost užití mimořádných opravných prostředků dle daňového řádu (srov. </w:t>
      </w:r>
      <w:r w:rsidR="00E712DE" w:rsidRPr="003730B5">
        <w:rPr>
          <w:rFonts w:eastAsia="Calibri"/>
          <w:lang w:eastAsia="en-US"/>
        </w:rPr>
        <w:t>§ </w:t>
      </w:r>
      <w:r w:rsidRPr="003730B5">
        <w:rPr>
          <w:rFonts w:eastAsia="Calibri"/>
          <w:lang w:eastAsia="en-US"/>
        </w:rPr>
        <w:t xml:space="preserve">117 </w:t>
      </w:r>
      <w:r w:rsidR="00E712DE" w:rsidRPr="003730B5">
        <w:rPr>
          <w:rFonts w:eastAsia="Calibri"/>
          <w:lang w:eastAsia="en-US"/>
        </w:rPr>
        <w:t>a </w:t>
      </w:r>
      <w:r w:rsidRPr="003730B5">
        <w:rPr>
          <w:rFonts w:eastAsia="Calibri"/>
          <w:lang w:eastAsia="en-US"/>
        </w:rPr>
        <w:t xml:space="preserve">násl. daňového řádu). Vedle opravných prostředků daňový řád připouští rovněž jiné prostředky ochrany, kterými je třeba rozumět: námitku (srov. </w:t>
      </w:r>
      <w:r w:rsidR="00E712DE" w:rsidRPr="003730B5">
        <w:rPr>
          <w:rFonts w:eastAsia="Calibri"/>
          <w:lang w:eastAsia="en-US"/>
        </w:rPr>
        <w:t>§ </w:t>
      </w:r>
      <w:r w:rsidRPr="003730B5">
        <w:rPr>
          <w:rFonts w:eastAsia="Calibri"/>
          <w:lang w:eastAsia="en-US"/>
        </w:rPr>
        <w:t xml:space="preserve">159 daňového řádu), stížnost (srov. </w:t>
      </w:r>
      <w:r w:rsidR="00E712DE" w:rsidRPr="003730B5">
        <w:rPr>
          <w:rFonts w:eastAsia="Calibri"/>
          <w:lang w:eastAsia="en-US"/>
        </w:rPr>
        <w:t>§ </w:t>
      </w:r>
      <w:r w:rsidRPr="003730B5">
        <w:rPr>
          <w:rFonts w:eastAsia="Calibri"/>
          <w:lang w:eastAsia="en-US"/>
        </w:rPr>
        <w:t xml:space="preserve">261 daňového řádu), podnět na nečinnost (srov. </w:t>
      </w:r>
      <w:r w:rsidR="00E712DE" w:rsidRPr="003730B5">
        <w:rPr>
          <w:rFonts w:eastAsia="Calibri"/>
          <w:lang w:eastAsia="en-US"/>
        </w:rPr>
        <w:t>§ </w:t>
      </w:r>
      <w:r w:rsidRPr="003730B5">
        <w:rPr>
          <w:rFonts w:eastAsia="Calibri"/>
          <w:lang w:eastAsia="en-US"/>
        </w:rPr>
        <w:t>38 daňového řádu).</w:t>
      </w:r>
    </w:p>
    <w:p w14:paraId="14E50647" w14:textId="77777777" w:rsidR="0003045D" w:rsidRPr="003730B5" w:rsidRDefault="0003045D" w:rsidP="00DC0CD0">
      <w:pPr>
        <w:pStyle w:val="Nadpis2"/>
        <w:keepNext w:val="0"/>
        <w:widowControl w:val="0"/>
        <w:numPr>
          <w:ilvl w:val="2"/>
          <w:numId w:val="28"/>
        </w:numPr>
        <w:shd w:val="clear" w:color="auto" w:fill="FFFFFF"/>
        <w:tabs>
          <w:tab w:val="left" w:pos="567"/>
        </w:tabs>
        <w:jc w:val="both"/>
        <w:rPr>
          <w:sz w:val="28"/>
        </w:rPr>
      </w:pPr>
      <w:r w:rsidRPr="003730B5">
        <w:rPr>
          <w:sz w:val="28"/>
        </w:rPr>
        <w:t>Kontrolní mechanismy</w:t>
      </w:r>
    </w:p>
    <w:p w14:paraId="6172A0A6" w14:textId="5499F7F8" w:rsidR="005A2E48" w:rsidRPr="003730B5" w:rsidRDefault="005A2E48" w:rsidP="005A2E48">
      <w:pPr>
        <w:widowControl w:val="0"/>
        <w:spacing w:after="120"/>
        <w:rPr>
          <w:rFonts w:eastAsia="Calibri"/>
          <w:szCs w:val="22"/>
          <w:lang w:eastAsia="en-US"/>
        </w:rPr>
      </w:pPr>
      <w:r w:rsidRPr="003730B5">
        <w:rPr>
          <w:rFonts w:eastAsia="Calibri"/>
          <w:szCs w:val="22"/>
          <w:lang w:eastAsia="en-US"/>
        </w:rPr>
        <w:t xml:space="preserve">Oblast daňového práva se pohybuje </w:t>
      </w:r>
      <w:r w:rsidR="00E712DE" w:rsidRPr="003730B5">
        <w:rPr>
          <w:rFonts w:eastAsia="Calibri"/>
          <w:szCs w:val="22"/>
          <w:lang w:eastAsia="en-US"/>
        </w:rPr>
        <w:t>v </w:t>
      </w:r>
      <w:r w:rsidRPr="003730B5">
        <w:rPr>
          <w:rFonts w:eastAsia="Calibri"/>
          <w:szCs w:val="22"/>
          <w:lang w:eastAsia="en-US"/>
        </w:rPr>
        <w:t xml:space="preserve">procesním režimu daňového řádu, jenž obsahuje úpravu kontroly </w:t>
      </w:r>
      <w:r w:rsidR="00E712DE" w:rsidRPr="003730B5">
        <w:rPr>
          <w:rFonts w:eastAsia="Calibri"/>
          <w:szCs w:val="22"/>
          <w:lang w:eastAsia="en-US"/>
        </w:rPr>
        <w:t>a </w:t>
      </w:r>
      <w:r w:rsidRPr="003730B5">
        <w:rPr>
          <w:rFonts w:eastAsia="Calibri"/>
          <w:szCs w:val="22"/>
          <w:lang w:eastAsia="en-US"/>
        </w:rPr>
        <w:t>přezkumu přijatých rozhodnutí.</w:t>
      </w:r>
    </w:p>
    <w:p w14:paraId="0589DA4C" w14:textId="029441F8" w:rsidR="005A2E48" w:rsidRPr="003730B5" w:rsidRDefault="005A2E48" w:rsidP="005A2E48">
      <w:pPr>
        <w:widowControl w:val="0"/>
        <w:spacing w:after="120"/>
        <w:rPr>
          <w:rFonts w:eastAsia="Calibri"/>
          <w:szCs w:val="22"/>
          <w:lang w:eastAsia="en-US"/>
        </w:rPr>
      </w:pPr>
      <w:r w:rsidRPr="003730B5">
        <w:rPr>
          <w:rFonts w:eastAsia="Calibri"/>
          <w:szCs w:val="22"/>
          <w:lang w:eastAsia="en-US"/>
        </w:rPr>
        <w:t xml:space="preserve">Soustavy orgánů vykonávajících správu daní současně disponují interním systémem kontroly v rámci hierarchie nadřízenosti </w:t>
      </w:r>
      <w:r w:rsidR="00E712DE" w:rsidRPr="003730B5">
        <w:rPr>
          <w:rFonts w:eastAsia="Calibri"/>
          <w:szCs w:val="22"/>
          <w:lang w:eastAsia="en-US"/>
        </w:rPr>
        <w:t>a </w:t>
      </w:r>
      <w:r w:rsidRPr="003730B5">
        <w:rPr>
          <w:rFonts w:eastAsia="Calibri"/>
          <w:szCs w:val="22"/>
          <w:lang w:eastAsia="en-US"/>
        </w:rPr>
        <w:t xml:space="preserve">podřízenosti včetně navazujícího systému personální odpovědnosti. </w:t>
      </w:r>
      <w:r w:rsidR="00E712DE" w:rsidRPr="003730B5">
        <w:rPr>
          <w:rFonts w:eastAsia="Calibri"/>
          <w:szCs w:val="22"/>
          <w:lang w:eastAsia="en-US"/>
        </w:rPr>
        <w:t>V </w:t>
      </w:r>
      <w:r w:rsidRPr="003730B5">
        <w:rPr>
          <w:rFonts w:eastAsia="Calibri"/>
          <w:szCs w:val="22"/>
          <w:lang w:eastAsia="en-US"/>
        </w:rPr>
        <w:t xml:space="preserve">případě vydání nezákonného rozhodnutí či nesprávného úředního postupu je </w:t>
      </w:r>
      <w:r w:rsidR="00E712DE" w:rsidRPr="003730B5">
        <w:rPr>
          <w:rFonts w:eastAsia="Calibri"/>
          <w:szCs w:val="22"/>
          <w:lang w:eastAsia="en-US"/>
        </w:rPr>
        <w:t>s </w:t>
      </w:r>
      <w:r w:rsidRPr="003730B5">
        <w:rPr>
          <w:rFonts w:eastAsia="Calibri"/>
          <w:szCs w:val="22"/>
          <w:lang w:eastAsia="en-US"/>
        </w:rPr>
        <w:t xml:space="preserve">odpovědností konkrétní úřední osoby spojena eventuální povinnost regresní náhrady škody, za níž </w:t>
      </w:r>
      <w:r w:rsidR="00E712DE" w:rsidRPr="003730B5">
        <w:rPr>
          <w:rFonts w:eastAsia="Calibri"/>
          <w:szCs w:val="22"/>
          <w:lang w:eastAsia="en-US"/>
        </w:rPr>
        <w:t>v </w:t>
      </w:r>
      <w:r w:rsidRPr="003730B5">
        <w:rPr>
          <w:rFonts w:eastAsia="Calibri"/>
          <w:szCs w:val="22"/>
          <w:lang w:eastAsia="en-US"/>
        </w:rPr>
        <w:t>důsledku nezákonného rozhodnutí nebo nesprávného úředního postupu odpovídá stát.</w:t>
      </w:r>
    </w:p>
    <w:p w14:paraId="14884EDC" w14:textId="08A26AE5" w:rsidR="005A2E48" w:rsidRPr="003730B5" w:rsidRDefault="005A2E48" w:rsidP="005A2E48">
      <w:pPr>
        <w:widowControl w:val="0"/>
        <w:spacing w:after="120"/>
        <w:rPr>
          <w:rFonts w:eastAsia="Calibri"/>
          <w:szCs w:val="22"/>
          <w:lang w:eastAsia="en-US"/>
        </w:rPr>
      </w:pPr>
      <w:r w:rsidRPr="003730B5">
        <w:rPr>
          <w:rFonts w:eastAsia="Calibri"/>
          <w:szCs w:val="22"/>
          <w:lang w:eastAsia="en-US"/>
        </w:rPr>
        <w:t xml:space="preserve">Při správě daní se uplatňuje zásada neveřejnosti. Informace </w:t>
      </w:r>
      <w:r w:rsidR="00E712DE" w:rsidRPr="003730B5">
        <w:rPr>
          <w:rFonts w:eastAsia="Calibri"/>
          <w:szCs w:val="22"/>
          <w:lang w:eastAsia="en-US"/>
        </w:rPr>
        <w:t>o </w:t>
      </w:r>
      <w:r w:rsidRPr="003730B5">
        <w:rPr>
          <w:rFonts w:eastAsia="Calibri"/>
          <w:szCs w:val="22"/>
          <w:lang w:eastAsia="en-US"/>
        </w:rPr>
        <w:t xml:space="preserve">poměrech daňových subjektů jsou tak chráněny povinností mlčenlivosti, </w:t>
      </w:r>
      <w:r w:rsidR="00E712DE" w:rsidRPr="003730B5">
        <w:rPr>
          <w:rFonts w:eastAsia="Calibri"/>
          <w:szCs w:val="22"/>
          <w:lang w:eastAsia="en-US"/>
        </w:rPr>
        <w:t>a </w:t>
      </w:r>
      <w:r w:rsidRPr="003730B5">
        <w:rPr>
          <w:rFonts w:eastAsia="Calibri"/>
          <w:szCs w:val="22"/>
          <w:lang w:eastAsia="en-US"/>
        </w:rPr>
        <w:t xml:space="preserve">nemohou být zpřístupněny veřejnosti. Tím ovšem nemůže být dotčeno právo samotného daňového subjektu na informace </w:t>
      </w:r>
      <w:r w:rsidR="00E712DE" w:rsidRPr="003730B5">
        <w:rPr>
          <w:rFonts w:eastAsia="Calibri"/>
          <w:szCs w:val="22"/>
          <w:lang w:eastAsia="en-US"/>
        </w:rPr>
        <w:t>o </w:t>
      </w:r>
      <w:r w:rsidRPr="003730B5">
        <w:rPr>
          <w:rFonts w:eastAsia="Calibri"/>
          <w:szCs w:val="22"/>
          <w:lang w:eastAsia="en-US"/>
        </w:rPr>
        <w:t xml:space="preserve">něm soustřeďované. Toto právo je realizováno prostřednictvím nahlížení do spisu </w:t>
      </w:r>
      <w:r w:rsidR="00E712DE" w:rsidRPr="003730B5">
        <w:rPr>
          <w:rFonts w:eastAsia="Calibri"/>
          <w:szCs w:val="22"/>
          <w:lang w:eastAsia="en-US"/>
        </w:rPr>
        <w:t>a </w:t>
      </w:r>
      <w:r w:rsidRPr="003730B5">
        <w:rPr>
          <w:rFonts w:eastAsia="Calibri"/>
          <w:szCs w:val="22"/>
          <w:lang w:eastAsia="en-US"/>
        </w:rPr>
        <w:t xml:space="preserve">osobních daňových účtů. Získání informací je daňovým subjektům umožněno také prostřednictvím daňové informační schránky podle </w:t>
      </w:r>
      <w:r w:rsidR="00E712DE" w:rsidRPr="003730B5">
        <w:rPr>
          <w:rFonts w:eastAsia="Calibri"/>
          <w:szCs w:val="22"/>
          <w:lang w:eastAsia="en-US"/>
        </w:rPr>
        <w:t>§ </w:t>
      </w:r>
      <w:r w:rsidRPr="003730B5">
        <w:rPr>
          <w:rFonts w:eastAsia="Calibri"/>
          <w:szCs w:val="22"/>
          <w:lang w:eastAsia="en-US"/>
        </w:rPr>
        <w:t>69 daňového řádu.</w:t>
      </w:r>
    </w:p>
    <w:p w14:paraId="4C45F8B5" w14:textId="77777777" w:rsidR="005A2E48" w:rsidRPr="003730B5" w:rsidRDefault="005A2E48" w:rsidP="005A2E48">
      <w:pPr>
        <w:widowControl w:val="0"/>
        <w:spacing w:after="120"/>
        <w:rPr>
          <w:rFonts w:eastAsia="Calibri"/>
          <w:szCs w:val="22"/>
          <w:lang w:eastAsia="en-US"/>
        </w:rPr>
      </w:pPr>
      <w:r w:rsidRPr="003730B5">
        <w:rPr>
          <w:rFonts w:eastAsia="Calibri"/>
          <w:szCs w:val="22"/>
          <w:lang w:eastAsia="en-US"/>
        </w:rPr>
        <w:t>Navrhovanou právní úpravou nejsou zaváděny nové represivní nástroje zaměřené na eliminaci korupčních rizik.</w:t>
      </w:r>
    </w:p>
    <w:p w14:paraId="336306BB" w14:textId="28018C70" w:rsidR="005A2E48" w:rsidRPr="003730B5" w:rsidRDefault="00E712DE" w:rsidP="005A2E48">
      <w:pPr>
        <w:widowControl w:val="0"/>
        <w:spacing w:after="120"/>
        <w:rPr>
          <w:rFonts w:eastAsia="Calibri"/>
          <w:szCs w:val="22"/>
          <w:lang w:eastAsia="en-US"/>
        </w:rPr>
      </w:pPr>
      <w:r w:rsidRPr="003730B5">
        <w:rPr>
          <w:rFonts w:eastAsia="Calibri"/>
          <w:szCs w:val="22"/>
          <w:lang w:eastAsia="en-US"/>
        </w:rPr>
        <w:t>Z </w:t>
      </w:r>
      <w:r w:rsidR="005A2E48" w:rsidRPr="003730B5">
        <w:rPr>
          <w:rFonts w:eastAsia="Calibri"/>
          <w:szCs w:val="22"/>
          <w:lang w:eastAsia="en-US"/>
        </w:rPr>
        <w:t xml:space="preserve">hlediska transparence </w:t>
      </w:r>
      <w:r w:rsidRPr="003730B5">
        <w:rPr>
          <w:rFonts w:eastAsia="Calibri"/>
          <w:szCs w:val="22"/>
          <w:lang w:eastAsia="en-US"/>
        </w:rPr>
        <w:t>a </w:t>
      </w:r>
      <w:r w:rsidR="005A2E48" w:rsidRPr="003730B5">
        <w:rPr>
          <w:rFonts w:eastAsia="Calibri"/>
          <w:szCs w:val="22"/>
          <w:lang w:eastAsia="en-US"/>
        </w:rPr>
        <w:t xml:space="preserve">otevřenosti dat lze konstatovat, že navrhovaná úprava nemá vliv na dostupnost informací podle zákona </w:t>
      </w:r>
      <w:r w:rsidRPr="003730B5">
        <w:rPr>
          <w:rFonts w:eastAsia="Calibri"/>
          <w:szCs w:val="22"/>
          <w:lang w:eastAsia="en-US"/>
        </w:rPr>
        <w:t>č. </w:t>
      </w:r>
      <w:r w:rsidR="005A2E48" w:rsidRPr="003730B5">
        <w:rPr>
          <w:rFonts w:eastAsia="Calibri"/>
          <w:szCs w:val="22"/>
          <w:lang w:eastAsia="en-US"/>
        </w:rPr>
        <w:t xml:space="preserve">106/1999 Sb., </w:t>
      </w:r>
      <w:r w:rsidRPr="003730B5">
        <w:rPr>
          <w:rFonts w:eastAsia="Calibri"/>
          <w:szCs w:val="22"/>
          <w:lang w:eastAsia="en-US"/>
        </w:rPr>
        <w:t>o </w:t>
      </w:r>
      <w:r w:rsidR="005A2E48" w:rsidRPr="003730B5">
        <w:rPr>
          <w:rFonts w:eastAsia="Calibri"/>
          <w:szCs w:val="22"/>
          <w:lang w:eastAsia="en-US"/>
        </w:rPr>
        <w:t xml:space="preserve">svobodném přístupu </w:t>
      </w:r>
      <w:r w:rsidRPr="003730B5">
        <w:rPr>
          <w:rFonts w:eastAsia="Calibri"/>
          <w:szCs w:val="22"/>
          <w:lang w:eastAsia="en-US"/>
        </w:rPr>
        <w:t>k </w:t>
      </w:r>
      <w:r w:rsidR="005A2E48" w:rsidRPr="003730B5">
        <w:rPr>
          <w:rFonts w:eastAsia="Calibri"/>
          <w:szCs w:val="22"/>
          <w:lang w:eastAsia="en-US"/>
        </w:rPr>
        <w:t>informacím, ve znění pozdějších předpisů.</w:t>
      </w:r>
    </w:p>
    <w:p w14:paraId="1EFD9B38" w14:textId="38EAFCEC" w:rsidR="0003045D" w:rsidRPr="003730B5" w:rsidRDefault="005A2E48" w:rsidP="005A2E48">
      <w:pPr>
        <w:widowControl w:val="0"/>
        <w:spacing w:after="120"/>
        <w:rPr>
          <w:rFonts w:eastAsia="Calibri"/>
          <w:szCs w:val="22"/>
          <w:lang w:eastAsia="en-US"/>
        </w:rPr>
      </w:pPr>
      <w:r w:rsidRPr="003730B5">
        <w:rPr>
          <w:rFonts w:eastAsia="Calibri"/>
          <w:szCs w:val="22"/>
          <w:lang w:eastAsia="en-US"/>
        </w:rPr>
        <w:t xml:space="preserve">Vedle obecného trestněprávního protikorupčního rámce lze blíže připomenout aspekty protikorupčního rámce spojené se státní službou. Účinná jsou také opatření daňového práva. Při správě daní se uplatňuje zásada neveřejnosti </w:t>
      </w:r>
      <w:r w:rsidR="00E712DE" w:rsidRPr="003730B5">
        <w:rPr>
          <w:rFonts w:eastAsia="Calibri"/>
          <w:szCs w:val="22"/>
          <w:lang w:eastAsia="en-US"/>
        </w:rPr>
        <w:t>a </w:t>
      </w:r>
      <w:r w:rsidRPr="003730B5">
        <w:rPr>
          <w:rFonts w:eastAsia="Calibri"/>
          <w:szCs w:val="22"/>
          <w:lang w:eastAsia="en-US"/>
        </w:rPr>
        <w:t xml:space="preserve">daňové mlčenlivosti. Další represivní sankce jsou stanoveny trestním zákoníkem </w:t>
      </w:r>
      <w:r w:rsidR="00E712DE" w:rsidRPr="003730B5">
        <w:rPr>
          <w:rFonts w:eastAsia="Calibri"/>
          <w:szCs w:val="22"/>
          <w:lang w:eastAsia="en-US"/>
        </w:rPr>
        <w:t>v </w:t>
      </w:r>
      <w:r w:rsidRPr="003730B5">
        <w:rPr>
          <w:rFonts w:eastAsia="Calibri"/>
          <w:szCs w:val="22"/>
          <w:lang w:eastAsia="en-US"/>
        </w:rPr>
        <w:t>případě, že jednání konkrétní úřední osoby nebo skupiny úředních osob naplní podstatu trestného činu, například trestný čin přijetí úplatku.</w:t>
      </w:r>
    </w:p>
    <w:p w14:paraId="554BDCA1" w14:textId="754EF2AD" w:rsidR="000C74B4" w:rsidRPr="003730B5" w:rsidRDefault="00252E2F" w:rsidP="000C74B4">
      <w:pPr>
        <w:widowControl w:val="0"/>
        <w:spacing w:after="120"/>
        <w:rPr>
          <w:rFonts w:eastAsia="Calibri"/>
          <w:szCs w:val="22"/>
          <w:lang w:eastAsia="en-US"/>
        </w:rPr>
      </w:pPr>
      <w:r w:rsidRPr="003730B5">
        <w:rPr>
          <w:rFonts w:eastAsia="Calibri"/>
          <w:szCs w:val="22"/>
          <w:lang w:eastAsia="en-US"/>
        </w:rPr>
        <w:t xml:space="preserve">Pokud jde </w:t>
      </w:r>
      <w:r w:rsidR="00552598" w:rsidRPr="003730B5">
        <w:rPr>
          <w:rFonts w:eastAsia="Calibri"/>
          <w:szCs w:val="22"/>
          <w:lang w:eastAsia="en-US"/>
        </w:rPr>
        <w:t>o </w:t>
      </w:r>
      <w:r w:rsidRPr="003730B5">
        <w:rPr>
          <w:rFonts w:eastAsia="Calibri"/>
          <w:szCs w:val="22"/>
          <w:lang w:eastAsia="en-US"/>
        </w:rPr>
        <w:t xml:space="preserve">návrh změny zákona </w:t>
      </w:r>
      <w:r w:rsidR="00552598" w:rsidRPr="003730B5">
        <w:rPr>
          <w:rFonts w:eastAsia="Calibri"/>
          <w:szCs w:val="22"/>
          <w:lang w:eastAsia="en-US"/>
        </w:rPr>
        <w:t>o </w:t>
      </w:r>
      <w:r w:rsidRPr="003730B5">
        <w:rPr>
          <w:rFonts w:eastAsia="Calibri"/>
          <w:szCs w:val="22"/>
          <w:lang w:eastAsia="en-US"/>
        </w:rPr>
        <w:t>přestupcích, lze uvést, že v</w:t>
      </w:r>
      <w:r w:rsidR="000C74B4" w:rsidRPr="003730B5">
        <w:rPr>
          <w:rFonts w:eastAsia="Calibri"/>
          <w:szCs w:val="22"/>
          <w:lang w:eastAsia="en-US"/>
        </w:rPr>
        <w:t xml:space="preserve">yhotovení </w:t>
      </w:r>
      <w:r w:rsidR="00CA40A9" w:rsidRPr="003730B5">
        <w:rPr>
          <w:rFonts w:eastAsia="Calibri"/>
          <w:szCs w:val="22"/>
          <w:lang w:eastAsia="en-US"/>
        </w:rPr>
        <w:t>a </w:t>
      </w:r>
      <w:r w:rsidR="000C74B4" w:rsidRPr="003730B5">
        <w:rPr>
          <w:rFonts w:eastAsia="Calibri"/>
          <w:szCs w:val="22"/>
          <w:lang w:eastAsia="en-US"/>
        </w:rPr>
        <w:t xml:space="preserve">evidování elektronických příkazových bloků </w:t>
      </w:r>
      <w:r w:rsidR="00CA40A9" w:rsidRPr="003730B5">
        <w:rPr>
          <w:rFonts w:eastAsia="Calibri"/>
          <w:szCs w:val="22"/>
          <w:lang w:eastAsia="en-US"/>
        </w:rPr>
        <w:t>v </w:t>
      </w:r>
      <w:r w:rsidR="000C74B4" w:rsidRPr="003730B5">
        <w:rPr>
          <w:rFonts w:eastAsia="Calibri"/>
          <w:szCs w:val="22"/>
          <w:lang w:eastAsia="en-US"/>
        </w:rPr>
        <w:t>informačním systému Policie Č</w:t>
      </w:r>
      <w:r w:rsidRPr="003730B5">
        <w:rPr>
          <w:rFonts w:eastAsia="Calibri"/>
          <w:szCs w:val="22"/>
          <w:lang w:eastAsia="en-US"/>
        </w:rPr>
        <w:t>eské republiky</w:t>
      </w:r>
      <w:r w:rsidR="000C74B4" w:rsidRPr="003730B5">
        <w:rPr>
          <w:rFonts w:eastAsia="Calibri"/>
          <w:szCs w:val="22"/>
          <w:lang w:eastAsia="en-US"/>
        </w:rPr>
        <w:t xml:space="preserve"> </w:t>
      </w:r>
      <w:r w:rsidR="00CA40A9" w:rsidRPr="003730B5">
        <w:rPr>
          <w:rFonts w:eastAsia="Calibri"/>
          <w:szCs w:val="22"/>
          <w:lang w:eastAsia="en-US"/>
        </w:rPr>
        <w:t>a </w:t>
      </w:r>
      <w:r w:rsidR="000C74B4" w:rsidRPr="003730B5">
        <w:rPr>
          <w:rFonts w:eastAsia="Calibri"/>
          <w:szCs w:val="22"/>
          <w:lang w:eastAsia="en-US"/>
        </w:rPr>
        <w:t>Celní správy Č</w:t>
      </w:r>
      <w:r w:rsidRPr="003730B5">
        <w:rPr>
          <w:rFonts w:eastAsia="Calibri"/>
          <w:szCs w:val="22"/>
          <w:lang w:eastAsia="en-US"/>
        </w:rPr>
        <w:t>eské republiky</w:t>
      </w:r>
      <w:r w:rsidR="000C74B4" w:rsidRPr="003730B5">
        <w:rPr>
          <w:rFonts w:eastAsia="Calibri"/>
          <w:szCs w:val="22"/>
          <w:lang w:eastAsia="en-US"/>
        </w:rPr>
        <w:t xml:space="preserve"> zvyšuje zavedené protikorupční standardy při používání příkazových bloků:</w:t>
      </w:r>
    </w:p>
    <w:p w14:paraId="5A5BF456" w14:textId="78C633D8" w:rsidR="000C74B4" w:rsidRPr="003730B5" w:rsidRDefault="00D50DEC" w:rsidP="00D16775">
      <w:pPr>
        <w:pStyle w:val="Odstavecseseznamem"/>
        <w:widowControl w:val="0"/>
        <w:numPr>
          <w:ilvl w:val="0"/>
          <w:numId w:val="45"/>
        </w:numPr>
        <w:spacing w:after="120"/>
        <w:rPr>
          <w:rFonts w:eastAsia="Calibri"/>
          <w:szCs w:val="22"/>
          <w:lang w:eastAsia="en-US"/>
        </w:rPr>
      </w:pPr>
      <w:r w:rsidRPr="003730B5">
        <w:rPr>
          <w:rFonts w:eastAsia="Calibri"/>
          <w:szCs w:val="22"/>
          <w:lang w:eastAsia="en-US"/>
        </w:rPr>
        <w:t>e</w:t>
      </w:r>
      <w:r w:rsidR="000C74B4" w:rsidRPr="003730B5">
        <w:rPr>
          <w:rFonts w:eastAsia="Calibri"/>
          <w:szCs w:val="22"/>
          <w:lang w:eastAsia="en-US"/>
        </w:rPr>
        <w:t xml:space="preserve">lektronizace příkazního řízení na místě snižuje riziko ztráty, zničení či odcizení </w:t>
      </w:r>
      <w:r w:rsidR="000C74B4" w:rsidRPr="003730B5">
        <w:rPr>
          <w:rFonts w:eastAsia="Calibri"/>
          <w:szCs w:val="22"/>
          <w:lang w:eastAsia="en-US"/>
        </w:rPr>
        <w:lastRenderedPageBreak/>
        <w:t>listinných příkazových bloků</w:t>
      </w:r>
      <w:r w:rsidRPr="003730B5">
        <w:rPr>
          <w:rFonts w:eastAsia="Calibri"/>
          <w:szCs w:val="22"/>
          <w:lang w:eastAsia="en-US"/>
        </w:rPr>
        <w:t>,</w:t>
      </w:r>
      <w:r w:rsidR="000C74B4" w:rsidRPr="003730B5">
        <w:rPr>
          <w:rFonts w:eastAsia="Calibri"/>
          <w:szCs w:val="22"/>
          <w:lang w:eastAsia="en-US"/>
        </w:rPr>
        <w:t xml:space="preserve">  </w:t>
      </w:r>
    </w:p>
    <w:p w14:paraId="14B97E02" w14:textId="45A6FA28" w:rsidR="000C74B4" w:rsidRPr="003730B5" w:rsidRDefault="00D50DEC" w:rsidP="00D16775">
      <w:pPr>
        <w:pStyle w:val="Odstavecseseznamem"/>
        <w:widowControl w:val="0"/>
        <w:numPr>
          <w:ilvl w:val="0"/>
          <w:numId w:val="45"/>
        </w:numPr>
        <w:spacing w:after="120"/>
        <w:rPr>
          <w:rFonts w:eastAsia="Calibri"/>
          <w:szCs w:val="22"/>
          <w:lang w:eastAsia="en-US"/>
        </w:rPr>
      </w:pPr>
      <w:r w:rsidRPr="003730B5">
        <w:rPr>
          <w:rFonts w:eastAsia="Calibri"/>
          <w:szCs w:val="22"/>
          <w:lang w:eastAsia="en-US"/>
        </w:rPr>
        <w:t>e</w:t>
      </w:r>
      <w:r w:rsidR="000C74B4" w:rsidRPr="003730B5">
        <w:rPr>
          <w:rFonts w:eastAsia="Calibri"/>
          <w:szCs w:val="22"/>
          <w:lang w:eastAsia="en-US"/>
        </w:rPr>
        <w:t xml:space="preserve">lektronizace příkazových bloků umožňuje důkladnější provedení kontrolní činnosti pověřeným pracovníkem – vyhotovení elektronického příkazového bloku </w:t>
      </w:r>
      <w:r w:rsidR="00CA40A9" w:rsidRPr="003730B5">
        <w:rPr>
          <w:rFonts w:eastAsia="Calibri"/>
          <w:szCs w:val="22"/>
          <w:lang w:eastAsia="en-US"/>
        </w:rPr>
        <w:t>a </w:t>
      </w:r>
      <w:r w:rsidR="000C74B4" w:rsidRPr="003730B5">
        <w:rPr>
          <w:rFonts w:eastAsia="Calibri"/>
          <w:szCs w:val="22"/>
          <w:lang w:eastAsia="en-US"/>
        </w:rPr>
        <w:t xml:space="preserve">veškeré další úkony </w:t>
      </w:r>
      <w:r w:rsidR="00CA40A9" w:rsidRPr="003730B5">
        <w:rPr>
          <w:rFonts w:eastAsia="Calibri"/>
          <w:szCs w:val="22"/>
          <w:lang w:eastAsia="en-US"/>
        </w:rPr>
        <w:t>s </w:t>
      </w:r>
      <w:r w:rsidR="000C74B4" w:rsidRPr="003730B5">
        <w:rPr>
          <w:rFonts w:eastAsia="Calibri"/>
          <w:szCs w:val="22"/>
          <w:lang w:eastAsia="en-US"/>
        </w:rPr>
        <w:t xml:space="preserve">ním spojené </w:t>
      </w:r>
      <w:r w:rsidR="00CA40A9" w:rsidRPr="003730B5">
        <w:rPr>
          <w:rFonts w:eastAsia="Calibri"/>
          <w:szCs w:val="22"/>
          <w:lang w:eastAsia="en-US"/>
        </w:rPr>
        <w:t>v </w:t>
      </w:r>
      <w:r w:rsidR="000C74B4" w:rsidRPr="003730B5">
        <w:rPr>
          <w:rFonts w:eastAsia="Calibri"/>
          <w:szCs w:val="22"/>
          <w:lang w:eastAsia="en-US"/>
        </w:rPr>
        <w:t xml:space="preserve">informačním systému jsou přísně logovány, oprávněná úřední osoba se do systému přihlašuje pod svým uživatelským jménem </w:t>
      </w:r>
      <w:r w:rsidR="00CA40A9" w:rsidRPr="003730B5">
        <w:rPr>
          <w:rFonts w:eastAsia="Calibri"/>
          <w:szCs w:val="22"/>
          <w:lang w:eastAsia="en-US"/>
        </w:rPr>
        <w:t>a </w:t>
      </w:r>
      <w:r w:rsidR="000C74B4" w:rsidRPr="003730B5">
        <w:rPr>
          <w:rFonts w:eastAsia="Calibri"/>
          <w:szCs w:val="22"/>
          <w:lang w:eastAsia="en-US"/>
        </w:rPr>
        <w:t xml:space="preserve">heslem, takže je možné identifikovat, kdo úkon provedl </w:t>
      </w:r>
      <w:r w:rsidR="00CA40A9" w:rsidRPr="003730B5">
        <w:rPr>
          <w:rFonts w:eastAsia="Calibri"/>
          <w:szCs w:val="22"/>
          <w:lang w:eastAsia="en-US"/>
        </w:rPr>
        <w:t>a </w:t>
      </w:r>
      <w:r w:rsidR="000C74B4" w:rsidRPr="003730B5">
        <w:rPr>
          <w:rFonts w:eastAsia="Calibri"/>
          <w:szCs w:val="22"/>
          <w:lang w:eastAsia="en-US"/>
        </w:rPr>
        <w:t xml:space="preserve">určit datum </w:t>
      </w:r>
      <w:r w:rsidR="00CA40A9" w:rsidRPr="003730B5">
        <w:rPr>
          <w:rFonts w:eastAsia="Calibri"/>
          <w:szCs w:val="22"/>
          <w:lang w:eastAsia="en-US"/>
        </w:rPr>
        <w:t>a </w:t>
      </w:r>
      <w:r w:rsidR="000C74B4" w:rsidRPr="003730B5">
        <w:rPr>
          <w:rFonts w:eastAsia="Calibri"/>
          <w:szCs w:val="22"/>
          <w:lang w:eastAsia="en-US"/>
        </w:rPr>
        <w:t>čas, kdy byly provedeny</w:t>
      </w:r>
      <w:r w:rsidRPr="003730B5">
        <w:rPr>
          <w:rFonts w:eastAsia="Calibri"/>
          <w:szCs w:val="22"/>
          <w:lang w:eastAsia="en-US"/>
        </w:rPr>
        <w:t>,</w:t>
      </w:r>
      <w:r w:rsidR="000C74B4" w:rsidRPr="003730B5">
        <w:rPr>
          <w:rFonts w:eastAsia="Calibri"/>
          <w:szCs w:val="22"/>
          <w:lang w:eastAsia="en-US"/>
        </w:rPr>
        <w:t xml:space="preserve"> </w:t>
      </w:r>
    </w:p>
    <w:p w14:paraId="2B23C262" w14:textId="0FA31672" w:rsidR="000C74B4" w:rsidRPr="003730B5" w:rsidRDefault="00D50DEC" w:rsidP="00D16775">
      <w:pPr>
        <w:pStyle w:val="Odstavecseseznamem"/>
        <w:widowControl w:val="0"/>
        <w:numPr>
          <w:ilvl w:val="0"/>
          <w:numId w:val="45"/>
        </w:numPr>
        <w:spacing w:after="120"/>
        <w:rPr>
          <w:rFonts w:eastAsia="Calibri"/>
          <w:szCs w:val="22"/>
          <w:lang w:eastAsia="en-US"/>
        </w:rPr>
      </w:pPr>
      <w:r w:rsidRPr="003730B5">
        <w:rPr>
          <w:rFonts w:eastAsia="Calibri"/>
          <w:szCs w:val="22"/>
          <w:lang w:eastAsia="en-US"/>
        </w:rPr>
        <w:t>s</w:t>
      </w:r>
      <w:r w:rsidR="00CA40A9" w:rsidRPr="003730B5">
        <w:rPr>
          <w:rFonts w:eastAsia="Calibri"/>
          <w:szCs w:val="22"/>
          <w:lang w:eastAsia="en-US"/>
        </w:rPr>
        <w:t> </w:t>
      </w:r>
      <w:r w:rsidR="000C74B4" w:rsidRPr="003730B5">
        <w:rPr>
          <w:rFonts w:eastAsia="Calibri"/>
          <w:szCs w:val="22"/>
          <w:lang w:eastAsia="en-US"/>
        </w:rPr>
        <w:t xml:space="preserve">pomocí filtrů je možné provést kontrolu </w:t>
      </w:r>
      <w:r w:rsidR="00CA40A9" w:rsidRPr="003730B5">
        <w:rPr>
          <w:rFonts w:eastAsia="Calibri"/>
          <w:szCs w:val="22"/>
          <w:lang w:eastAsia="en-US"/>
        </w:rPr>
        <w:t>u </w:t>
      </w:r>
      <w:r w:rsidR="000C74B4" w:rsidRPr="003730B5">
        <w:rPr>
          <w:rFonts w:eastAsia="Calibri"/>
          <w:szCs w:val="22"/>
          <w:lang w:eastAsia="en-US"/>
        </w:rPr>
        <w:t xml:space="preserve">určitého organizačního článku, konkrétní oprávněné úřední osoby, kontrolu elektronických příkazových bloků vytvořených </w:t>
      </w:r>
      <w:r w:rsidR="00CA40A9" w:rsidRPr="003730B5">
        <w:rPr>
          <w:rFonts w:eastAsia="Calibri"/>
          <w:szCs w:val="22"/>
          <w:lang w:eastAsia="en-US"/>
        </w:rPr>
        <w:t>v </w:t>
      </w:r>
      <w:r w:rsidR="000C74B4" w:rsidRPr="003730B5">
        <w:rPr>
          <w:rFonts w:eastAsia="Calibri"/>
          <w:szCs w:val="22"/>
          <w:lang w:eastAsia="en-US"/>
        </w:rPr>
        <w:t xml:space="preserve">určitém časovém období apod., </w:t>
      </w:r>
      <w:r w:rsidR="00CA40A9" w:rsidRPr="003730B5">
        <w:rPr>
          <w:rFonts w:eastAsia="Calibri"/>
          <w:szCs w:val="22"/>
          <w:lang w:eastAsia="en-US"/>
        </w:rPr>
        <w:t>a </w:t>
      </w:r>
      <w:r w:rsidR="000C74B4" w:rsidRPr="003730B5">
        <w:rPr>
          <w:rFonts w:eastAsia="Calibri"/>
          <w:szCs w:val="22"/>
          <w:lang w:eastAsia="en-US"/>
        </w:rPr>
        <w:t xml:space="preserve">to </w:t>
      </w:r>
      <w:r w:rsidR="00CA40A9" w:rsidRPr="003730B5">
        <w:rPr>
          <w:rFonts w:eastAsia="Calibri"/>
          <w:szCs w:val="22"/>
          <w:lang w:eastAsia="en-US"/>
        </w:rPr>
        <w:t>i </w:t>
      </w:r>
      <w:r w:rsidR="000C74B4" w:rsidRPr="003730B5">
        <w:rPr>
          <w:rFonts w:eastAsia="Calibri"/>
          <w:szCs w:val="22"/>
          <w:lang w:eastAsia="en-US"/>
        </w:rPr>
        <w:t>vzdáleným přístupem</w:t>
      </w:r>
      <w:r w:rsidRPr="003730B5">
        <w:rPr>
          <w:rFonts w:eastAsia="Calibri"/>
          <w:szCs w:val="22"/>
          <w:lang w:eastAsia="en-US"/>
        </w:rPr>
        <w:t>,</w:t>
      </w:r>
      <w:r w:rsidR="000C74B4" w:rsidRPr="003730B5">
        <w:rPr>
          <w:rFonts w:eastAsia="Calibri"/>
          <w:szCs w:val="22"/>
          <w:lang w:eastAsia="en-US"/>
        </w:rPr>
        <w:t xml:space="preserve"> </w:t>
      </w:r>
    </w:p>
    <w:p w14:paraId="1C21579C" w14:textId="77D2D7D1" w:rsidR="000C74B4" w:rsidRPr="003730B5" w:rsidRDefault="00D50DEC" w:rsidP="00D16775">
      <w:pPr>
        <w:pStyle w:val="Odstavecseseznamem"/>
        <w:widowControl w:val="0"/>
        <w:numPr>
          <w:ilvl w:val="0"/>
          <w:numId w:val="45"/>
        </w:numPr>
        <w:spacing w:after="120"/>
        <w:rPr>
          <w:rFonts w:eastAsia="Calibri"/>
          <w:szCs w:val="22"/>
          <w:lang w:eastAsia="en-US"/>
        </w:rPr>
      </w:pPr>
      <w:r w:rsidRPr="003730B5">
        <w:rPr>
          <w:rFonts w:eastAsia="Calibri"/>
          <w:szCs w:val="22"/>
          <w:lang w:eastAsia="en-US"/>
        </w:rPr>
        <w:t>e</w:t>
      </w:r>
      <w:r w:rsidR="000C74B4" w:rsidRPr="003730B5">
        <w:rPr>
          <w:rFonts w:eastAsia="Calibri"/>
          <w:szCs w:val="22"/>
          <w:lang w:eastAsia="en-US"/>
        </w:rPr>
        <w:t>lektronizace příkazových bloků usnadňuje rovněž kontrolu včasného odvodu uhrazených pokut uložených příkazem na místě.</w:t>
      </w:r>
    </w:p>
    <w:p w14:paraId="02386CAB" w14:textId="2A77A5C3" w:rsidR="0003045D" w:rsidRPr="003730B5" w:rsidRDefault="0003045D" w:rsidP="006F504E">
      <w:pPr>
        <w:pStyle w:val="Nadpis2"/>
        <w:keepNext w:val="0"/>
        <w:widowControl w:val="0"/>
        <w:numPr>
          <w:ilvl w:val="1"/>
          <w:numId w:val="28"/>
        </w:numPr>
        <w:shd w:val="clear" w:color="auto" w:fill="FFFFFF"/>
        <w:jc w:val="both"/>
        <w:rPr>
          <w:rFonts w:cs="Times New Roman"/>
        </w:rPr>
      </w:pPr>
      <w:r w:rsidRPr="003730B5">
        <w:rPr>
          <w:rFonts w:cs="Times New Roman"/>
        </w:rPr>
        <w:t xml:space="preserve">Zhodnocení dopadů </w:t>
      </w:r>
      <w:r w:rsidR="00873FC2" w:rsidRPr="003730B5">
        <w:rPr>
          <w:rFonts w:cs="Times New Roman"/>
        </w:rPr>
        <w:t>na bezpečnost nebo obranu státu</w:t>
      </w:r>
    </w:p>
    <w:p w14:paraId="444F8562" w14:textId="2BC74A2B" w:rsidR="00662BB7" w:rsidRPr="003730B5" w:rsidRDefault="0003045D" w:rsidP="008F2906">
      <w:pPr>
        <w:widowControl w:val="0"/>
        <w:spacing w:after="120"/>
        <w:rPr>
          <w:rFonts w:eastAsia="Calibri"/>
          <w:szCs w:val="22"/>
          <w:lang w:eastAsia="en-US"/>
        </w:rPr>
      </w:pPr>
      <w:r w:rsidRPr="003730B5">
        <w:rPr>
          <w:rFonts w:eastAsia="Calibri"/>
          <w:szCs w:val="22"/>
          <w:lang w:eastAsia="en-US"/>
        </w:rPr>
        <w:t>Navrhovaná právní úprava nemá dopad na bezpečnost nebo obranu státu ve smyslu usnesení vlády č. 343/D z roku 2015.</w:t>
      </w:r>
    </w:p>
    <w:p w14:paraId="177525F8" w14:textId="021CD454" w:rsidR="003E1250" w:rsidRPr="003730B5" w:rsidRDefault="00C424BE" w:rsidP="006F504E">
      <w:pPr>
        <w:pStyle w:val="Nadpis2"/>
        <w:keepNext w:val="0"/>
        <w:widowControl w:val="0"/>
        <w:numPr>
          <w:ilvl w:val="1"/>
          <w:numId w:val="28"/>
        </w:numPr>
        <w:shd w:val="clear" w:color="auto" w:fill="FFFFFF"/>
        <w:jc w:val="both"/>
        <w:rPr>
          <w:rFonts w:cs="Times New Roman"/>
        </w:rPr>
      </w:pPr>
      <w:r w:rsidRPr="003730B5">
        <w:rPr>
          <w:rFonts w:cs="Times New Roman"/>
        </w:rPr>
        <w:t>Z</w:t>
      </w:r>
      <w:r w:rsidR="003E1250" w:rsidRPr="003730B5">
        <w:rPr>
          <w:rFonts w:cs="Times New Roman"/>
        </w:rPr>
        <w:t>hodnocení dopadů na rodiny</w:t>
      </w:r>
    </w:p>
    <w:p w14:paraId="490CDDFC" w14:textId="64D6AE90" w:rsidR="000D6A0B" w:rsidRPr="003730B5" w:rsidRDefault="000D6A0B" w:rsidP="00A24C00">
      <w:pPr>
        <w:widowControl w:val="0"/>
        <w:spacing w:before="120" w:after="120"/>
      </w:pPr>
      <w:r w:rsidRPr="003730B5">
        <w:t xml:space="preserve">Opatření obsažená v návrhu zákona buď dopady do uvedené oblasti nemají, anebo tyto dopady vyplývají z povahy </w:t>
      </w:r>
      <w:r w:rsidR="00CA40A9" w:rsidRPr="003730B5">
        <w:t>a </w:t>
      </w:r>
      <w:r w:rsidRPr="003730B5">
        <w:t>popisu opatření samotných v jiných částech této důvodové zprávy. Nad rámec této skutečnosti lze uvést následující případy konkrétních dopadů.</w:t>
      </w:r>
    </w:p>
    <w:p w14:paraId="67F76CDA" w14:textId="2B2803FE" w:rsidR="004638D1" w:rsidRPr="003730B5" w:rsidRDefault="004638D1" w:rsidP="00A24C00">
      <w:pPr>
        <w:widowControl w:val="0"/>
        <w:spacing w:before="120" w:after="120"/>
      </w:pPr>
      <w:r w:rsidRPr="003730B5">
        <w:t>Dopady na rodiny jsou podrobněji vysvětleny a rozepsány rovněž v Závěrečné zprávě z hodnocení dopadů regulace (RIA) v kapitole, která se zabývá dopady na domácnosti.</w:t>
      </w:r>
    </w:p>
    <w:p w14:paraId="3F192442" w14:textId="663D38BF" w:rsidR="001D2A0A" w:rsidRPr="003730B5" w:rsidRDefault="00661A4F" w:rsidP="00680A90">
      <w:pPr>
        <w:pStyle w:val="Nadpis2"/>
        <w:keepNext w:val="0"/>
        <w:widowControl w:val="0"/>
        <w:numPr>
          <w:ilvl w:val="0"/>
          <w:numId w:val="0"/>
        </w:numPr>
        <w:shd w:val="clear" w:color="auto" w:fill="FFFFFF"/>
        <w:tabs>
          <w:tab w:val="left" w:pos="567"/>
        </w:tabs>
        <w:jc w:val="both"/>
        <w:rPr>
          <w:i/>
          <w:sz w:val="24"/>
        </w:rPr>
      </w:pPr>
      <w:r w:rsidRPr="003730B5">
        <w:rPr>
          <w:i/>
          <w:sz w:val="24"/>
        </w:rPr>
        <w:t>Úprava odvodové zátěže osob samostatně výdělečně činných</w:t>
      </w:r>
    </w:p>
    <w:p w14:paraId="6E588E05" w14:textId="12B7366B" w:rsidR="001D2A0A" w:rsidRPr="003730B5" w:rsidRDefault="001D2A0A" w:rsidP="00C424BE">
      <w:pPr>
        <w:widowControl w:val="0"/>
        <w:spacing w:before="120" w:after="120"/>
      </w:pPr>
      <w:r w:rsidRPr="003730B5">
        <w:t xml:space="preserve">Navrhovanou právní úpravou se sníží příjem osob účastných důchodového pojištění dle typu výkonu samostatné výdělečné činnosti, ale toto snížení bude následně kompenzováno nároky </w:t>
      </w:r>
      <w:r w:rsidR="00CA40A9" w:rsidRPr="003730B5">
        <w:t>v </w:t>
      </w:r>
      <w:r w:rsidRPr="003730B5">
        <w:t>oblasti důchodového pojištění, t</w:t>
      </w:r>
      <w:r w:rsidR="00661A4F" w:rsidRPr="003730B5">
        <w:t>j</w:t>
      </w:r>
      <w:r w:rsidRPr="003730B5">
        <w:t xml:space="preserve">. osobám samostatně výdělečně činným budou </w:t>
      </w:r>
      <w:r w:rsidR="00CA40A9" w:rsidRPr="003730B5">
        <w:t>v </w:t>
      </w:r>
      <w:r w:rsidRPr="003730B5">
        <w:t xml:space="preserve">budoucnu přiznány vyšší starobní důchody nebo invalidní důchody, než kdyby </w:t>
      </w:r>
      <w:r w:rsidR="00CA40A9" w:rsidRPr="003730B5">
        <w:t>k </w:t>
      </w:r>
      <w:r w:rsidRPr="003730B5">
        <w:t xml:space="preserve">navrhované právní úpravě nedošlo. Současně budou lépe zabezpečeny </w:t>
      </w:r>
      <w:r w:rsidR="00CA40A9" w:rsidRPr="003730B5">
        <w:t>i </w:t>
      </w:r>
      <w:r w:rsidRPr="003730B5">
        <w:t xml:space="preserve">pozůstalé osoby, kterým bude pozůstalostní důchod náležet </w:t>
      </w:r>
      <w:r w:rsidR="00CA40A9" w:rsidRPr="003730B5">
        <w:t>z </w:t>
      </w:r>
      <w:r w:rsidRPr="003730B5">
        <w:t>důchodového pojištění osoby samostatně výdělečně činné.</w:t>
      </w:r>
    </w:p>
    <w:p w14:paraId="551E8745" w14:textId="77777777" w:rsidR="00661A4F" w:rsidRPr="003730B5" w:rsidRDefault="00661A4F" w:rsidP="00661A4F">
      <w:pPr>
        <w:pStyle w:val="Nadpis2"/>
        <w:keepLines/>
        <w:widowControl w:val="0"/>
        <w:numPr>
          <w:ilvl w:val="0"/>
          <w:numId w:val="0"/>
        </w:numPr>
        <w:shd w:val="clear" w:color="auto" w:fill="FFFFFF"/>
        <w:tabs>
          <w:tab w:val="left" w:pos="567"/>
        </w:tabs>
        <w:jc w:val="both"/>
        <w:rPr>
          <w:i/>
          <w:sz w:val="24"/>
        </w:rPr>
      </w:pPr>
      <w:r w:rsidRPr="003730B5">
        <w:rPr>
          <w:i/>
          <w:sz w:val="24"/>
        </w:rPr>
        <w:t xml:space="preserve">Změna podmínek vyplácení podpory v nezaměstnanosti </w:t>
      </w:r>
    </w:p>
    <w:p w14:paraId="4786D8FD" w14:textId="5987A8EC" w:rsidR="000E7EB6" w:rsidRPr="003730B5" w:rsidRDefault="000E7EB6" w:rsidP="000E7EB6">
      <w:pPr>
        <w:widowControl w:val="0"/>
        <w:spacing w:before="120" w:after="120"/>
      </w:pPr>
      <w:r w:rsidRPr="003730B5">
        <w:t xml:space="preserve">Pokud jde </w:t>
      </w:r>
      <w:r w:rsidR="00CA40A9" w:rsidRPr="003730B5">
        <w:t>o </w:t>
      </w:r>
      <w:r w:rsidRPr="003730B5">
        <w:t xml:space="preserve">zrušení odsouvání podpůrčí doby </w:t>
      </w:r>
      <w:r w:rsidR="00CA40A9" w:rsidRPr="003730B5">
        <w:t>a </w:t>
      </w:r>
      <w:r w:rsidRPr="003730B5">
        <w:t xml:space="preserve">návazné zrušení institutu kompenzace, </w:t>
      </w:r>
      <w:r w:rsidR="00CA40A9" w:rsidRPr="003730B5">
        <w:t>z </w:t>
      </w:r>
      <w:r w:rsidRPr="003730B5">
        <w:t xml:space="preserve">hlediska dopadu na rodiny se bude jednat </w:t>
      </w:r>
      <w:r w:rsidR="00CA40A9" w:rsidRPr="003730B5">
        <w:t>o </w:t>
      </w:r>
      <w:r w:rsidRPr="003730B5">
        <w:t xml:space="preserve">pozitivní opatření, neboť umožní vyplacené odstupné, odbytné nebo odchodné využít </w:t>
      </w:r>
      <w:r w:rsidR="00CA40A9" w:rsidRPr="003730B5">
        <w:t>v </w:t>
      </w:r>
      <w:r w:rsidRPr="003730B5">
        <w:t xml:space="preserve">rodinném rozpočtu ke zvolenému účelu </w:t>
      </w:r>
      <w:r w:rsidR="00CA40A9" w:rsidRPr="003730B5">
        <w:t>a </w:t>
      </w:r>
      <w:r w:rsidRPr="003730B5">
        <w:t xml:space="preserve">zároveň bude možné současně pobírat podporu </w:t>
      </w:r>
      <w:r w:rsidR="00CA40A9" w:rsidRPr="003730B5">
        <w:t>v </w:t>
      </w:r>
      <w:r w:rsidRPr="003730B5">
        <w:t xml:space="preserve">nezaměstnanosti od počátku vzniku nezaměstnanosti. Rodina tak bude moci počítat </w:t>
      </w:r>
      <w:r w:rsidR="00CA40A9" w:rsidRPr="003730B5">
        <w:t>s </w:t>
      </w:r>
      <w:r w:rsidRPr="003730B5">
        <w:t xml:space="preserve">finančními prostředky </w:t>
      </w:r>
      <w:r w:rsidR="00CA40A9" w:rsidRPr="003730B5">
        <w:t>z </w:t>
      </w:r>
      <w:r w:rsidRPr="003730B5">
        <w:t xml:space="preserve">odstupného, odbytného či odchodného </w:t>
      </w:r>
      <w:r w:rsidR="00CA40A9" w:rsidRPr="003730B5">
        <w:t>i </w:t>
      </w:r>
      <w:r w:rsidRPr="003730B5">
        <w:t xml:space="preserve">na jiné účely než na zajištění základních životních potřeb, jako tomu je za stávajícího stavu, kdy dochází </w:t>
      </w:r>
      <w:r w:rsidR="00CA40A9" w:rsidRPr="003730B5">
        <w:t>k </w:t>
      </w:r>
      <w:r w:rsidRPr="003730B5">
        <w:t xml:space="preserve">odsouvání podpůrčí doby.   </w:t>
      </w:r>
    </w:p>
    <w:p w14:paraId="07A0C321" w14:textId="68F2EC13" w:rsidR="0033309F" w:rsidRPr="003730B5" w:rsidRDefault="000E7EB6" w:rsidP="000E7EB6">
      <w:pPr>
        <w:widowControl w:val="0"/>
        <w:spacing w:before="120" w:after="120"/>
      </w:pPr>
      <w:r w:rsidRPr="003730B5">
        <w:t xml:space="preserve">Přetrvávající poptávka zaměstnavatelů po volné pracovní síle pozitivně ovlivňuje zaměstnávání osob pečujících </w:t>
      </w:r>
      <w:r w:rsidR="00CA40A9" w:rsidRPr="003730B5">
        <w:t>o </w:t>
      </w:r>
      <w:r w:rsidRPr="003730B5">
        <w:t xml:space="preserve">děti. Na podporu zaměstnávání těchto osob cílí opatření spočívající </w:t>
      </w:r>
      <w:r w:rsidR="00CA40A9" w:rsidRPr="003730B5">
        <w:t>v </w:t>
      </w:r>
      <w:r w:rsidRPr="003730B5">
        <w:t xml:space="preserve">možnosti uplatnění slevy na sociálním pojištění </w:t>
      </w:r>
      <w:r w:rsidR="00CA40A9" w:rsidRPr="003730B5">
        <w:t>u </w:t>
      </w:r>
      <w:r w:rsidRPr="003730B5">
        <w:t xml:space="preserve">zaměstnanců pracujících na zkrácený pracovní úvazek. Rovněž zákoník práce upravuje nástroje umožňující zaměstnanci či zaměstnankyni lepší slaďování rodinného </w:t>
      </w:r>
      <w:r w:rsidR="00CA40A9" w:rsidRPr="003730B5">
        <w:t>a </w:t>
      </w:r>
      <w:r w:rsidRPr="003730B5">
        <w:t xml:space="preserve">pracovního života, přičemž tato opatření též zvyšují šance na (znovu) získání pracovního uplatnění, ale též na setrvání </w:t>
      </w:r>
      <w:r w:rsidR="00CA40A9" w:rsidRPr="003730B5">
        <w:t>v </w:t>
      </w:r>
      <w:r w:rsidRPr="003730B5">
        <w:t xml:space="preserve">zaměstnání (např. kratší pracovní doba podle </w:t>
      </w:r>
      <w:r w:rsidR="00CA40A9" w:rsidRPr="003730B5">
        <w:t>§ </w:t>
      </w:r>
      <w:r w:rsidRPr="003730B5">
        <w:t xml:space="preserve">80 zákoníku práce, právo vyjmenovaných skupin zaměstnanců (například pečujících </w:t>
      </w:r>
      <w:r w:rsidR="00CA40A9" w:rsidRPr="003730B5">
        <w:t>o </w:t>
      </w:r>
      <w:r w:rsidRPr="003730B5">
        <w:t xml:space="preserve">dítě mladší 15 let) požádat </w:t>
      </w:r>
      <w:r w:rsidR="00CA40A9" w:rsidRPr="003730B5">
        <w:t>o </w:t>
      </w:r>
      <w:r w:rsidRPr="003730B5">
        <w:t xml:space="preserve">kratší pracovní dobu nebo jinou vhodnou </w:t>
      </w:r>
      <w:r w:rsidRPr="003730B5">
        <w:lastRenderedPageBreak/>
        <w:t xml:space="preserve">úpravu stanovené týdenní pracovní doby, které je zaměstnavatel povinen vyhovět, pokud mu </w:t>
      </w:r>
      <w:r w:rsidR="00CA40A9" w:rsidRPr="003730B5">
        <w:t>v </w:t>
      </w:r>
      <w:r w:rsidRPr="003730B5">
        <w:t xml:space="preserve">tom nebrání vážné provozní důvody, aj.). Vláda schválila návrh novely zákoníku práce, jehož cílem, mimo jiné, je transpozice směrnice Evropského parlamentu </w:t>
      </w:r>
      <w:r w:rsidR="00CA40A9" w:rsidRPr="003730B5">
        <w:t>a </w:t>
      </w:r>
      <w:r w:rsidRPr="003730B5">
        <w:t xml:space="preserve">Rady (EU) </w:t>
      </w:r>
      <w:r w:rsidR="00CA40A9" w:rsidRPr="003730B5">
        <w:t>č. </w:t>
      </w:r>
      <w:r w:rsidRPr="003730B5">
        <w:t xml:space="preserve">219/1158 </w:t>
      </w:r>
      <w:r w:rsidR="00CA40A9" w:rsidRPr="003730B5">
        <w:t>o </w:t>
      </w:r>
      <w:r w:rsidRPr="003730B5">
        <w:t xml:space="preserve">rovnováze mezi pracovním </w:t>
      </w:r>
      <w:r w:rsidR="00CA40A9" w:rsidRPr="003730B5">
        <w:t>a </w:t>
      </w:r>
      <w:r w:rsidRPr="003730B5">
        <w:t xml:space="preserve">soukromým životem rodičů </w:t>
      </w:r>
      <w:r w:rsidR="00CA40A9" w:rsidRPr="003730B5">
        <w:t>a </w:t>
      </w:r>
      <w:r w:rsidRPr="003730B5">
        <w:t xml:space="preserve">pečujících osob </w:t>
      </w:r>
      <w:r w:rsidR="00CA40A9" w:rsidRPr="003730B5">
        <w:t>a o </w:t>
      </w:r>
      <w:r w:rsidRPr="003730B5">
        <w:t>zrušení směrnice Rady 2010/18/EU.</w:t>
      </w:r>
      <w:r w:rsidR="00661A4F" w:rsidRPr="003730B5">
        <w:t xml:space="preserve"> </w:t>
      </w:r>
      <w:r w:rsidRPr="003730B5">
        <w:t xml:space="preserve">Nedostatek volné pracovní síly na trhu práce přispívá </w:t>
      </w:r>
      <w:r w:rsidR="00CA40A9" w:rsidRPr="003730B5">
        <w:t>k </w:t>
      </w:r>
      <w:r w:rsidRPr="003730B5">
        <w:t xml:space="preserve">ekonomické aktivitě osob pečujících </w:t>
      </w:r>
      <w:r w:rsidR="00CA40A9" w:rsidRPr="003730B5">
        <w:t>o </w:t>
      </w:r>
      <w:r w:rsidRPr="003730B5">
        <w:t xml:space="preserve">děti </w:t>
      </w:r>
      <w:r w:rsidR="00CA40A9" w:rsidRPr="003730B5">
        <w:t>a k </w:t>
      </w:r>
      <w:r w:rsidRPr="003730B5">
        <w:t xml:space="preserve">získání potřebné doby důchodového pojištění, </w:t>
      </w:r>
      <w:r w:rsidR="00CA40A9" w:rsidRPr="003730B5">
        <w:t>a </w:t>
      </w:r>
      <w:r w:rsidRPr="003730B5">
        <w:t xml:space="preserve">proto prodloužení délky doby důchodového pojištění nepředstavuje zásadní překážku pro vznik nároku na podporu </w:t>
      </w:r>
      <w:r w:rsidR="00CA40A9" w:rsidRPr="003730B5">
        <w:t>v </w:t>
      </w:r>
      <w:r w:rsidRPr="003730B5">
        <w:t xml:space="preserve">nezaměstnanosti. </w:t>
      </w:r>
      <w:r w:rsidR="00CA40A9" w:rsidRPr="003730B5">
        <w:t>V </w:t>
      </w:r>
      <w:r w:rsidRPr="003730B5">
        <w:t xml:space="preserve">případě nesplnění podmínek pro vznik nároku na podporu </w:t>
      </w:r>
      <w:r w:rsidR="00CA40A9" w:rsidRPr="003730B5">
        <w:t>v </w:t>
      </w:r>
      <w:r w:rsidRPr="003730B5">
        <w:t xml:space="preserve">nezaměstnanosti vstupují osoby do systému pomoci </w:t>
      </w:r>
      <w:r w:rsidR="00CA40A9" w:rsidRPr="003730B5">
        <w:t>v </w:t>
      </w:r>
      <w:r w:rsidRPr="003730B5">
        <w:t xml:space="preserve">hmotné nouzi, který na základě individuálního posouzení situace reaguje na potřeby rodin </w:t>
      </w:r>
      <w:r w:rsidR="00CA40A9" w:rsidRPr="003730B5">
        <w:t>a </w:t>
      </w:r>
      <w:r w:rsidRPr="003730B5">
        <w:t xml:space="preserve">slouží </w:t>
      </w:r>
      <w:r w:rsidR="00CA40A9" w:rsidRPr="003730B5">
        <w:t>k </w:t>
      </w:r>
      <w:r w:rsidRPr="003730B5">
        <w:t xml:space="preserve">poskytnutí finanční pomoci, taktéž dávky státní sociální podpory.     </w:t>
      </w:r>
    </w:p>
    <w:p w14:paraId="760D8B2A" w14:textId="232D4759" w:rsidR="003E1250" w:rsidRPr="003730B5" w:rsidRDefault="00C424BE" w:rsidP="006F504E">
      <w:pPr>
        <w:pStyle w:val="Nadpis2"/>
        <w:keepNext w:val="0"/>
        <w:widowControl w:val="0"/>
        <w:numPr>
          <w:ilvl w:val="1"/>
          <w:numId w:val="28"/>
        </w:numPr>
        <w:shd w:val="clear" w:color="auto" w:fill="FFFFFF"/>
        <w:jc w:val="both"/>
        <w:rPr>
          <w:rFonts w:cs="Times New Roman"/>
        </w:rPr>
      </w:pPr>
      <w:r w:rsidRPr="003730B5">
        <w:rPr>
          <w:rFonts w:cs="Times New Roman"/>
        </w:rPr>
        <w:t>Z</w:t>
      </w:r>
      <w:r w:rsidR="003E1250" w:rsidRPr="003730B5">
        <w:rPr>
          <w:rFonts w:cs="Times New Roman"/>
        </w:rPr>
        <w:t>hodnocení územních dopadů, včetně dopadů na územní samosprávné celky</w:t>
      </w:r>
    </w:p>
    <w:p w14:paraId="3F021927" w14:textId="4AD7DE57" w:rsidR="000D6A0B" w:rsidRPr="003730B5" w:rsidRDefault="000D6A0B" w:rsidP="00C424BE">
      <w:pPr>
        <w:widowControl w:val="0"/>
        <w:spacing w:before="120" w:after="120"/>
      </w:pPr>
      <w:r w:rsidRPr="003730B5">
        <w:t xml:space="preserve">Opatření obsažená </w:t>
      </w:r>
      <w:r w:rsidR="00CA40A9" w:rsidRPr="003730B5">
        <w:t>v </w:t>
      </w:r>
      <w:r w:rsidRPr="003730B5">
        <w:t xml:space="preserve">návrhu zákona buď dopady do uvedených oblastí nemají, anebo tyto dopady vyplývají </w:t>
      </w:r>
      <w:r w:rsidR="00CA40A9" w:rsidRPr="003730B5">
        <w:t>z </w:t>
      </w:r>
      <w:r w:rsidRPr="003730B5">
        <w:t xml:space="preserve">povahy </w:t>
      </w:r>
      <w:r w:rsidR="00CA40A9" w:rsidRPr="003730B5">
        <w:t>a </w:t>
      </w:r>
      <w:r w:rsidRPr="003730B5">
        <w:t xml:space="preserve">popisu opatření samotných </w:t>
      </w:r>
      <w:r w:rsidR="00CA40A9" w:rsidRPr="003730B5">
        <w:t>v </w:t>
      </w:r>
      <w:r w:rsidRPr="003730B5">
        <w:t>jiných částech této důvodové zprávy. Nad rámec této skutečnosti lze uvést následující případy konkrétních dopadů.</w:t>
      </w:r>
    </w:p>
    <w:p w14:paraId="74C753AF" w14:textId="3A0F3F52" w:rsidR="00253839" w:rsidRPr="003730B5" w:rsidRDefault="00316C31" w:rsidP="00680A90">
      <w:pPr>
        <w:pStyle w:val="Nadpis2"/>
        <w:keepNext w:val="0"/>
        <w:widowControl w:val="0"/>
        <w:numPr>
          <w:ilvl w:val="0"/>
          <w:numId w:val="0"/>
        </w:numPr>
        <w:shd w:val="clear" w:color="auto" w:fill="FFFFFF"/>
        <w:tabs>
          <w:tab w:val="left" w:pos="567"/>
        </w:tabs>
        <w:jc w:val="both"/>
        <w:rPr>
          <w:i/>
          <w:sz w:val="24"/>
        </w:rPr>
      </w:pPr>
      <w:r w:rsidRPr="003730B5">
        <w:rPr>
          <w:i/>
          <w:sz w:val="24"/>
        </w:rPr>
        <w:t>Změna v oblasti regulace silničního provozu</w:t>
      </w:r>
    </w:p>
    <w:p w14:paraId="246430C1" w14:textId="015DD327" w:rsidR="00253839" w:rsidRPr="003730B5" w:rsidRDefault="00253839" w:rsidP="00316C31">
      <w:pPr>
        <w:widowControl w:val="0"/>
        <w:spacing w:before="120" w:after="120"/>
      </w:pPr>
      <w:r w:rsidRPr="003730B5">
        <w:t xml:space="preserve">Zvýšení sazeb časového poplatku </w:t>
      </w:r>
      <w:r w:rsidR="00CA40A9" w:rsidRPr="003730B5">
        <w:t>a </w:t>
      </w:r>
      <w:r w:rsidRPr="003730B5">
        <w:t xml:space="preserve">mýtného může vyvolat dílčí negativní dopad na rozpočty územních samosprávních celků, budou-li na zpoplatněných pozemních komunikacích provozovat vozidla, jež nejsou od úhrady těchto poplatků osvobozena podle </w:t>
      </w:r>
      <w:r w:rsidR="00CA40A9" w:rsidRPr="003730B5">
        <w:t>§ </w:t>
      </w:r>
      <w:r w:rsidRPr="003730B5">
        <w:t xml:space="preserve">20a zákona </w:t>
      </w:r>
      <w:r w:rsidR="00CA40A9" w:rsidRPr="003730B5">
        <w:t>o </w:t>
      </w:r>
      <w:r w:rsidRPr="003730B5">
        <w:t xml:space="preserve">pozemních komunikacích. </w:t>
      </w:r>
    </w:p>
    <w:p w14:paraId="32AF20F9" w14:textId="2852A320" w:rsidR="00253839" w:rsidRPr="003730B5" w:rsidRDefault="00253839" w:rsidP="00253839">
      <w:pPr>
        <w:widowControl w:val="0"/>
        <w:spacing w:after="120"/>
      </w:pPr>
      <w:r w:rsidRPr="003730B5">
        <w:t xml:space="preserve">Návrh zákona přináší významné snížení nebo zjednodušení agendy vykonávané krajskými úřady, obecními úřady obcí </w:t>
      </w:r>
      <w:r w:rsidR="00CA40A9" w:rsidRPr="003730B5">
        <w:t>s </w:t>
      </w:r>
      <w:r w:rsidRPr="003730B5">
        <w:t xml:space="preserve">rozšířenou působností </w:t>
      </w:r>
      <w:r w:rsidR="00CA40A9" w:rsidRPr="003730B5">
        <w:t>a </w:t>
      </w:r>
      <w:r w:rsidRPr="003730B5">
        <w:t xml:space="preserve">obecními úřady, budou-li vystupovat </w:t>
      </w:r>
      <w:r w:rsidR="00CA40A9" w:rsidRPr="003730B5">
        <w:t>v </w:t>
      </w:r>
      <w:r w:rsidRPr="003730B5">
        <w:t xml:space="preserve">roli silničního správního úřadu. </w:t>
      </w:r>
      <w:r w:rsidR="00CA40A9" w:rsidRPr="003730B5">
        <w:t>V </w:t>
      </w:r>
      <w:r w:rsidRPr="003730B5">
        <w:t xml:space="preserve">oblasti povolování zvláštního užívání pozemních komunikací nadměrnými vozidly </w:t>
      </w:r>
      <w:r w:rsidR="00CA40A9" w:rsidRPr="003730B5">
        <w:t>k </w:t>
      </w:r>
      <w:r w:rsidRPr="003730B5">
        <w:t xml:space="preserve">tomu vede návrh zákona zejména tím, že </w:t>
      </w:r>
    </w:p>
    <w:p w14:paraId="0390C787" w14:textId="3ACE2B0F" w:rsidR="00253839" w:rsidRPr="003730B5" w:rsidRDefault="00253839" w:rsidP="00D16775">
      <w:pPr>
        <w:pStyle w:val="Odstavecseseznamem"/>
        <w:widowControl w:val="0"/>
        <w:numPr>
          <w:ilvl w:val="0"/>
          <w:numId w:val="46"/>
        </w:numPr>
        <w:spacing w:after="120"/>
      </w:pPr>
      <w:r w:rsidRPr="003730B5">
        <w:t xml:space="preserve">veškeré opakované zvláštní užívání dálnic, silnic </w:t>
      </w:r>
      <w:r w:rsidR="00CA40A9" w:rsidRPr="003730B5">
        <w:t>a </w:t>
      </w:r>
      <w:r w:rsidRPr="003730B5">
        <w:t xml:space="preserve">místních komunikací I. </w:t>
      </w:r>
      <w:r w:rsidR="00CA40A9" w:rsidRPr="003730B5">
        <w:t>a </w:t>
      </w:r>
      <w:r w:rsidRPr="003730B5">
        <w:t xml:space="preserve">II. třídy na území hlavního města Prahy bude povolovat výlučně Ministerstvo dopravy,  </w:t>
      </w:r>
    </w:p>
    <w:p w14:paraId="6EF81AF9" w14:textId="77777777" w:rsidR="00316C31" w:rsidRPr="003730B5" w:rsidRDefault="00253839" w:rsidP="00D16775">
      <w:pPr>
        <w:pStyle w:val="Odstavecseseznamem"/>
        <w:widowControl w:val="0"/>
        <w:numPr>
          <w:ilvl w:val="0"/>
          <w:numId w:val="46"/>
        </w:numPr>
        <w:spacing w:after="120"/>
      </w:pPr>
      <w:r w:rsidRPr="003730B5">
        <w:t xml:space="preserve">dojde </w:t>
      </w:r>
      <w:r w:rsidR="00CA40A9" w:rsidRPr="003730B5">
        <w:t>k </w:t>
      </w:r>
      <w:r w:rsidRPr="003730B5">
        <w:t xml:space="preserve">modifikaci kompetencí silničních správních úřadů </w:t>
      </w:r>
      <w:r w:rsidR="00CA40A9" w:rsidRPr="003730B5">
        <w:t>k </w:t>
      </w:r>
      <w:r w:rsidRPr="003730B5">
        <w:t xml:space="preserve">vydání povolení tak, aby tato povolení mohla pokrýt celou trasu přepravy požadovanou dopravci či jinými žadateli, aniž by se tito žadatelé museli </w:t>
      </w:r>
      <w:r w:rsidR="00CA40A9" w:rsidRPr="003730B5">
        <w:t>s </w:t>
      </w:r>
      <w:r w:rsidRPr="003730B5">
        <w:t>jednotlivými dílčími žádostmi obracet na různé silniční správní úřady,</w:t>
      </w:r>
    </w:p>
    <w:p w14:paraId="02643098" w14:textId="44EDB9A7" w:rsidR="00253839" w:rsidRPr="003730B5" w:rsidRDefault="00253839" w:rsidP="00D16775">
      <w:pPr>
        <w:pStyle w:val="Odstavecseseznamem"/>
        <w:widowControl w:val="0"/>
        <w:numPr>
          <w:ilvl w:val="0"/>
          <w:numId w:val="46"/>
        </w:numPr>
        <w:spacing w:after="120"/>
      </w:pPr>
      <w:r w:rsidRPr="003730B5">
        <w:t xml:space="preserve">příslušné správní řízení bude vedeno podle zvláštních procesních pravidel, odchylných od správního řádu. </w:t>
      </w:r>
    </w:p>
    <w:p w14:paraId="58A8F795" w14:textId="2485F2C9" w:rsidR="00253839" w:rsidRPr="003730B5" w:rsidRDefault="00253839" w:rsidP="00253839">
      <w:pPr>
        <w:widowControl w:val="0"/>
        <w:spacing w:after="120"/>
      </w:pPr>
      <w:r w:rsidRPr="003730B5">
        <w:t xml:space="preserve">Za účelem snížení stávající agendy vykonávané silničními správními úřady dále návrh zákona vylučuje </w:t>
      </w:r>
      <w:r w:rsidR="00CA40A9" w:rsidRPr="003730B5">
        <w:t>z </w:t>
      </w:r>
      <w:r w:rsidRPr="003730B5">
        <w:t xml:space="preserve">konceptu zvláštního užívání dálnice, silnice nebo místní komunikace provádění stavebních prací </w:t>
      </w:r>
      <w:r w:rsidR="00CA40A9" w:rsidRPr="003730B5">
        <w:t>v </w:t>
      </w:r>
      <w:r w:rsidRPr="003730B5">
        <w:t>případech, kdy tyto práce podléhají povolení záměru podle nového stavebního zákona (nebude tedy zapotřebí povolení zvláštního užívání pozemních komunikací).</w:t>
      </w:r>
    </w:p>
    <w:p w14:paraId="4819796C" w14:textId="13302054" w:rsidR="00253839" w:rsidRPr="003730B5" w:rsidRDefault="00253839" w:rsidP="00253839">
      <w:pPr>
        <w:widowControl w:val="0"/>
        <w:spacing w:after="120"/>
      </w:pPr>
      <w:r w:rsidRPr="003730B5">
        <w:t>Návrh zákona je též příznivý pro kraje tím, že jim od</w:t>
      </w:r>
      <w:r w:rsidR="00316C31" w:rsidRPr="003730B5">
        <w:t>nímá</w:t>
      </w:r>
      <w:r w:rsidRPr="003730B5">
        <w:t xml:space="preserve"> zákonnou odpovědnost za zajištění vysokorychlostního </w:t>
      </w:r>
      <w:r w:rsidR="00CA40A9" w:rsidRPr="003730B5">
        <w:t>i </w:t>
      </w:r>
      <w:r w:rsidRPr="003730B5">
        <w:t xml:space="preserve">nízkorychlostního kontrolního vážení na silnicích I. třídy, které nevlastní. Na druhé straně dochází, oproti stávající právní úpravě, </w:t>
      </w:r>
      <w:r w:rsidR="00CA40A9" w:rsidRPr="003730B5">
        <w:t>k </w:t>
      </w:r>
      <w:r w:rsidRPr="003730B5">
        <w:t xml:space="preserve">odlišnému přerozdělení příjmů </w:t>
      </w:r>
      <w:r w:rsidR="00CA40A9" w:rsidRPr="003730B5">
        <w:t>z </w:t>
      </w:r>
      <w:r w:rsidRPr="003730B5">
        <w:t xml:space="preserve">pokut uložených provozovatelům vozidel nebo jízdních souprav za přestupky spočívající </w:t>
      </w:r>
      <w:r w:rsidR="00CA40A9" w:rsidRPr="003730B5">
        <w:t>v </w:t>
      </w:r>
      <w:r w:rsidRPr="003730B5">
        <w:t xml:space="preserve">provozování nadměrných vozidel, </w:t>
      </w:r>
      <w:r w:rsidR="00CA40A9" w:rsidRPr="003730B5">
        <w:t>a </w:t>
      </w:r>
      <w:r w:rsidRPr="003730B5">
        <w:t xml:space="preserve">to právě mezi územními samosprávnými celky. Změny prospějí rozpočtům obcí </w:t>
      </w:r>
      <w:r w:rsidR="00CA40A9" w:rsidRPr="003730B5">
        <w:t>s </w:t>
      </w:r>
      <w:r w:rsidRPr="003730B5">
        <w:t xml:space="preserve">rozšířenou působností, </w:t>
      </w:r>
      <w:r w:rsidR="00CA40A9" w:rsidRPr="003730B5">
        <w:t>u </w:t>
      </w:r>
      <w:r w:rsidRPr="003730B5">
        <w:t xml:space="preserve">nichž je navrženo zvýšení stávajícího podílu na příjmu </w:t>
      </w:r>
      <w:r w:rsidR="00CA40A9" w:rsidRPr="003730B5">
        <w:t>z </w:t>
      </w:r>
      <w:r w:rsidRPr="003730B5">
        <w:t xml:space="preserve">pokut </w:t>
      </w:r>
      <w:r w:rsidR="00CA40A9" w:rsidRPr="003730B5">
        <w:t>z </w:t>
      </w:r>
      <w:r w:rsidRPr="003730B5">
        <w:t>15 % na 30 %.</w:t>
      </w:r>
    </w:p>
    <w:p w14:paraId="49AD8DE0" w14:textId="2B1BAB23" w:rsidR="0003045D" w:rsidRPr="003730B5" w:rsidRDefault="00662BB7" w:rsidP="00D16775">
      <w:pPr>
        <w:pStyle w:val="Nadpis2"/>
        <w:numPr>
          <w:ilvl w:val="1"/>
          <w:numId w:val="28"/>
        </w:numPr>
        <w:shd w:val="clear" w:color="auto" w:fill="FFFFFF"/>
        <w:jc w:val="both"/>
        <w:rPr>
          <w:rFonts w:cs="Times New Roman"/>
        </w:rPr>
      </w:pPr>
      <w:r w:rsidRPr="003730B5">
        <w:rPr>
          <w:rFonts w:cs="Times New Roman"/>
        </w:rPr>
        <w:lastRenderedPageBreak/>
        <w:t>Zhodnocení souladu se zásadami pro tvorbu digitálně přívětivé legislativy (DPL)</w:t>
      </w:r>
    </w:p>
    <w:p w14:paraId="0B7AA384" w14:textId="10C4E749" w:rsidR="000D6A0B" w:rsidRPr="003730B5" w:rsidRDefault="00662BB7" w:rsidP="000D6A0B">
      <w:pPr>
        <w:widowControl w:val="0"/>
        <w:autoSpaceDE w:val="0"/>
        <w:autoSpaceDN w:val="0"/>
        <w:adjustRightInd w:val="0"/>
        <w:spacing w:after="120"/>
      </w:pPr>
      <w:r w:rsidRPr="003730B5">
        <w:rPr>
          <w:rFonts w:eastAsia="Calibri"/>
          <w:lang w:eastAsia="en-US"/>
        </w:rPr>
        <w:t>V rámci této kapitoly je zhodnocen soulad navrhovaného právního předpisu s hlavními deseti zásadami pro tvorbu digitálně přívětivé legislativy.</w:t>
      </w:r>
      <w:r w:rsidR="000D6A0B" w:rsidRPr="003730B5">
        <w:rPr>
          <w:rFonts w:eastAsia="Calibri"/>
          <w:lang w:eastAsia="en-US"/>
        </w:rPr>
        <w:t xml:space="preserve"> </w:t>
      </w:r>
      <w:r w:rsidR="000D6A0B" w:rsidRPr="003730B5">
        <w:t xml:space="preserve">Opatření obsažená v návrhu zákona buď dopady do uvedené oblasti nemají, anebo tyto dopady vyplývají z povahy </w:t>
      </w:r>
      <w:r w:rsidR="00CA40A9" w:rsidRPr="003730B5">
        <w:t>a </w:t>
      </w:r>
      <w:r w:rsidR="000D6A0B" w:rsidRPr="003730B5">
        <w:t>popisu opatření samotných v jiných částech této důvodové zprávy. Nad rámec této skutečnosti lze uvést následující případy konkrétních dopadů.</w:t>
      </w:r>
    </w:p>
    <w:p w14:paraId="29861450" w14:textId="21E02976" w:rsidR="00662BB7" w:rsidRPr="003730B5" w:rsidRDefault="00662BB7" w:rsidP="00D16775">
      <w:pPr>
        <w:pStyle w:val="Nadpis2"/>
        <w:numPr>
          <w:ilvl w:val="2"/>
          <w:numId w:val="28"/>
        </w:numPr>
        <w:shd w:val="clear" w:color="auto" w:fill="FFFFFF"/>
        <w:jc w:val="both"/>
        <w:rPr>
          <w:sz w:val="28"/>
        </w:rPr>
      </w:pPr>
      <w:r w:rsidRPr="003730B5">
        <w:rPr>
          <w:rFonts w:cs="Times New Roman"/>
          <w:sz w:val="28"/>
        </w:rPr>
        <w:t>Budování</w:t>
      </w:r>
      <w:r w:rsidRPr="003730B5">
        <w:rPr>
          <w:sz w:val="28"/>
        </w:rPr>
        <w:t xml:space="preserve"> přednostně digitálních služeb (princip digital by default)</w:t>
      </w:r>
    </w:p>
    <w:p w14:paraId="39CB80EB" w14:textId="1F1E2587" w:rsidR="00DA7930" w:rsidRPr="003730B5" w:rsidRDefault="00C74707" w:rsidP="008F2906">
      <w:pPr>
        <w:widowControl w:val="0"/>
        <w:autoSpaceDE w:val="0"/>
        <w:autoSpaceDN w:val="0"/>
        <w:adjustRightInd w:val="0"/>
        <w:spacing w:after="120"/>
        <w:rPr>
          <w:rFonts w:eastAsia="Calibri"/>
          <w:lang w:eastAsia="en-US"/>
        </w:rPr>
      </w:pPr>
      <w:r w:rsidRPr="003730B5">
        <w:rPr>
          <w:rFonts w:eastAsia="Calibri"/>
          <w:lang w:eastAsia="en-US"/>
        </w:rPr>
        <w:t xml:space="preserve">Návrh zákona nemá sám </w:t>
      </w:r>
      <w:r w:rsidR="00E712DE" w:rsidRPr="003730B5">
        <w:rPr>
          <w:rFonts w:eastAsia="Calibri"/>
          <w:lang w:eastAsia="en-US"/>
        </w:rPr>
        <w:t>o </w:t>
      </w:r>
      <w:r w:rsidRPr="003730B5">
        <w:rPr>
          <w:rFonts w:eastAsia="Calibri"/>
          <w:lang w:eastAsia="en-US"/>
        </w:rPr>
        <w:t>sobě vliv na digitální služby</w:t>
      </w:r>
      <w:r w:rsidR="00554927" w:rsidRPr="003730B5">
        <w:rPr>
          <w:rFonts w:eastAsia="Calibri"/>
          <w:lang w:eastAsia="en-US"/>
        </w:rPr>
        <w:t>, není-li uvedeno jinak</w:t>
      </w:r>
      <w:r w:rsidRPr="003730B5">
        <w:rPr>
          <w:rFonts w:eastAsia="Calibri"/>
          <w:lang w:eastAsia="en-US"/>
        </w:rPr>
        <w:t>.</w:t>
      </w:r>
    </w:p>
    <w:p w14:paraId="63A6D96F" w14:textId="33E79981" w:rsidR="004C5898" w:rsidRPr="003730B5" w:rsidRDefault="00E44C28" w:rsidP="004C5898">
      <w:pPr>
        <w:widowControl w:val="0"/>
        <w:autoSpaceDE w:val="0"/>
        <w:autoSpaceDN w:val="0"/>
        <w:adjustRightInd w:val="0"/>
        <w:spacing w:after="120"/>
      </w:pPr>
      <w:r w:rsidRPr="003730B5">
        <w:t>V souvislosti s navrženou změnou v oblasti regulace silničního provozu lze uvést, že p</w:t>
      </w:r>
      <w:r w:rsidR="004C5898" w:rsidRPr="003730B5">
        <w:t xml:space="preserve">rincip budování přednostně digitálních služeb se významně promítá do navržené právní úpravy povolování zvláštního užívání pozemních komunikací nadměrnými vozidly, jde-li </w:t>
      </w:r>
      <w:r w:rsidR="00CA40A9" w:rsidRPr="003730B5">
        <w:t>o </w:t>
      </w:r>
      <w:r w:rsidR="004C5898" w:rsidRPr="003730B5">
        <w:t xml:space="preserve">řízení vedená Ministerstvem dopravy. Podle předloženého návrhu zákona bude povinností žadatelů </w:t>
      </w:r>
      <w:r w:rsidR="00CA40A9" w:rsidRPr="003730B5">
        <w:t>v </w:t>
      </w:r>
      <w:r w:rsidR="004C5898" w:rsidRPr="003730B5">
        <w:t xml:space="preserve">pozici právnických nebo podnikajících fyzických osob podávat žádosti </w:t>
      </w:r>
      <w:r w:rsidR="00CA40A9" w:rsidRPr="003730B5">
        <w:t>o </w:t>
      </w:r>
      <w:r w:rsidR="004C5898" w:rsidRPr="003730B5">
        <w:t xml:space="preserve">povolení zvláštního užívání pozemní komunikace nadměrným vozidlem prostřednictvím portálu spravovaného Ministerstvem dopravy </w:t>
      </w:r>
      <w:r w:rsidR="00CA40A9" w:rsidRPr="003730B5">
        <w:t>a </w:t>
      </w:r>
      <w:r w:rsidR="004C5898" w:rsidRPr="003730B5">
        <w:t xml:space="preserve">bude též povinností vlastníků dotčených pozemních komunikací </w:t>
      </w:r>
      <w:r w:rsidR="00CA40A9" w:rsidRPr="003730B5">
        <w:t>a </w:t>
      </w:r>
      <w:r w:rsidR="004C5898" w:rsidRPr="003730B5">
        <w:t xml:space="preserve">dotčených orgánů komunikovat tímto způsobem </w:t>
      </w:r>
      <w:r w:rsidR="00CA40A9" w:rsidRPr="003730B5">
        <w:t>s </w:t>
      </w:r>
      <w:r w:rsidR="004C5898" w:rsidRPr="003730B5">
        <w:t xml:space="preserve">Ministerstvem dopravy </w:t>
      </w:r>
      <w:r w:rsidR="00CA40A9" w:rsidRPr="003730B5">
        <w:t>v </w:t>
      </w:r>
      <w:r w:rsidR="004C5898" w:rsidRPr="003730B5">
        <w:t xml:space="preserve">jím vedeném řízení. Návrh takovéto právní úpravy tak reflektuje cíl </w:t>
      </w:r>
      <w:r w:rsidR="00CA40A9" w:rsidRPr="003730B5">
        <w:t>v </w:t>
      </w:r>
      <w:r w:rsidR="004C5898" w:rsidRPr="003730B5">
        <w:t xml:space="preserve">podobě realizace služeb primárně </w:t>
      </w:r>
      <w:r w:rsidR="00CA40A9" w:rsidRPr="003730B5">
        <w:t>v </w:t>
      </w:r>
      <w:r w:rsidR="004C5898" w:rsidRPr="003730B5">
        <w:t>elektronické podobě, přičemž pro vnitřní chod veřejné správy bude elektronická komunikace povinnou.</w:t>
      </w:r>
      <w:r w:rsidRPr="003730B5">
        <w:t xml:space="preserve"> </w:t>
      </w:r>
      <w:r w:rsidR="004C5898" w:rsidRPr="003730B5">
        <w:t xml:space="preserve">Výše uvedený princip je zhmotněn též </w:t>
      </w:r>
      <w:r w:rsidR="00CA40A9" w:rsidRPr="003730B5">
        <w:t>v </w:t>
      </w:r>
      <w:r w:rsidR="004C5898" w:rsidRPr="003730B5">
        <w:t xml:space="preserve">navržené právní úpravě, dle níž bude doklad </w:t>
      </w:r>
      <w:r w:rsidR="00CA40A9" w:rsidRPr="003730B5">
        <w:t>o </w:t>
      </w:r>
      <w:r w:rsidR="004C5898" w:rsidRPr="003730B5">
        <w:t xml:space="preserve">vyúčtovaném mýtném vydáván </w:t>
      </w:r>
      <w:r w:rsidR="00CA40A9" w:rsidRPr="003730B5">
        <w:t>v </w:t>
      </w:r>
      <w:r w:rsidR="004C5898" w:rsidRPr="003730B5">
        <w:t xml:space="preserve">elektronické podobě.   </w:t>
      </w:r>
    </w:p>
    <w:p w14:paraId="56F8B457" w14:textId="374359F6" w:rsidR="00E44C28" w:rsidRPr="003730B5" w:rsidRDefault="00E44C28" w:rsidP="004C5898">
      <w:pPr>
        <w:widowControl w:val="0"/>
        <w:autoSpaceDE w:val="0"/>
        <w:autoSpaceDN w:val="0"/>
        <w:adjustRightInd w:val="0"/>
        <w:spacing w:after="120"/>
      </w:pPr>
      <w:r w:rsidRPr="003730B5">
        <w:t xml:space="preserve">Rozšiřování digitálních služeb je rovně podstatou elektronizace příkazových bloků v rámci návrhu změn zákona </w:t>
      </w:r>
      <w:r w:rsidR="00552598" w:rsidRPr="003730B5">
        <w:t>o </w:t>
      </w:r>
      <w:r w:rsidRPr="003730B5">
        <w:t>přestupcích. V této věci lze odkázat na zdůvodnění tohoto návrhu</w:t>
      </w:r>
      <w:r w:rsidR="00611C04" w:rsidRPr="003730B5">
        <w:t>, což platí pro následující body</w:t>
      </w:r>
      <w:r w:rsidRPr="003730B5">
        <w:t>.</w:t>
      </w:r>
    </w:p>
    <w:p w14:paraId="382F4542" w14:textId="156B5610" w:rsidR="00662BB7" w:rsidRPr="003730B5" w:rsidRDefault="00662BB7" w:rsidP="00D16775">
      <w:pPr>
        <w:pStyle w:val="Nadpis2"/>
        <w:numPr>
          <w:ilvl w:val="2"/>
          <w:numId w:val="28"/>
        </w:numPr>
        <w:shd w:val="clear" w:color="auto" w:fill="FFFFFF"/>
        <w:jc w:val="both"/>
        <w:rPr>
          <w:rFonts w:cs="Times New Roman"/>
          <w:sz w:val="28"/>
        </w:rPr>
      </w:pPr>
      <w:r w:rsidRPr="003730B5">
        <w:rPr>
          <w:rFonts w:cs="Times New Roman"/>
          <w:sz w:val="28"/>
        </w:rPr>
        <w:t>Maximální opakovatelnost a znovu</w:t>
      </w:r>
      <w:r w:rsidR="002908E8" w:rsidRPr="003730B5">
        <w:rPr>
          <w:rFonts w:cs="Times New Roman"/>
          <w:sz w:val="28"/>
        </w:rPr>
        <w:t xml:space="preserve"> </w:t>
      </w:r>
      <w:r w:rsidRPr="003730B5">
        <w:rPr>
          <w:rFonts w:cs="Times New Roman"/>
          <w:sz w:val="28"/>
        </w:rPr>
        <w:t>použitelnost údajů a služeb (princip only once)</w:t>
      </w:r>
    </w:p>
    <w:p w14:paraId="55E635EA" w14:textId="3288EB1D" w:rsidR="00DA7930" w:rsidRPr="003730B5" w:rsidRDefault="00AF0EE0" w:rsidP="008F2906">
      <w:pPr>
        <w:widowControl w:val="0"/>
        <w:autoSpaceDE w:val="0"/>
        <w:autoSpaceDN w:val="0"/>
        <w:adjustRightInd w:val="0"/>
        <w:spacing w:after="120"/>
        <w:rPr>
          <w:szCs w:val="24"/>
        </w:rPr>
      </w:pPr>
      <w:r w:rsidRPr="003730B5">
        <w:rPr>
          <w:szCs w:val="24"/>
        </w:rPr>
        <w:t xml:space="preserve">Změny </w:t>
      </w:r>
      <w:r w:rsidR="00C74707" w:rsidRPr="003730B5">
        <w:rPr>
          <w:szCs w:val="24"/>
        </w:rPr>
        <w:t>v daňové oblasti</w:t>
      </w:r>
      <w:r w:rsidRPr="003730B5">
        <w:rPr>
          <w:szCs w:val="24"/>
        </w:rPr>
        <w:t xml:space="preserve"> nezavádějí povinnost sdělovat správci daně skutečnosti, které má již k</w:t>
      </w:r>
      <w:r w:rsidR="00C74707" w:rsidRPr="003730B5">
        <w:rPr>
          <w:szCs w:val="24"/>
        </w:rPr>
        <w:t> </w:t>
      </w:r>
      <w:r w:rsidRPr="003730B5">
        <w:rPr>
          <w:szCs w:val="24"/>
        </w:rPr>
        <w:t xml:space="preserve">dispozici. </w:t>
      </w:r>
    </w:p>
    <w:p w14:paraId="129447E4" w14:textId="1EA4854A" w:rsidR="004C5898" w:rsidRPr="003730B5" w:rsidRDefault="00611C04" w:rsidP="004C5898">
      <w:pPr>
        <w:widowControl w:val="0"/>
        <w:autoSpaceDE w:val="0"/>
        <w:autoSpaceDN w:val="0"/>
        <w:adjustRightInd w:val="0"/>
        <w:spacing w:after="120"/>
        <w:rPr>
          <w:szCs w:val="24"/>
        </w:rPr>
      </w:pPr>
      <w:r w:rsidRPr="003730B5">
        <w:t>V souvislosti s navrženou změnou v oblasti regulace silničního provozu lze uvést, že c</w:t>
      </w:r>
      <w:r w:rsidR="004C5898" w:rsidRPr="003730B5">
        <w:rPr>
          <w:szCs w:val="24"/>
        </w:rPr>
        <w:t xml:space="preserve">íl spočívající </w:t>
      </w:r>
      <w:r w:rsidR="00CA40A9" w:rsidRPr="003730B5">
        <w:rPr>
          <w:szCs w:val="24"/>
        </w:rPr>
        <w:t>v </w:t>
      </w:r>
      <w:r w:rsidR="004C5898" w:rsidRPr="003730B5">
        <w:rPr>
          <w:szCs w:val="24"/>
        </w:rPr>
        <w:t xml:space="preserve">tom, aby údaje využívané veřejnou správou nemusely být znovu dokládány, sleduje návrh zákona </w:t>
      </w:r>
      <w:r w:rsidR="00CA40A9" w:rsidRPr="003730B5">
        <w:rPr>
          <w:szCs w:val="24"/>
        </w:rPr>
        <w:t>v </w:t>
      </w:r>
      <w:r w:rsidR="004C5898" w:rsidRPr="003730B5">
        <w:rPr>
          <w:szCs w:val="24"/>
        </w:rPr>
        <w:t xml:space="preserve">minimalistickém pojetí náležitostí žádosti </w:t>
      </w:r>
      <w:r w:rsidR="00CA40A9" w:rsidRPr="003730B5">
        <w:rPr>
          <w:szCs w:val="24"/>
        </w:rPr>
        <w:t>o </w:t>
      </w:r>
      <w:r w:rsidR="004C5898" w:rsidRPr="003730B5">
        <w:rPr>
          <w:szCs w:val="24"/>
        </w:rPr>
        <w:t xml:space="preserve">povolení zvláštního užívání pozemní komunikace nadměrným vozidlem. Detaily sice stanoví ještě prováděcí právní úprava, nicméně se předpokládá, že nebude třeba </w:t>
      </w:r>
      <w:r w:rsidR="00CA40A9" w:rsidRPr="003730B5">
        <w:rPr>
          <w:szCs w:val="24"/>
        </w:rPr>
        <w:t>v </w:t>
      </w:r>
      <w:r w:rsidR="004C5898" w:rsidRPr="003730B5">
        <w:rPr>
          <w:szCs w:val="24"/>
        </w:rPr>
        <w:t xml:space="preserve">řízení dokládat ty údaje, jimiž budou silniční správní úřady disponovat. Za tím účelem návrh zákona novelizuje rovněž zákon </w:t>
      </w:r>
      <w:r w:rsidR="00CA40A9" w:rsidRPr="003730B5">
        <w:rPr>
          <w:szCs w:val="24"/>
        </w:rPr>
        <w:t>o </w:t>
      </w:r>
      <w:r w:rsidR="004C5898" w:rsidRPr="003730B5">
        <w:rPr>
          <w:szCs w:val="24"/>
        </w:rPr>
        <w:t xml:space="preserve">podmínkách provozu vozidel na pozemních komunikacích </w:t>
      </w:r>
      <w:r w:rsidR="00CA40A9" w:rsidRPr="003730B5">
        <w:rPr>
          <w:szCs w:val="24"/>
        </w:rPr>
        <w:t>a </w:t>
      </w:r>
      <w:r w:rsidR="004C5898" w:rsidRPr="003730B5">
        <w:rPr>
          <w:szCs w:val="24"/>
        </w:rPr>
        <w:t xml:space="preserve">počítá </w:t>
      </w:r>
      <w:r w:rsidR="00CA40A9" w:rsidRPr="003730B5">
        <w:rPr>
          <w:szCs w:val="24"/>
        </w:rPr>
        <w:t>s </w:t>
      </w:r>
      <w:r w:rsidR="004C5898" w:rsidRPr="003730B5">
        <w:rPr>
          <w:szCs w:val="24"/>
        </w:rPr>
        <w:t xml:space="preserve">přístupem silničních správních úřadů </w:t>
      </w:r>
      <w:r w:rsidR="00CA40A9" w:rsidRPr="003730B5">
        <w:rPr>
          <w:szCs w:val="24"/>
        </w:rPr>
        <w:t>k </w:t>
      </w:r>
      <w:r w:rsidR="004C5898" w:rsidRPr="003730B5">
        <w:rPr>
          <w:szCs w:val="24"/>
        </w:rPr>
        <w:t xml:space="preserve">vybraným údajům </w:t>
      </w:r>
      <w:r w:rsidR="00CA40A9" w:rsidRPr="003730B5">
        <w:rPr>
          <w:szCs w:val="24"/>
        </w:rPr>
        <w:t>z </w:t>
      </w:r>
      <w:r w:rsidR="004C5898" w:rsidRPr="003730B5">
        <w:rPr>
          <w:szCs w:val="24"/>
        </w:rPr>
        <w:t>registru silničních vozidel nezbytným pro vedení příslušných řízení.</w:t>
      </w:r>
      <w:r w:rsidRPr="003730B5">
        <w:rPr>
          <w:szCs w:val="24"/>
        </w:rPr>
        <w:t xml:space="preserve"> Na u</w:t>
      </w:r>
      <w:r w:rsidR="004C5898" w:rsidRPr="003730B5">
        <w:rPr>
          <w:szCs w:val="24"/>
        </w:rPr>
        <w:t xml:space="preserve">vedený princip předkladatel rovněž pamatoval, kdy navrhl novelizovat zákon </w:t>
      </w:r>
      <w:r w:rsidR="00CA40A9" w:rsidRPr="003730B5">
        <w:rPr>
          <w:szCs w:val="24"/>
        </w:rPr>
        <w:t>o </w:t>
      </w:r>
      <w:r w:rsidR="004C5898" w:rsidRPr="003730B5">
        <w:rPr>
          <w:szCs w:val="24"/>
        </w:rPr>
        <w:t xml:space="preserve">podmínkách provozu vozidel na pozemních komunikacích tak, aby měl provozovatel systému elektronického mýtného přístup </w:t>
      </w:r>
      <w:r w:rsidR="00CA40A9" w:rsidRPr="003730B5">
        <w:rPr>
          <w:szCs w:val="24"/>
        </w:rPr>
        <w:t>k </w:t>
      </w:r>
      <w:r w:rsidR="004C5898" w:rsidRPr="003730B5">
        <w:rPr>
          <w:szCs w:val="24"/>
        </w:rPr>
        <w:t xml:space="preserve">vybraným údajům </w:t>
      </w:r>
      <w:r w:rsidR="00CA40A9" w:rsidRPr="003730B5">
        <w:rPr>
          <w:szCs w:val="24"/>
        </w:rPr>
        <w:t>z </w:t>
      </w:r>
      <w:r w:rsidR="004C5898" w:rsidRPr="003730B5">
        <w:rPr>
          <w:szCs w:val="24"/>
        </w:rPr>
        <w:t>registru silničních vozidel nezbytným pro určení emisní třídy CO</w:t>
      </w:r>
      <w:r w:rsidR="004C5898" w:rsidRPr="003730B5">
        <w:rPr>
          <w:szCs w:val="24"/>
          <w:vertAlign w:val="subscript"/>
        </w:rPr>
        <w:t>2</w:t>
      </w:r>
      <w:r w:rsidR="004C5898" w:rsidRPr="003730B5">
        <w:rPr>
          <w:szCs w:val="24"/>
        </w:rPr>
        <w:t xml:space="preserve"> vozidla. Díky tomu nebudou muset provozovatelé vozidel zapsaných </w:t>
      </w:r>
      <w:r w:rsidR="00CA40A9" w:rsidRPr="003730B5">
        <w:rPr>
          <w:szCs w:val="24"/>
        </w:rPr>
        <w:t>v </w:t>
      </w:r>
      <w:r w:rsidR="004C5898" w:rsidRPr="003730B5">
        <w:rPr>
          <w:szCs w:val="24"/>
        </w:rPr>
        <w:t>českém registru silničních vozidel dokládat dokumenty nezbytné pro určení emisní třídy CO</w:t>
      </w:r>
      <w:r w:rsidR="004C5898" w:rsidRPr="003730B5">
        <w:rPr>
          <w:szCs w:val="24"/>
          <w:vertAlign w:val="subscript"/>
        </w:rPr>
        <w:t xml:space="preserve">2 </w:t>
      </w:r>
      <w:r w:rsidR="004C5898" w:rsidRPr="003730B5">
        <w:rPr>
          <w:szCs w:val="24"/>
        </w:rPr>
        <w:t>jimi provozovaných vozidel.</w:t>
      </w:r>
      <w:r w:rsidRPr="003730B5">
        <w:rPr>
          <w:szCs w:val="24"/>
        </w:rPr>
        <w:t xml:space="preserve"> </w:t>
      </w:r>
      <w:r w:rsidR="004C5898" w:rsidRPr="003730B5">
        <w:rPr>
          <w:szCs w:val="24"/>
        </w:rPr>
        <w:t xml:space="preserve">Stejně tak nebudou muset provozovatelé zvýhodněných vozidel </w:t>
      </w:r>
      <w:r w:rsidR="00CA40A9" w:rsidRPr="003730B5">
        <w:rPr>
          <w:szCs w:val="24"/>
        </w:rPr>
        <w:t>v </w:t>
      </w:r>
      <w:r w:rsidR="004C5898" w:rsidRPr="003730B5">
        <w:rPr>
          <w:szCs w:val="24"/>
        </w:rPr>
        <w:t xml:space="preserve">systému časového zpoplatnění zapsaných </w:t>
      </w:r>
      <w:r w:rsidR="00CA40A9" w:rsidRPr="003730B5">
        <w:rPr>
          <w:szCs w:val="24"/>
        </w:rPr>
        <w:t>v </w:t>
      </w:r>
      <w:r w:rsidR="004C5898" w:rsidRPr="003730B5">
        <w:rPr>
          <w:szCs w:val="24"/>
        </w:rPr>
        <w:t xml:space="preserve">registru silničních vozidel dokládat, že jimi provozovaná vozidla jsou hybridními vozidly nebo vozidly poháněnými zemním plynem nebo biometanem, jelikož tyto údaje bude moci Státní fond dopravní infrastruktury získat </w:t>
      </w:r>
      <w:r w:rsidR="00CA40A9" w:rsidRPr="003730B5">
        <w:rPr>
          <w:szCs w:val="24"/>
        </w:rPr>
        <w:lastRenderedPageBreak/>
        <w:t>z </w:t>
      </w:r>
      <w:r w:rsidR="004C5898" w:rsidRPr="003730B5">
        <w:rPr>
          <w:szCs w:val="24"/>
        </w:rPr>
        <w:t xml:space="preserve">registru silničních vozidel. Ostatně </w:t>
      </w:r>
      <w:r w:rsidR="00CA40A9" w:rsidRPr="003730B5">
        <w:rPr>
          <w:szCs w:val="24"/>
        </w:rPr>
        <w:t>k </w:t>
      </w:r>
      <w:r w:rsidR="004C5898" w:rsidRPr="003730B5">
        <w:rPr>
          <w:szCs w:val="24"/>
        </w:rPr>
        <w:t xml:space="preserve">tomu vede další část navržené novelizace zákona </w:t>
      </w:r>
      <w:r w:rsidR="00CA40A9" w:rsidRPr="003730B5">
        <w:rPr>
          <w:szCs w:val="24"/>
        </w:rPr>
        <w:t>o </w:t>
      </w:r>
      <w:r w:rsidR="004C5898" w:rsidRPr="003730B5">
        <w:rPr>
          <w:szCs w:val="24"/>
        </w:rPr>
        <w:t>podmínkách provozu vozidel na pozemních komunikacích.</w:t>
      </w:r>
    </w:p>
    <w:p w14:paraId="249D2A04" w14:textId="77777777" w:rsidR="00662BB7" w:rsidRPr="003730B5" w:rsidRDefault="00662BB7" w:rsidP="00D16775">
      <w:pPr>
        <w:pStyle w:val="Nadpis2"/>
        <w:numPr>
          <w:ilvl w:val="2"/>
          <w:numId w:val="28"/>
        </w:numPr>
        <w:shd w:val="clear" w:color="auto" w:fill="FFFFFF"/>
        <w:jc w:val="both"/>
        <w:rPr>
          <w:rFonts w:cs="Times New Roman"/>
          <w:sz w:val="28"/>
        </w:rPr>
      </w:pPr>
      <w:r w:rsidRPr="003730B5">
        <w:rPr>
          <w:rFonts w:cs="Times New Roman"/>
          <w:sz w:val="28"/>
        </w:rPr>
        <w:t>Budování služeb přístupných a použitelných pro všechny, včetně osob se zdravotním postižením (princip governance accessibility)</w:t>
      </w:r>
    </w:p>
    <w:p w14:paraId="04293BAD" w14:textId="52F6CE13" w:rsidR="00662BB7" w:rsidRPr="003730B5" w:rsidRDefault="00AF0EE0" w:rsidP="008F2906">
      <w:pPr>
        <w:widowControl w:val="0"/>
        <w:autoSpaceDE w:val="0"/>
        <w:autoSpaceDN w:val="0"/>
        <w:adjustRightInd w:val="0"/>
        <w:spacing w:after="120"/>
        <w:rPr>
          <w:szCs w:val="24"/>
        </w:rPr>
      </w:pPr>
      <w:r w:rsidRPr="003730B5">
        <w:rPr>
          <w:szCs w:val="24"/>
        </w:rPr>
        <w:t>Tato zásada není jednotlivými návrhy částí zákona upravována, stávající právní úprava se řídí obecnými právními předpisy upravující tuto problematiku.</w:t>
      </w:r>
    </w:p>
    <w:p w14:paraId="3CE31E03" w14:textId="77777777" w:rsidR="00662BB7" w:rsidRPr="003730B5" w:rsidRDefault="00662BB7" w:rsidP="00D16775">
      <w:pPr>
        <w:pStyle w:val="Nadpis2"/>
        <w:numPr>
          <w:ilvl w:val="2"/>
          <w:numId w:val="28"/>
        </w:numPr>
        <w:shd w:val="clear" w:color="auto" w:fill="FFFFFF"/>
        <w:jc w:val="both"/>
        <w:rPr>
          <w:rFonts w:cs="Times New Roman"/>
          <w:sz w:val="28"/>
        </w:rPr>
      </w:pPr>
      <w:r w:rsidRPr="003730B5">
        <w:rPr>
          <w:rFonts w:cs="Times New Roman"/>
          <w:sz w:val="28"/>
        </w:rPr>
        <w:t>Sdílené služby veřejné správy</w:t>
      </w:r>
    </w:p>
    <w:p w14:paraId="70031B79" w14:textId="3CEA4BEC" w:rsidR="00662BB7" w:rsidRPr="003730B5" w:rsidRDefault="00AF0EE0" w:rsidP="008F2906">
      <w:pPr>
        <w:widowControl w:val="0"/>
      </w:pPr>
      <w:r w:rsidRPr="003730B5">
        <w:t xml:space="preserve">Navrhovaná právní úprava </w:t>
      </w:r>
      <w:r w:rsidR="00B23C9A" w:rsidRPr="003730B5">
        <w:t xml:space="preserve">v oblasti daní </w:t>
      </w:r>
      <w:r w:rsidRPr="003730B5">
        <w:t xml:space="preserve">nepředpokládá odchylky od obecné právní úpravy při správě daní ani praxe </w:t>
      </w:r>
      <w:r w:rsidR="00C74707" w:rsidRPr="003730B5">
        <w:t>správců daně</w:t>
      </w:r>
      <w:r w:rsidRPr="003730B5">
        <w:t>.</w:t>
      </w:r>
    </w:p>
    <w:p w14:paraId="4241EE9D" w14:textId="77777777" w:rsidR="00662BB7" w:rsidRPr="003730B5" w:rsidRDefault="00662BB7" w:rsidP="00D16775">
      <w:pPr>
        <w:pStyle w:val="Nadpis2"/>
        <w:numPr>
          <w:ilvl w:val="2"/>
          <w:numId w:val="28"/>
        </w:numPr>
        <w:shd w:val="clear" w:color="auto" w:fill="FFFFFF"/>
        <w:jc w:val="both"/>
        <w:rPr>
          <w:rFonts w:cs="Times New Roman"/>
          <w:sz w:val="28"/>
        </w:rPr>
      </w:pPr>
      <w:r w:rsidRPr="003730B5">
        <w:rPr>
          <w:rFonts w:cs="Times New Roman"/>
          <w:sz w:val="28"/>
        </w:rPr>
        <w:t>Konsolidace a propojování informačních systémů veřejné správy</w:t>
      </w:r>
    </w:p>
    <w:p w14:paraId="766BC809" w14:textId="55ED1516" w:rsidR="00662BB7" w:rsidRPr="003730B5" w:rsidRDefault="00AF0EE0" w:rsidP="00611C04">
      <w:pPr>
        <w:widowControl w:val="0"/>
        <w:autoSpaceDE w:val="0"/>
        <w:autoSpaceDN w:val="0"/>
        <w:adjustRightInd w:val="0"/>
        <w:spacing w:after="120"/>
        <w:rPr>
          <w:szCs w:val="24"/>
        </w:rPr>
      </w:pPr>
      <w:r w:rsidRPr="003730B5">
        <w:rPr>
          <w:szCs w:val="24"/>
        </w:rPr>
        <w:t xml:space="preserve">Navrhovaná právní úprava nestanoví, jakým způsobem má příslušný orgán veřejné moci zajistit to, aby jím poskytované služby řádně fungovaly. Vzhledem </w:t>
      </w:r>
      <w:r w:rsidR="00E712DE" w:rsidRPr="003730B5">
        <w:rPr>
          <w:szCs w:val="24"/>
        </w:rPr>
        <w:t>k </w:t>
      </w:r>
      <w:r w:rsidRPr="003730B5">
        <w:rPr>
          <w:szCs w:val="24"/>
        </w:rPr>
        <w:t xml:space="preserve">tomu, že většina údajů </w:t>
      </w:r>
      <w:r w:rsidR="00E712DE" w:rsidRPr="003730B5">
        <w:rPr>
          <w:szCs w:val="24"/>
        </w:rPr>
        <w:t>z </w:t>
      </w:r>
      <w:r w:rsidRPr="003730B5">
        <w:rPr>
          <w:szCs w:val="24"/>
        </w:rPr>
        <w:t xml:space="preserve">daňové oblasti podléhá zákonem stanovené povinnosti zachovávat mlčenlivost, nelze očekávat absolutní míru propojení informačních systémů používaných při správě daní </w:t>
      </w:r>
      <w:r w:rsidR="00E712DE" w:rsidRPr="003730B5">
        <w:rPr>
          <w:szCs w:val="24"/>
        </w:rPr>
        <w:t>a </w:t>
      </w:r>
      <w:r w:rsidRPr="003730B5">
        <w:rPr>
          <w:szCs w:val="24"/>
        </w:rPr>
        <w:t>informačních systémů jiných.</w:t>
      </w:r>
    </w:p>
    <w:p w14:paraId="764F2BC9" w14:textId="2480EBEA" w:rsidR="004C5898" w:rsidRPr="003730B5" w:rsidRDefault="00611C04" w:rsidP="00611C04">
      <w:pPr>
        <w:widowControl w:val="0"/>
        <w:autoSpaceDE w:val="0"/>
        <w:autoSpaceDN w:val="0"/>
        <w:adjustRightInd w:val="0"/>
        <w:spacing w:after="120"/>
        <w:rPr>
          <w:szCs w:val="24"/>
        </w:rPr>
      </w:pPr>
      <w:r w:rsidRPr="003730B5">
        <w:rPr>
          <w:szCs w:val="24"/>
        </w:rPr>
        <w:t>V souvislosti s navrženou změnou v oblasti regulace silničního provozu lze uvést, že o</w:t>
      </w:r>
      <w:r w:rsidR="004C5898" w:rsidRPr="003730B5">
        <w:rPr>
          <w:szCs w:val="24"/>
        </w:rPr>
        <w:t xml:space="preserve">ba principy lze vyhodnotit současně, jelikož návrh zákona je sleduje obdobnými opatřeními. Jde zejména </w:t>
      </w:r>
      <w:r w:rsidR="00CA40A9" w:rsidRPr="003730B5">
        <w:rPr>
          <w:szCs w:val="24"/>
        </w:rPr>
        <w:t>o </w:t>
      </w:r>
      <w:r w:rsidR="004C5898" w:rsidRPr="003730B5">
        <w:rPr>
          <w:szCs w:val="24"/>
        </w:rPr>
        <w:t xml:space="preserve">výše popsané návrhy změn zákona </w:t>
      </w:r>
      <w:r w:rsidR="00CA40A9" w:rsidRPr="003730B5">
        <w:rPr>
          <w:szCs w:val="24"/>
        </w:rPr>
        <w:t>o </w:t>
      </w:r>
      <w:r w:rsidR="004C5898" w:rsidRPr="003730B5">
        <w:rPr>
          <w:szCs w:val="24"/>
        </w:rPr>
        <w:t xml:space="preserve">podmínkách provozu vozidel na pozemních komunikacích, jež předpokládají, že za konkrétně definovaným účelem budou mít přístup ke konkrétním údajům </w:t>
      </w:r>
      <w:r w:rsidR="00CA40A9" w:rsidRPr="003730B5">
        <w:rPr>
          <w:szCs w:val="24"/>
        </w:rPr>
        <w:t>z </w:t>
      </w:r>
      <w:r w:rsidR="004C5898" w:rsidRPr="003730B5">
        <w:rPr>
          <w:szCs w:val="24"/>
        </w:rPr>
        <w:t xml:space="preserve">registru silničních vozidel silniční správní úřady, provozovatel systému elektronického mýtného </w:t>
      </w:r>
      <w:r w:rsidR="00CA40A9" w:rsidRPr="003730B5">
        <w:rPr>
          <w:szCs w:val="24"/>
        </w:rPr>
        <w:t>i </w:t>
      </w:r>
      <w:r w:rsidR="004C5898" w:rsidRPr="003730B5">
        <w:rPr>
          <w:szCs w:val="24"/>
        </w:rPr>
        <w:t xml:space="preserve">Státní fond dopravní infrastruktury. Údaje </w:t>
      </w:r>
      <w:r w:rsidR="00CA40A9" w:rsidRPr="003730B5">
        <w:rPr>
          <w:szCs w:val="24"/>
        </w:rPr>
        <w:t>z </w:t>
      </w:r>
      <w:r w:rsidR="004C5898" w:rsidRPr="003730B5">
        <w:rPr>
          <w:szCs w:val="24"/>
        </w:rPr>
        <w:t xml:space="preserve">registru silničních vozidel tak budou využitelné pro řadu subjektů </w:t>
      </w:r>
      <w:r w:rsidR="00CA40A9" w:rsidRPr="003730B5">
        <w:rPr>
          <w:szCs w:val="24"/>
        </w:rPr>
        <w:t>k </w:t>
      </w:r>
      <w:r w:rsidR="004C5898" w:rsidRPr="003730B5">
        <w:rPr>
          <w:szCs w:val="24"/>
        </w:rPr>
        <w:t xml:space="preserve">účelům, které přesahují agendy regulované zákonem </w:t>
      </w:r>
      <w:r w:rsidR="00CA40A9" w:rsidRPr="003730B5">
        <w:rPr>
          <w:szCs w:val="24"/>
        </w:rPr>
        <w:t>o </w:t>
      </w:r>
      <w:r w:rsidR="004C5898" w:rsidRPr="003730B5">
        <w:rPr>
          <w:szCs w:val="24"/>
        </w:rPr>
        <w:t xml:space="preserve">podmínkách provozu vozidel na pozemních komunikacích. </w:t>
      </w:r>
    </w:p>
    <w:p w14:paraId="564FB5FB" w14:textId="618AC88C" w:rsidR="004C5898" w:rsidRPr="003730B5" w:rsidRDefault="004C5898" w:rsidP="00611C04">
      <w:pPr>
        <w:widowControl w:val="0"/>
        <w:autoSpaceDE w:val="0"/>
        <w:autoSpaceDN w:val="0"/>
        <w:adjustRightInd w:val="0"/>
        <w:spacing w:after="120"/>
        <w:rPr>
          <w:szCs w:val="24"/>
        </w:rPr>
      </w:pPr>
      <w:r w:rsidRPr="003730B5">
        <w:rPr>
          <w:szCs w:val="24"/>
        </w:rPr>
        <w:t xml:space="preserve">Současně návrh zákona počítá se zřízením portálu coby informačního systému veřejné správy, díky němuž bude komunikace se žadateli </w:t>
      </w:r>
      <w:r w:rsidR="00CA40A9" w:rsidRPr="003730B5">
        <w:rPr>
          <w:szCs w:val="24"/>
        </w:rPr>
        <w:t>o </w:t>
      </w:r>
      <w:r w:rsidRPr="003730B5">
        <w:rPr>
          <w:szCs w:val="24"/>
        </w:rPr>
        <w:t xml:space="preserve">povolení zvláštního užívání pozemní komunikace nadměrným vozidlem, jakož </w:t>
      </w:r>
      <w:r w:rsidR="00CA40A9" w:rsidRPr="003730B5">
        <w:rPr>
          <w:szCs w:val="24"/>
        </w:rPr>
        <w:t>i s </w:t>
      </w:r>
      <w:r w:rsidRPr="003730B5">
        <w:rPr>
          <w:szCs w:val="24"/>
        </w:rPr>
        <w:t xml:space="preserve">vlastníky dotčených pozemních komunikací </w:t>
      </w:r>
      <w:r w:rsidR="00CA40A9" w:rsidRPr="003730B5">
        <w:rPr>
          <w:szCs w:val="24"/>
        </w:rPr>
        <w:t>a </w:t>
      </w:r>
      <w:r w:rsidRPr="003730B5">
        <w:rPr>
          <w:szCs w:val="24"/>
        </w:rPr>
        <w:t xml:space="preserve">dotčenými orgány probíhat </w:t>
      </w:r>
      <w:r w:rsidR="00CA40A9" w:rsidRPr="003730B5">
        <w:rPr>
          <w:szCs w:val="24"/>
        </w:rPr>
        <w:t>v </w:t>
      </w:r>
      <w:r w:rsidRPr="003730B5">
        <w:rPr>
          <w:szCs w:val="24"/>
        </w:rPr>
        <w:t xml:space="preserve">elektronické podobě. Správcem tohoto informačního systému bude Ministerstvo dopravy, uživateli budou především žadatelé, vlastníci dotčených pozemních komunikací </w:t>
      </w:r>
      <w:r w:rsidR="00CA40A9" w:rsidRPr="003730B5">
        <w:rPr>
          <w:szCs w:val="24"/>
        </w:rPr>
        <w:t>a </w:t>
      </w:r>
      <w:r w:rsidRPr="003730B5">
        <w:rPr>
          <w:szCs w:val="24"/>
        </w:rPr>
        <w:t xml:space="preserve">dotčené orgány </w:t>
      </w:r>
      <w:r w:rsidR="00CA40A9" w:rsidRPr="003730B5">
        <w:rPr>
          <w:szCs w:val="24"/>
        </w:rPr>
        <w:t>a </w:t>
      </w:r>
      <w:r w:rsidRPr="003730B5">
        <w:rPr>
          <w:szCs w:val="24"/>
        </w:rPr>
        <w:t xml:space="preserve">údaje </w:t>
      </w:r>
      <w:r w:rsidR="00CA40A9" w:rsidRPr="003730B5">
        <w:rPr>
          <w:szCs w:val="24"/>
        </w:rPr>
        <w:t>v </w:t>
      </w:r>
      <w:r w:rsidRPr="003730B5">
        <w:rPr>
          <w:szCs w:val="24"/>
        </w:rPr>
        <w:t xml:space="preserve">něm obsažené budou spjaty </w:t>
      </w:r>
      <w:r w:rsidR="00CA40A9" w:rsidRPr="003730B5">
        <w:rPr>
          <w:szCs w:val="24"/>
        </w:rPr>
        <w:t>s </w:t>
      </w:r>
      <w:r w:rsidRPr="003730B5">
        <w:rPr>
          <w:szCs w:val="24"/>
        </w:rPr>
        <w:t xml:space="preserve">řízeními vedenými Ministerstvem dopravy </w:t>
      </w:r>
      <w:r w:rsidR="00CA40A9" w:rsidRPr="003730B5">
        <w:rPr>
          <w:szCs w:val="24"/>
        </w:rPr>
        <w:t>o </w:t>
      </w:r>
      <w:r w:rsidRPr="003730B5">
        <w:rPr>
          <w:szCs w:val="24"/>
        </w:rPr>
        <w:t>povolení zvláštního užívání pozemní komunikace nadměrným vozidlem.</w:t>
      </w:r>
    </w:p>
    <w:p w14:paraId="7C691CB9" w14:textId="15278EA5" w:rsidR="004C5898" w:rsidRPr="003730B5" w:rsidRDefault="004C5898" w:rsidP="00611C04">
      <w:pPr>
        <w:widowControl w:val="0"/>
        <w:autoSpaceDE w:val="0"/>
        <w:autoSpaceDN w:val="0"/>
        <w:adjustRightInd w:val="0"/>
        <w:spacing w:after="120"/>
        <w:rPr>
          <w:szCs w:val="24"/>
        </w:rPr>
      </w:pPr>
      <w:r w:rsidRPr="003730B5">
        <w:rPr>
          <w:szCs w:val="24"/>
        </w:rPr>
        <w:t xml:space="preserve">Je navrženo též zefektivnění poskytování údajů </w:t>
      </w:r>
      <w:r w:rsidR="00CA40A9" w:rsidRPr="003730B5">
        <w:rPr>
          <w:szCs w:val="24"/>
        </w:rPr>
        <w:t>z </w:t>
      </w:r>
      <w:r w:rsidRPr="003730B5">
        <w:rPr>
          <w:szCs w:val="24"/>
        </w:rPr>
        <w:t xml:space="preserve">evidence údajů </w:t>
      </w:r>
      <w:r w:rsidR="00CA40A9" w:rsidRPr="003730B5">
        <w:rPr>
          <w:szCs w:val="24"/>
        </w:rPr>
        <w:t>o </w:t>
      </w:r>
      <w:r w:rsidRPr="003730B5">
        <w:rPr>
          <w:szCs w:val="24"/>
        </w:rPr>
        <w:t xml:space="preserve">mýtném. Zatímco platná právní úprava předpokládá poskytování těchto údajů na základě samostatné písemné žádosti dotčeného orgánu státní správy, předložený návrh zákona počítá </w:t>
      </w:r>
      <w:r w:rsidR="00CA40A9" w:rsidRPr="003730B5">
        <w:rPr>
          <w:szCs w:val="24"/>
        </w:rPr>
        <w:t>s </w:t>
      </w:r>
      <w:r w:rsidRPr="003730B5">
        <w:rPr>
          <w:szCs w:val="24"/>
        </w:rPr>
        <w:t xml:space="preserve">povinností provozovatele systému elektronického mýtného zajistit některým </w:t>
      </w:r>
      <w:r w:rsidR="00CA40A9" w:rsidRPr="003730B5">
        <w:rPr>
          <w:szCs w:val="24"/>
        </w:rPr>
        <w:t>z </w:t>
      </w:r>
      <w:r w:rsidRPr="003730B5">
        <w:rPr>
          <w:szCs w:val="24"/>
        </w:rPr>
        <w:t xml:space="preserve">těchto orgánů dálkový </w:t>
      </w:r>
      <w:r w:rsidR="00CA40A9" w:rsidRPr="003730B5">
        <w:rPr>
          <w:szCs w:val="24"/>
        </w:rPr>
        <w:t>a </w:t>
      </w:r>
      <w:r w:rsidRPr="003730B5">
        <w:rPr>
          <w:szCs w:val="24"/>
        </w:rPr>
        <w:t xml:space="preserve">nepřetržitý přístup </w:t>
      </w:r>
      <w:r w:rsidR="00CA40A9" w:rsidRPr="003730B5">
        <w:rPr>
          <w:szCs w:val="24"/>
        </w:rPr>
        <w:t>k </w:t>
      </w:r>
      <w:r w:rsidRPr="003730B5">
        <w:rPr>
          <w:szCs w:val="24"/>
        </w:rPr>
        <w:t xml:space="preserve">údajům podle </w:t>
      </w:r>
      <w:r w:rsidR="00CA40A9" w:rsidRPr="003730B5">
        <w:rPr>
          <w:szCs w:val="24"/>
        </w:rPr>
        <w:t>§ </w:t>
      </w:r>
      <w:r w:rsidRPr="003730B5">
        <w:rPr>
          <w:szCs w:val="24"/>
        </w:rPr>
        <w:t xml:space="preserve">22c odst. </w:t>
      </w:r>
      <w:r w:rsidR="00CA40A9" w:rsidRPr="003730B5">
        <w:rPr>
          <w:szCs w:val="24"/>
        </w:rPr>
        <w:t>2 </w:t>
      </w:r>
      <w:r w:rsidRPr="003730B5">
        <w:rPr>
          <w:szCs w:val="24"/>
        </w:rPr>
        <w:t xml:space="preserve">písm. a) </w:t>
      </w:r>
      <w:r w:rsidR="00CA40A9" w:rsidRPr="003730B5">
        <w:rPr>
          <w:szCs w:val="24"/>
        </w:rPr>
        <w:t>a </w:t>
      </w:r>
      <w:r w:rsidRPr="003730B5">
        <w:rPr>
          <w:szCs w:val="24"/>
        </w:rPr>
        <w:t xml:space="preserve">b) zákona </w:t>
      </w:r>
      <w:r w:rsidR="00CA40A9" w:rsidRPr="003730B5">
        <w:rPr>
          <w:szCs w:val="24"/>
        </w:rPr>
        <w:t>o </w:t>
      </w:r>
      <w:r w:rsidRPr="003730B5">
        <w:rPr>
          <w:szCs w:val="24"/>
        </w:rPr>
        <w:t xml:space="preserve">pozemních komunikacích, tedy </w:t>
      </w:r>
      <w:r w:rsidR="00CA40A9" w:rsidRPr="003730B5">
        <w:rPr>
          <w:szCs w:val="24"/>
        </w:rPr>
        <w:t>k </w:t>
      </w:r>
      <w:r w:rsidRPr="003730B5">
        <w:rPr>
          <w:szCs w:val="24"/>
        </w:rPr>
        <w:t xml:space="preserve">údajům </w:t>
      </w:r>
      <w:r w:rsidR="00CA40A9" w:rsidRPr="003730B5">
        <w:rPr>
          <w:szCs w:val="24"/>
        </w:rPr>
        <w:t>o </w:t>
      </w:r>
      <w:r w:rsidRPr="003730B5">
        <w:rPr>
          <w:szCs w:val="24"/>
        </w:rPr>
        <w:t xml:space="preserve">provozovatelích vozidel </w:t>
      </w:r>
      <w:r w:rsidR="00CA40A9" w:rsidRPr="003730B5">
        <w:rPr>
          <w:szCs w:val="24"/>
        </w:rPr>
        <w:t>v </w:t>
      </w:r>
      <w:r w:rsidRPr="003730B5">
        <w:rPr>
          <w:szCs w:val="24"/>
        </w:rPr>
        <w:t xml:space="preserve">systému elektronického mýtného </w:t>
      </w:r>
      <w:r w:rsidR="00CA40A9" w:rsidRPr="003730B5">
        <w:rPr>
          <w:szCs w:val="24"/>
        </w:rPr>
        <w:t>a </w:t>
      </w:r>
      <w:r w:rsidRPr="003730B5">
        <w:rPr>
          <w:szCs w:val="24"/>
        </w:rPr>
        <w:t xml:space="preserve">jejich vlastnících, </w:t>
      </w:r>
      <w:r w:rsidR="00CA40A9" w:rsidRPr="003730B5">
        <w:rPr>
          <w:szCs w:val="24"/>
        </w:rPr>
        <w:t>o </w:t>
      </w:r>
      <w:r w:rsidRPr="003730B5">
        <w:rPr>
          <w:szCs w:val="24"/>
        </w:rPr>
        <w:t xml:space="preserve">poskytovatelích evropského mýtného, </w:t>
      </w:r>
      <w:r w:rsidR="00CA40A9" w:rsidRPr="003730B5">
        <w:rPr>
          <w:szCs w:val="24"/>
        </w:rPr>
        <w:t>a o </w:t>
      </w:r>
      <w:r w:rsidRPr="003730B5">
        <w:rPr>
          <w:szCs w:val="24"/>
        </w:rPr>
        <w:t xml:space="preserve">vozidlech, která byla zaevidována do systému elektronického mýtného. Získávání těchto údajů bude tudíž pro zúčastněné subjekty méně administrativně náročné. Jde přitom </w:t>
      </w:r>
      <w:r w:rsidR="00CA40A9" w:rsidRPr="003730B5">
        <w:rPr>
          <w:szCs w:val="24"/>
        </w:rPr>
        <w:t>o </w:t>
      </w:r>
      <w:r w:rsidRPr="003730B5">
        <w:rPr>
          <w:szCs w:val="24"/>
        </w:rPr>
        <w:t xml:space="preserve">ty údaje, které jsou </w:t>
      </w:r>
      <w:r w:rsidR="00CA40A9" w:rsidRPr="003730B5">
        <w:rPr>
          <w:szCs w:val="24"/>
        </w:rPr>
        <w:t>v </w:t>
      </w:r>
      <w:r w:rsidRPr="003730B5">
        <w:rPr>
          <w:szCs w:val="24"/>
        </w:rPr>
        <w:t xml:space="preserve">současnosti ve velkém rozsahu vyžadovány od provozovatele systému elektronického mýtného, zejména silničními správními úřady vedoucími přestupková řízení navazující na zjištění </w:t>
      </w:r>
      <w:r w:rsidR="00CA40A9" w:rsidRPr="003730B5">
        <w:rPr>
          <w:szCs w:val="24"/>
        </w:rPr>
        <w:t>z </w:t>
      </w:r>
      <w:r w:rsidRPr="003730B5">
        <w:rPr>
          <w:szCs w:val="24"/>
        </w:rPr>
        <w:t xml:space="preserve">vysokorychlostních vážení. Ostatní, značně různorodé údaje podle </w:t>
      </w:r>
      <w:r w:rsidR="00CA40A9" w:rsidRPr="003730B5">
        <w:rPr>
          <w:szCs w:val="24"/>
        </w:rPr>
        <w:t>§ </w:t>
      </w:r>
      <w:r w:rsidRPr="003730B5">
        <w:rPr>
          <w:szCs w:val="24"/>
        </w:rPr>
        <w:t xml:space="preserve">22c odst. </w:t>
      </w:r>
      <w:r w:rsidR="00CA40A9" w:rsidRPr="003730B5">
        <w:rPr>
          <w:szCs w:val="24"/>
        </w:rPr>
        <w:t>2 </w:t>
      </w:r>
      <w:r w:rsidRPr="003730B5">
        <w:rPr>
          <w:szCs w:val="24"/>
        </w:rPr>
        <w:t xml:space="preserve">písm. c) až f) je vhodné poskytovat dotčeným orgánům nadále na základě písemné žádosti. Tyto údaje nejsou již tak často </w:t>
      </w:r>
      <w:r w:rsidRPr="003730B5">
        <w:rPr>
          <w:szCs w:val="24"/>
        </w:rPr>
        <w:lastRenderedPageBreak/>
        <w:t xml:space="preserve">vyžadovány, přičemž jejich poskytování dálkovým </w:t>
      </w:r>
      <w:r w:rsidR="00CA40A9" w:rsidRPr="003730B5">
        <w:rPr>
          <w:szCs w:val="24"/>
        </w:rPr>
        <w:t>a </w:t>
      </w:r>
      <w:r w:rsidRPr="003730B5">
        <w:rPr>
          <w:szCs w:val="24"/>
        </w:rPr>
        <w:t xml:space="preserve">nepřetržitým přístupem by bylo </w:t>
      </w:r>
      <w:r w:rsidR="00CA40A9" w:rsidRPr="003730B5">
        <w:rPr>
          <w:szCs w:val="24"/>
        </w:rPr>
        <w:t>z </w:t>
      </w:r>
      <w:r w:rsidRPr="003730B5">
        <w:rPr>
          <w:szCs w:val="24"/>
        </w:rPr>
        <w:t xml:space="preserve">technického hlediska složité zabezpečit </w:t>
      </w:r>
      <w:r w:rsidR="00CA40A9" w:rsidRPr="003730B5">
        <w:rPr>
          <w:szCs w:val="24"/>
        </w:rPr>
        <w:t>a </w:t>
      </w:r>
      <w:r w:rsidRPr="003730B5">
        <w:rPr>
          <w:szCs w:val="24"/>
        </w:rPr>
        <w:t xml:space="preserve">bylo by též více finančně nákladné.   </w:t>
      </w:r>
    </w:p>
    <w:p w14:paraId="1FE5FAA8" w14:textId="77777777" w:rsidR="00662BB7" w:rsidRPr="003730B5" w:rsidRDefault="00662BB7" w:rsidP="00D16775">
      <w:pPr>
        <w:pStyle w:val="Nadpis2"/>
        <w:numPr>
          <w:ilvl w:val="2"/>
          <w:numId w:val="28"/>
        </w:numPr>
        <w:shd w:val="clear" w:color="auto" w:fill="FFFFFF"/>
        <w:jc w:val="both"/>
        <w:rPr>
          <w:rFonts w:cs="Times New Roman"/>
          <w:sz w:val="28"/>
        </w:rPr>
      </w:pPr>
      <w:r w:rsidRPr="003730B5">
        <w:rPr>
          <w:rFonts w:cs="Times New Roman"/>
          <w:sz w:val="28"/>
        </w:rPr>
        <w:t>Mezinárodní interoperabilita - budování služeb propojitelných a využitelných v evropském prostoru</w:t>
      </w:r>
    </w:p>
    <w:p w14:paraId="35EEF960" w14:textId="53EE47E3" w:rsidR="00DA7930" w:rsidRPr="003730B5" w:rsidRDefault="00AF0EE0" w:rsidP="00611C04">
      <w:pPr>
        <w:widowControl w:val="0"/>
        <w:autoSpaceDE w:val="0"/>
        <w:autoSpaceDN w:val="0"/>
        <w:adjustRightInd w:val="0"/>
        <w:spacing w:after="120"/>
        <w:rPr>
          <w:szCs w:val="24"/>
        </w:rPr>
      </w:pPr>
      <w:r w:rsidRPr="003730B5">
        <w:rPr>
          <w:szCs w:val="24"/>
        </w:rPr>
        <w:t xml:space="preserve">Navrhovaná právní úprava se sama </w:t>
      </w:r>
      <w:r w:rsidR="00E712DE" w:rsidRPr="003730B5">
        <w:rPr>
          <w:szCs w:val="24"/>
        </w:rPr>
        <w:t>o </w:t>
      </w:r>
      <w:r w:rsidRPr="003730B5">
        <w:rPr>
          <w:szCs w:val="24"/>
        </w:rPr>
        <w:t xml:space="preserve">sobě netýká mezinárodní spolupráce </w:t>
      </w:r>
      <w:r w:rsidR="00E712DE" w:rsidRPr="003730B5">
        <w:rPr>
          <w:szCs w:val="24"/>
        </w:rPr>
        <w:t>a </w:t>
      </w:r>
      <w:r w:rsidRPr="003730B5">
        <w:rPr>
          <w:szCs w:val="24"/>
        </w:rPr>
        <w:t xml:space="preserve">neupravuje budování služeb propojitelných </w:t>
      </w:r>
      <w:r w:rsidR="00E712DE" w:rsidRPr="003730B5">
        <w:rPr>
          <w:szCs w:val="24"/>
        </w:rPr>
        <w:t>a </w:t>
      </w:r>
      <w:r w:rsidRPr="003730B5">
        <w:rPr>
          <w:szCs w:val="24"/>
        </w:rPr>
        <w:t xml:space="preserve">využitelných </w:t>
      </w:r>
      <w:r w:rsidR="00E712DE" w:rsidRPr="003730B5">
        <w:rPr>
          <w:szCs w:val="24"/>
        </w:rPr>
        <w:t>v </w:t>
      </w:r>
      <w:r w:rsidRPr="003730B5">
        <w:rPr>
          <w:szCs w:val="24"/>
        </w:rPr>
        <w:t>evropském prostoru.</w:t>
      </w:r>
    </w:p>
    <w:p w14:paraId="02A34879" w14:textId="7D8B0A23" w:rsidR="004C5898" w:rsidRPr="003730B5" w:rsidRDefault="00611C04" w:rsidP="00611C04">
      <w:pPr>
        <w:widowControl w:val="0"/>
        <w:autoSpaceDE w:val="0"/>
        <w:autoSpaceDN w:val="0"/>
        <w:adjustRightInd w:val="0"/>
        <w:spacing w:after="120"/>
        <w:rPr>
          <w:szCs w:val="24"/>
        </w:rPr>
      </w:pPr>
      <w:r w:rsidRPr="003730B5">
        <w:rPr>
          <w:szCs w:val="24"/>
        </w:rPr>
        <w:t>V souvislosti s navrženou změnou v oblasti regulace silničního provozu lze uvést, že s</w:t>
      </w:r>
      <w:r w:rsidR="004C5898" w:rsidRPr="003730B5">
        <w:rPr>
          <w:szCs w:val="24"/>
        </w:rPr>
        <w:t xml:space="preserve">měrnice (EU) 2022/362 mění údaje týkající se vozidla, které si členské státy Evropské unie vyměňují </w:t>
      </w:r>
      <w:r w:rsidR="00CA40A9" w:rsidRPr="003730B5">
        <w:rPr>
          <w:szCs w:val="24"/>
        </w:rPr>
        <w:t>v </w:t>
      </w:r>
      <w:r w:rsidR="004C5898" w:rsidRPr="003730B5">
        <w:rPr>
          <w:szCs w:val="24"/>
        </w:rPr>
        <w:t xml:space="preserve">souladu se směrnicí (EU) 2019/520. Tato právní úprava byla na unijní úrovni zavedena </w:t>
      </w:r>
      <w:r w:rsidR="00CA40A9" w:rsidRPr="003730B5">
        <w:rPr>
          <w:szCs w:val="24"/>
        </w:rPr>
        <w:t>z </w:t>
      </w:r>
      <w:r w:rsidR="004C5898" w:rsidRPr="003730B5">
        <w:rPr>
          <w:szCs w:val="24"/>
        </w:rPr>
        <w:t xml:space="preserve">důvodu usnadnění přeshraničního vymáhání přestupků řidiče nebo provozovatele vozidla spočívajících </w:t>
      </w:r>
      <w:r w:rsidR="00CA40A9" w:rsidRPr="003730B5">
        <w:rPr>
          <w:szCs w:val="24"/>
        </w:rPr>
        <w:t>v </w:t>
      </w:r>
      <w:r w:rsidR="004C5898" w:rsidRPr="003730B5">
        <w:rPr>
          <w:szCs w:val="24"/>
        </w:rPr>
        <w:t xml:space="preserve">užití zpoplatněné pozemní komunikace bez úhrady časového poplatku nebo mýtného. Nově směrnice (EU) 2022/362 požaduje, aby byl povinně předáván údaj </w:t>
      </w:r>
      <w:r w:rsidR="00CA40A9" w:rsidRPr="003730B5">
        <w:rPr>
          <w:szCs w:val="24"/>
        </w:rPr>
        <w:t>o </w:t>
      </w:r>
      <w:r w:rsidR="004C5898" w:rsidRPr="003730B5">
        <w:rPr>
          <w:szCs w:val="24"/>
        </w:rPr>
        <w:t xml:space="preserve">maximální technicky přípustné hmotnosti naloženého vozidla. Tento údaj je </w:t>
      </w:r>
      <w:r w:rsidR="00CA40A9" w:rsidRPr="003730B5">
        <w:rPr>
          <w:szCs w:val="24"/>
        </w:rPr>
        <w:t>v </w:t>
      </w:r>
      <w:r w:rsidR="004C5898" w:rsidRPr="003730B5">
        <w:rPr>
          <w:szCs w:val="24"/>
        </w:rPr>
        <w:t xml:space="preserve">registru silničních vozidel veden podle </w:t>
      </w:r>
      <w:r w:rsidR="00CA40A9" w:rsidRPr="003730B5">
        <w:rPr>
          <w:szCs w:val="24"/>
        </w:rPr>
        <w:t>§ 4 </w:t>
      </w:r>
      <w:r w:rsidR="004C5898" w:rsidRPr="003730B5">
        <w:rPr>
          <w:szCs w:val="24"/>
        </w:rPr>
        <w:t xml:space="preserve">odst. </w:t>
      </w:r>
      <w:r w:rsidR="00CA40A9" w:rsidRPr="003730B5">
        <w:rPr>
          <w:szCs w:val="24"/>
        </w:rPr>
        <w:t>3 </w:t>
      </w:r>
      <w:r w:rsidR="004C5898" w:rsidRPr="003730B5">
        <w:rPr>
          <w:szCs w:val="24"/>
        </w:rPr>
        <w:t xml:space="preserve">písm. i) </w:t>
      </w:r>
      <w:r w:rsidR="00CA40A9" w:rsidRPr="003730B5">
        <w:rPr>
          <w:szCs w:val="24"/>
        </w:rPr>
        <w:t>a </w:t>
      </w:r>
      <w:r w:rsidR="004C5898" w:rsidRPr="003730B5">
        <w:rPr>
          <w:szCs w:val="24"/>
        </w:rPr>
        <w:t xml:space="preserve">j) zákona </w:t>
      </w:r>
      <w:r w:rsidR="00CA40A9" w:rsidRPr="003730B5">
        <w:rPr>
          <w:szCs w:val="24"/>
        </w:rPr>
        <w:t>o </w:t>
      </w:r>
      <w:r w:rsidR="004C5898" w:rsidRPr="003730B5">
        <w:rPr>
          <w:szCs w:val="24"/>
        </w:rPr>
        <w:t xml:space="preserve">podmínkách provozu vozidel na pozemních komunikacích, nově se tedy navrhuje učinit odkaz </w:t>
      </w:r>
      <w:r w:rsidR="00CA40A9" w:rsidRPr="003730B5">
        <w:rPr>
          <w:szCs w:val="24"/>
        </w:rPr>
        <w:t>v § 5 </w:t>
      </w:r>
      <w:r w:rsidR="004C5898" w:rsidRPr="003730B5">
        <w:rPr>
          <w:szCs w:val="24"/>
        </w:rPr>
        <w:t xml:space="preserve">odst. </w:t>
      </w:r>
      <w:r w:rsidR="00CA40A9" w:rsidRPr="003730B5">
        <w:rPr>
          <w:szCs w:val="24"/>
        </w:rPr>
        <w:t>8 </w:t>
      </w:r>
      <w:r w:rsidR="004C5898" w:rsidRPr="003730B5">
        <w:rPr>
          <w:szCs w:val="24"/>
        </w:rPr>
        <w:t xml:space="preserve">písm. a) výše uvedeného zákona </w:t>
      </w:r>
      <w:r w:rsidR="00CA40A9" w:rsidRPr="003730B5">
        <w:rPr>
          <w:szCs w:val="24"/>
        </w:rPr>
        <w:t>i </w:t>
      </w:r>
      <w:r w:rsidR="004C5898" w:rsidRPr="003730B5">
        <w:rPr>
          <w:szCs w:val="24"/>
        </w:rPr>
        <w:t>na tato ustanovení.</w:t>
      </w:r>
    </w:p>
    <w:p w14:paraId="73C165D3" w14:textId="77777777" w:rsidR="00662BB7" w:rsidRPr="003730B5" w:rsidRDefault="00662BB7" w:rsidP="00D16775">
      <w:pPr>
        <w:pStyle w:val="Nadpis2"/>
        <w:numPr>
          <w:ilvl w:val="2"/>
          <w:numId w:val="28"/>
        </w:numPr>
        <w:shd w:val="clear" w:color="auto" w:fill="FFFFFF"/>
        <w:jc w:val="both"/>
        <w:rPr>
          <w:rFonts w:cs="Times New Roman"/>
          <w:sz w:val="28"/>
        </w:rPr>
      </w:pPr>
      <w:r w:rsidRPr="003730B5">
        <w:rPr>
          <w:rFonts w:cs="Times New Roman"/>
          <w:sz w:val="28"/>
        </w:rPr>
        <w:t>Ochrana osobních údajů v míře umožňující kvalitní služby (princip nařízení o ochraně osobních údajů)</w:t>
      </w:r>
    </w:p>
    <w:p w14:paraId="5D6C4883" w14:textId="19F24CE3" w:rsidR="00662BB7" w:rsidRPr="003730B5" w:rsidRDefault="00AF0EE0" w:rsidP="008F2906">
      <w:pPr>
        <w:widowControl w:val="0"/>
      </w:pPr>
      <w:r w:rsidRPr="003730B5">
        <w:t xml:space="preserve">Navrhovaná právní úprava je plně </w:t>
      </w:r>
      <w:r w:rsidR="00E712DE" w:rsidRPr="003730B5">
        <w:t>v </w:t>
      </w:r>
      <w:r w:rsidRPr="003730B5">
        <w:t xml:space="preserve">souladu </w:t>
      </w:r>
      <w:r w:rsidR="00E712DE" w:rsidRPr="003730B5">
        <w:t>s </w:t>
      </w:r>
      <w:r w:rsidRPr="003730B5">
        <w:t xml:space="preserve">touto zásadou. Blíže viz kapitola </w:t>
      </w:r>
      <w:r w:rsidR="00E712DE" w:rsidRPr="003730B5">
        <w:t>č. </w:t>
      </w:r>
      <w:r w:rsidRPr="003730B5">
        <w:t>7.</w:t>
      </w:r>
    </w:p>
    <w:p w14:paraId="1E26A2FB" w14:textId="77777777" w:rsidR="00662BB7" w:rsidRPr="003730B5" w:rsidRDefault="00662BB7" w:rsidP="00D16775">
      <w:pPr>
        <w:pStyle w:val="Nadpis2"/>
        <w:widowControl w:val="0"/>
        <w:numPr>
          <w:ilvl w:val="2"/>
          <w:numId w:val="28"/>
        </w:numPr>
        <w:shd w:val="clear" w:color="auto" w:fill="FFFFFF"/>
        <w:jc w:val="both"/>
        <w:rPr>
          <w:rFonts w:cs="Times New Roman"/>
          <w:sz w:val="28"/>
        </w:rPr>
      </w:pPr>
      <w:r w:rsidRPr="003730B5">
        <w:rPr>
          <w:rFonts w:cs="Times New Roman"/>
          <w:sz w:val="28"/>
        </w:rPr>
        <w:t>Otevřenost a transparentnost včetně otevřených dat a služeb (princip open government)</w:t>
      </w:r>
    </w:p>
    <w:p w14:paraId="083E98E7" w14:textId="1604D2E5" w:rsidR="00662BB7" w:rsidRPr="003730B5" w:rsidRDefault="00AF0EE0" w:rsidP="008F2906">
      <w:pPr>
        <w:widowControl w:val="0"/>
        <w:autoSpaceDE w:val="0"/>
        <w:autoSpaceDN w:val="0"/>
        <w:adjustRightInd w:val="0"/>
        <w:spacing w:after="120"/>
      </w:pPr>
      <w:r w:rsidRPr="003730B5">
        <w:t xml:space="preserve">Zásada otevřenosti </w:t>
      </w:r>
      <w:r w:rsidR="00E712DE" w:rsidRPr="003730B5">
        <w:t>a </w:t>
      </w:r>
      <w:r w:rsidRPr="003730B5">
        <w:t xml:space="preserve">transparentnosti je navrhovanou právní úpravou naplněna </w:t>
      </w:r>
      <w:r w:rsidR="00E712DE" w:rsidRPr="003730B5">
        <w:t>v </w:t>
      </w:r>
      <w:r w:rsidRPr="003730B5">
        <w:t xml:space="preserve">mezích základních zásad správy daní podle daňového řádu. Navrhovaná právní úprava jako taková žádným způsobem neomezuje otevřenost </w:t>
      </w:r>
      <w:r w:rsidR="00E712DE" w:rsidRPr="003730B5">
        <w:t>a </w:t>
      </w:r>
      <w:r w:rsidRPr="003730B5">
        <w:t>transparentnost.</w:t>
      </w:r>
    </w:p>
    <w:p w14:paraId="647C7B88" w14:textId="77777777" w:rsidR="00662BB7" w:rsidRPr="003730B5" w:rsidRDefault="00662BB7" w:rsidP="00D16775">
      <w:pPr>
        <w:pStyle w:val="Nadpis2"/>
        <w:widowControl w:val="0"/>
        <w:numPr>
          <w:ilvl w:val="2"/>
          <w:numId w:val="28"/>
        </w:numPr>
        <w:shd w:val="clear" w:color="auto" w:fill="FFFFFF"/>
        <w:jc w:val="both"/>
        <w:rPr>
          <w:rFonts w:cs="Times New Roman"/>
          <w:sz w:val="28"/>
        </w:rPr>
      </w:pPr>
      <w:r w:rsidRPr="003730B5">
        <w:rPr>
          <w:rFonts w:cs="Times New Roman"/>
          <w:sz w:val="28"/>
        </w:rPr>
        <w:t>Technologická neutralita</w:t>
      </w:r>
    </w:p>
    <w:p w14:paraId="77847866" w14:textId="68B007C3" w:rsidR="00662BB7" w:rsidRPr="003730B5" w:rsidRDefault="00AF0EE0" w:rsidP="008F2906">
      <w:pPr>
        <w:widowControl w:val="0"/>
        <w:autoSpaceDE w:val="0"/>
        <w:autoSpaceDN w:val="0"/>
        <w:adjustRightInd w:val="0"/>
        <w:spacing w:after="120"/>
        <w:rPr>
          <w:szCs w:val="24"/>
        </w:rPr>
      </w:pPr>
      <w:r w:rsidRPr="003730B5">
        <w:t xml:space="preserve">Návrh zákona jakkoli nestanovuje ani neupravuje technické či technologické prostředky. </w:t>
      </w:r>
    </w:p>
    <w:p w14:paraId="300BDD10" w14:textId="77777777" w:rsidR="00662BB7" w:rsidRPr="003730B5" w:rsidRDefault="00662BB7" w:rsidP="00D16775">
      <w:pPr>
        <w:pStyle w:val="Nadpis2"/>
        <w:widowControl w:val="0"/>
        <w:numPr>
          <w:ilvl w:val="2"/>
          <w:numId w:val="28"/>
        </w:numPr>
        <w:shd w:val="clear" w:color="auto" w:fill="FFFFFF"/>
        <w:jc w:val="both"/>
        <w:rPr>
          <w:rFonts w:cs="Times New Roman"/>
          <w:sz w:val="28"/>
        </w:rPr>
      </w:pPr>
      <w:r w:rsidRPr="003730B5">
        <w:rPr>
          <w:rFonts w:cs="Times New Roman"/>
          <w:sz w:val="28"/>
        </w:rPr>
        <w:t>Uživatelská přívětivost</w:t>
      </w:r>
    </w:p>
    <w:p w14:paraId="5F812771" w14:textId="2772D3C8" w:rsidR="00662BB7" w:rsidRPr="003730B5" w:rsidRDefault="00B23C9A" w:rsidP="00D16775">
      <w:pPr>
        <w:keepNext/>
        <w:rPr>
          <w:rFonts w:eastAsia="Calibri"/>
        </w:rPr>
      </w:pPr>
      <w:r w:rsidRPr="003730B5">
        <w:t>Navrhovaná úprava</w:t>
      </w:r>
      <w:r w:rsidR="00AF0EE0" w:rsidRPr="003730B5">
        <w:t xml:space="preserve"> </w:t>
      </w:r>
      <w:r w:rsidRPr="003730B5">
        <w:t xml:space="preserve">v oblasti daní </w:t>
      </w:r>
      <w:r w:rsidR="00AF0EE0" w:rsidRPr="003730B5">
        <w:t xml:space="preserve">nepředpokládá </w:t>
      </w:r>
      <w:r w:rsidR="00E712DE" w:rsidRPr="003730B5">
        <w:t>v </w:t>
      </w:r>
      <w:r w:rsidR="00AF0EE0" w:rsidRPr="003730B5">
        <w:t xml:space="preserve">této oblasti odchylky od obecné právní úpravy při správě daní, poplatků </w:t>
      </w:r>
      <w:r w:rsidR="00E712DE" w:rsidRPr="003730B5">
        <w:t>a </w:t>
      </w:r>
      <w:r w:rsidR="00AF0EE0" w:rsidRPr="003730B5">
        <w:t>jiných obdobnýc</w:t>
      </w:r>
      <w:r w:rsidR="00C74707" w:rsidRPr="003730B5">
        <w:t>h peněžitých plnění ani praxe</w:t>
      </w:r>
      <w:r w:rsidR="00AF0EE0" w:rsidRPr="003730B5">
        <w:t xml:space="preserve"> správc</w:t>
      </w:r>
      <w:r w:rsidR="00C74707" w:rsidRPr="003730B5">
        <w:t>ů</w:t>
      </w:r>
      <w:r w:rsidR="00AF0EE0" w:rsidRPr="003730B5">
        <w:t xml:space="preserve"> daně. </w:t>
      </w:r>
    </w:p>
    <w:p w14:paraId="4FF5AB88" w14:textId="77777777" w:rsidR="00133AC8" w:rsidRPr="003730B5" w:rsidRDefault="00133AC8" w:rsidP="00133AC8">
      <w:pPr>
        <w:pageBreakBefore/>
        <w:widowControl w:val="0"/>
        <w:spacing w:before="240" w:after="120"/>
        <w:jc w:val="center"/>
        <w:outlineLvl w:val="0"/>
        <w:rPr>
          <w:b/>
          <w:sz w:val="36"/>
        </w:rPr>
      </w:pPr>
      <w:r w:rsidRPr="003730B5">
        <w:rPr>
          <w:b/>
          <w:sz w:val="36"/>
        </w:rPr>
        <w:lastRenderedPageBreak/>
        <w:t>II. Zvláštní část</w:t>
      </w:r>
    </w:p>
    <w:p w14:paraId="1EC26675" w14:textId="77777777" w:rsidR="00133AC8" w:rsidRPr="003730B5" w:rsidRDefault="00133AC8" w:rsidP="00133AC8">
      <w:pPr>
        <w:widowControl w:val="0"/>
        <w:spacing w:before="240" w:after="120"/>
        <w:outlineLvl w:val="1"/>
        <w:rPr>
          <w:b/>
          <w:sz w:val="28"/>
        </w:rPr>
      </w:pPr>
      <w:r w:rsidRPr="003730B5">
        <w:rPr>
          <w:b/>
          <w:sz w:val="28"/>
        </w:rPr>
        <w:t>K části první – Změna trestní řádu</w:t>
      </w:r>
    </w:p>
    <w:p w14:paraId="719106B3" w14:textId="3DA77B3B" w:rsidR="00374BC5" w:rsidRPr="003730B5" w:rsidRDefault="00374BC5" w:rsidP="00133AC8">
      <w:pPr>
        <w:widowControl w:val="0"/>
        <w:autoSpaceDE w:val="0"/>
        <w:autoSpaceDN w:val="0"/>
        <w:adjustRightInd w:val="0"/>
        <w:spacing w:after="120"/>
        <w:rPr>
          <w:szCs w:val="24"/>
        </w:rPr>
      </w:pPr>
      <w:r w:rsidRPr="003730B5">
        <w:rPr>
          <w:szCs w:val="24"/>
        </w:rPr>
        <w:t xml:space="preserve">Navrhovaná změna trestního řádu je součástí souboru novel, jejichž cílem je zejména převod kompetence k vymáhání tzv. justičních pohledávek na orgány Cení správy České republiky. </w:t>
      </w:r>
    </w:p>
    <w:p w14:paraId="22E14603" w14:textId="252402ED" w:rsidR="00133AC8" w:rsidRPr="003730B5" w:rsidRDefault="00133AC8" w:rsidP="00133AC8">
      <w:pPr>
        <w:widowControl w:val="0"/>
        <w:autoSpaceDE w:val="0"/>
        <w:autoSpaceDN w:val="0"/>
        <w:adjustRightInd w:val="0"/>
        <w:spacing w:after="120"/>
        <w:rPr>
          <w:b/>
          <w:szCs w:val="24"/>
        </w:rPr>
      </w:pPr>
      <w:r w:rsidRPr="003730B5">
        <w:rPr>
          <w:szCs w:val="24"/>
        </w:rPr>
        <w:t>Přijetím nového trestního zákoníku došlo v právní úpravě trestních sankcí k výrazným změnám, přičemž zákonodárce předpokládal, že se tyto změny projeví pozitivním směrem v uplatňované sankční politice, a to především snížením aplikace krátkodobých nepodmíněných trestů odnětí svobody a snížením počtu vězněných osob.</w:t>
      </w:r>
      <w:r w:rsidRPr="003730B5">
        <w:rPr>
          <w:b/>
          <w:szCs w:val="24"/>
        </w:rPr>
        <w:t xml:space="preserve"> </w:t>
      </w:r>
    </w:p>
    <w:p w14:paraId="37479AB6" w14:textId="77777777" w:rsidR="00133AC8" w:rsidRPr="003730B5" w:rsidRDefault="00133AC8" w:rsidP="00133AC8">
      <w:pPr>
        <w:widowControl w:val="0"/>
        <w:autoSpaceDE w:val="0"/>
        <w:autoSpaceDN w:val="0"/>
        <w:adjustRightInd w:val="0"/>
        <w:spacing w:after="120"/>
        <w:rPr>
          <w:szCs w:val="24"/>
        </w:rPr>
      </w:pPr>
      <w:r w:rsidRPr="003730B5">
        <w:rPr>
          <w:szCs w:val="24"/>
        </w:rPr>
        <w:t>U trestných činů, u kterých to jejich povaha umožňuje, by měly být zásadně ukládány jiné tresty než trest odnětí svobody, ledaže by s přihlédnutím k osobním, rodinným, majetkovým a jiným poměrům pachatele, jeho dosavadnímu způsobu života a možnostem nápravy uložení alternativního trestu zjevně nevedlo k tomu, aby pachatel vedl řádný život.</w:t>
      </w:r>
    </w:p>
    <w:p w14:paraId="510705BE" w14:textId="77777777" w:rsidR="00133AC8" w:rsidRPr="003730B5" w:rsidRDefault="00133AC8" w:rsidP="00133AC8">
      <w:pPr>
        <w:widowControl w:val="0"/>
        <w:autoSpaceDE w:val="0"/>
        <w:autoSpaceDN w:val="0"/>
        <w:adjustRightInd w:val="0"/>
        <w:spacing w:after="120"/>
        <w:rPr>
          <w:szCs w:val="24"/>
        </w:rPr>
      </w:pPr>
      <w:r w:rsidRPr="003730B5">
        <w:rPr>
          <w:szCs w:val="24"/>
        </w:rPr>
        <w:t>Bohužel jak praxe ukázala, toto očekávání spojené s přijetím nového trestního kodexu se nenaplnilo a trest odnětí svobody (ať už ve své nepodmíněné formě, tak jako trest, jehož výkon je podmíněně odložen) byl v soudní praxi i nadále ukládán ve většině případů. Naopak peněžitý trest, který může být pokládán za vhodný trest u řady trestných činů nižší společenské škodlivosti, byl ukládán v nedostatečném množství a nebylo tak využito potenciálu, který tento druh trestu skýtá.</w:t>
      </w:r>
    </w:p>
    <w:p w14:paraId="15742AC2" w14:textId="77777777" w:rsidR="00133AC8" w:rsidRPr="003730B5" w:rsidRDefault="00133AC8" w:rsidP="00133AC8">
      <w:pPr>
        <w:widowControl w:val="0"/>
        <w:autoSpaceDE w:val="0"/>
        <w:autoSpaceDN w:val="0"/>
        <w:adjustRightInd w:val="0"/>
        <w:spacing w:after="120"/>
        <w:rPr>
          <w:szCs w:val="24"/>
        </w:rPr>
      </w:pPr>
      <w:r w:rsidRPr="003730B5">
        <w:rPr>
          <w:szCs w:val="24"/>
        </w:rPr>
        <w:t>Na tento stav se reagovalo jak cestou legislativních změn, tak i využitím nelegislativních nástrojů.</w:t>
      </w:r>
    </w:p>
    <w:p w14:paraId="24991B10" w14:textId="77777777" w:rsidR="00133AC8" w:rsidRPr="003730B5" w:rsidRDefault="00133AC8" w:rsidP="00133AC8">
      <w:pPr>
        <w:widowControl w:val="0"/>
        <w:autoSpaceDE w:val="0"/>
        <w:autoSpaceDN w:val="0"/>
        <w:adjustRightInd w:val="0"/>
        <w:spacing w:after="120"/>
        <w:rPr>
          <w:szCs w:val="24"/>
        </w:rPr>
      </w:pPr>
      <w:r w:rsidRPr="003730B5">
        <w:rPr>
          <w:szCs w:val="24"/>
        </w:rPr>
        <w:t>Legislativní opatření cílící na zvýšení počtu ukládaných peněžitých trestů byla přijímána opakovaně, naposledy s účinností k 1. 10. 2020 zákonem č. 333/2020 Sb., kterým se mění zákon č. 40/2009 Sb., trestní zákoník, ve znění pozdějších předpisů, zákon č. 141/1961 Sb., o trestním řízení soudním (trestní řád), ve znění pozdějších předpisů, a některé další zákony.</w:t>
      </w:r>
    </w:p>
    <w:p w14:paraId="20AFEC56" w14:textId="77777777" w:rsidR="00133AC8" w:rsidRPr="003730B5" w:rsidRDefault="00133AC8" w:rsidP="00133AC8">
      <w:pPr>
        <w:widowControl w:val="0"/>
        <w:autoSpaceDE w:val="0"/>
        <w:autoSpaceDN w:val="0"/>
        <w:adjustRightInd w:val="0"/>
        <w:spacing w:after="120"/>
        <w:rPr>
          <w:szCs w:val="24"/>
        </w:rPr>
      </w:pPr>
      <w:r w:rsidRPr="003730B5">
        <w:rPr>
          <w:szCs w:val="24"/>
        </w:rPr>
        <w:t xml:space="preserve">V důsledku přijatých legislativních opatření i úsilí o změny v oblasti sankční praxe počet ukládaných peněžitých trestů v posledních letech vzrůstá a v roce 2021 představoval podíl uložených peněžitých trestů ve vztahu k počtu odsouzených osob 24,4 %, oproti podílu 15,4 % v roce 2017 nebo 5,8 % v roce 2015. </w:t>
      </w:r>
    </w:p>
    <w:p w14:paraId="180A6993" w14:textId="77777777" w:rsidR="00133AC8" w:rsidRPr="003730B5" w:rsidRDefault="00133AC8" w:rsidP="00133AC8">
      <w:pPr>
        <w:spacing w:before="120"/>
        <w:rPr>
          <w:szCs w:val="24"/>
        </w:rPr>
      </w:pPr>
      <w:r w:rsidRPr="003730B5">
        <w:rPr>
          <w:noProof/>
          <w:szCs w:val="24"/>
        </w:rPr>
        <w:drawing>
          <wp:inline distT="0" distB="0" distL="0" distR="0" wp14:anchorId="2E3132A2" wp14:editId="30703650">
            <wp:extent cx="5760720" cy="3080533"/>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8689" cy="3084794"/>
                    </a:xfrm>
                    <a:prstGeom prst="rect">
                      <a:avLst/>
                    </a:prstGeom>
                  </pic:spPr>
                </pic:pic>
              </a:graphicData>
            </a:graphic>
          </wp:inline>
        </w:drawing>
      </w:r>
    </w:p>
    <w:p w14:paraId="6280E712" w14:textId="77777777" w:rsidR="00133AC8" w:rsidRPr="003730B5" w:rsidRDefault="00133AC8" w:rsidP="00A24C00">
      <w:pPr>
        <w:spacing w:after="240"/>
        <w:jc w:val="left"/>
        <w:rPr>
          <w:i/>
          <w:iCs/>
          <w:szCs w:val="24"/>
        </w:rPr>
      </w:pPr>
      <w:r w:rsidRPr="003730B5">
        <w:rPr>
          <w:i/>
          <w:iCs/>
          <w:szCs w:val="24"/>
        </w:rPr>
        <w:lastRenderedPageBreak/>
        <w:t>Zpráva o činnosti státního zastupitelství za rok 2021</w:t>
      </w:r>
    </w:p>
    <w:p w14:paraId="062D8000" w14:textId="77777777" w:rsidR="00133AC8" w:rsidRPr="003730B5" w:rsidRDefault="00133AC8" w:rsidP="00133AC8">
      <w:pPr>
        <w:widowControl w:val="0"/>
        <w:autoSpaceDE w:val="0"/>
        <w:autoSpaceDN w:val="0"/>
        <w:adjustRightInd w:val="0"/>
        <w:spacing w:after="120"/>
        <w:rPr>
          <w:szCs w:val="24"/>
        </w:rPr>
      </w:pPr>
      <w:r w:rsidRPr="003730B5">
        <w:rPr>
          <w:szCs w:val="24"/>
        </w:rPr>
        <w:t>Navzdory uvedenému pozitivnímu trendu lze konstatovat, že v podílu uložených peněžitých trestů stále nedosahuje Česká republika úrovně obvyklé v jiných státech. Uvádí se např., že v Německu je tento druh trestu ukládán u více než 80 % odsouzených, ve Finsku více než 50 %, v Maďarsku téměř 50 %, ve Francii a Švýcarsku přibližně 30 %.</w:t>
      </w:r>
      <w:r w:rsidRPr="003730B5">
        <w:rPr>
          <w:rStyle w:val="Znakapoznpodarou"/>
          <w:szCs w:val="24"/>
        </w:rPr>
        <w:footnoteReference w:id="4"/>
      </w:r>
    </w:p>
    <w:p w14:paraId="1A94270A" w14:textId="77777777" w:rsidR="00133AC8" w:rsidRPr="003730B5" w:rsidRDefault="00133AC8" w:rsidP="00133AC8">
      <w:pPr>
        <w:widowControl w:val="0"/>
        <w:autoSpaceDE w:val="0"/>
        <w:autoSpaceDN w:val="0"/>
        <w:adjustRightInd w:val="0"/>
        <w:spacing w:after="120"/>
        <w:rPr>
          <w:szCs w:val="24"/>
        </w:rPr>
      </w:pPr>
      <w:r w:rsidRPr="003730B5">
        <w:rPr>
          <w:szCs w:val="24"/>
        </w:rPr>
        <w:t xml:space="preserve">Předkládaný návrh na dřívější opatření navazuje a doplňuje je.  </w:t>
      </w:r>
    </w:p>
    <w:p w14:paraId="40AA7676" w14:textId="77777777" w:rsidR="00133AC8" w:rsidRPr="003730B5" w:rsidRDefault="00133AC8" w:rsidP="00133AC8">
      <w:pPr>
        <w:widowControl w:val="0"/>
        <w:autoSpaceDE w:val="0"/>
        <w:autoSpaceDN w:val="0"/>
        <w:adjustRightInd w:val="0"/>
        <w:spacing w:after="120"/>
        <w:rPr>
          <w:szCs w:val="24"/>
        </w:rPr>
      </w:pPr>
      <w:r w:rsidRPr="003730B5">
        <w:rPr>
          <w:szCs w:val="24"/>
        </w:rPr>
        <w:t xml:space="preserve">Cílem předkládaného návrhu zákona je zvýšit efektivitu vymáhání peněžitých trestů a dalších justičních pohledávek, jejichž správa placení se řídí daňovým řádem, kdy má dojít ke změně orgánu příslušného k jejich vymáhání. Napříště by tyto pohledávky neměly vymáhat jednotlivé soudy (v současné době vymáhá peněžité tresty všech 86 okresních a 8 krajských soudů, pokud jej uložily, prostřednictvím svých zaměstnanců nebo prostřednictvím soudních exekutorů), ale navrhuje se využít možnosti předvídané daňovým řádem, a tuto agendu svěřit Celní správě </w:t>
      </w:r>
      <w:r w:rsidRPr="003730B5">
        <w:rPr>
          <w:bCs/>
          <w:szCs w:val="24"/>
        </w:rPr>
        <w:t xml:space="preserve">České republiky </w:t>
      </w:r>
      <w:r w:rsidRPr="003730B5">
        <w:rPr>
          <w:szCs w:val="24"/>
        </w:rPr>
        <w:t xml:space="preserve">v rámci tzv. </w:t>
      </w:r>
      <w:r w:rsidRPr="003730B5">
        <w:rPr>
          <w:i/>
          <w:szCs w:val="24"/>
        </w:rPr>
        <w:t>dělené správy</w:t>
      </w:r>
      <w:r w:rsidRPr="003730B5">
        <w:rPr>
          <w:szCs w:val="24"/>
        </w:rPr>
        <w:t>, čímž dojde k žádoucí kumulaci všech pohledávek u jednoho vymáhajícího orgánu (resp. na jednotlivých celních úřadech).</w:t>
      </w:r>
      <w:r w:rsidRPr="003730B5">
        <w:rPr>
          <w:bCs/>
          <w:szCs w:val="24"/>
        </w:rPr>
        <w:t xml:space="preserve"> </w:t>
      </w:r>
    </w:p>
    <w:p w14:paraId="668F5FD0" w14:textId="45026723" w:rsidR="00133AC8" w:rsidRPr="003730B5" w:rsidRDefault="00133AC8" w:rsidP="00133AC8">
      <w:pPr>
        <w:widowControl w:val="0"/>
        <w:autoSpaceDE w:val="0"/>
        <w:autoSpaceDN w:val="0"/>
        <w:adjustRightInd w:val="0"/>
        <w:spacing w:after="120"/>
        <w:rPr>
          <w:b/>
        </w:rPr>
      </w:pPr>
      <w:bookmarkStart w:id="6" w:name="_Hlk24992148"/>
      <w:r w:rsidRPr="003730B5">
        <w:t xml:space="preserve">V současném </w:t>
      </w:r>
      <w:r w:rsidRPr="003730B5">
        <w:rPr>
          <w:szCs w:val="24"/>
        </w:rPr>
        <w:t>systému</w:t>
      </w:r>
      <w:r w:rsidRPr="003730B5">
        <w:t xml:space="preserve"> vymáhání justičních pohledávek vymáhají soudy, státní zastupitelství a Vězeňská služba jako správci daně podle daňového řádu justiční pohledávky, jejichž správa placení podléhá daňovému řádu. Těmito justičními pohledávkami, při jejichž správě placení se postupuje podle daňového řádu, jsou pořádkové pokuty (uložené podle občanského soudního řádu, soudního řádu správního, trestního řádu, podle zákona o řízení ve věcech soudců, státních zástupců a soudních exekutorů a podle zákona o státním zastupitelství), některé náklady civilního řízení a soudního řízení správního, které platil stát, soudní poplatky, náklady trestního řízení, včetně nákladů za ustanovené obhájce, náklady mezinárodní justiční spolupráce ve věcech trestních a některé další pohledávky podle zákona o mezinárodní justiční spolupráci ve věcech trestních, peněžité tresty, náklady spojené s výkonem vazby a s výkonem trestu odnětí svobody, náhrady škody podle zákona o výkonu vazby, zákona o výkonu trestu odnětí svobody a zákona o výkonu zabezpečovací detence, a náklady daňové exekuce.</w:t>
      </w:r>
    </w:p>
    <w:p w14:paraId="255B8B53" w14:textId="77777777" w:rsidR="00133AC8" w:rsidRPr="003730B5" w:rsidRDefault="00133AC8" w:rsidP="00133AC8">
      <w:pPr>
        <w:widowControl w:val="0"/>
        <w:autoSpaceDE w:val="0"/>
        <w:autoSpaceDN w:val="0"/>
        <w:adjustRightInd w:val="0"/>
        <w:spacing w:after="120"/>
        <w:rPr>
          <w:b/>
        </w:rPr>
      </w:pPr>
      <w:r w:rsidRPr="003730B5">
        <w:t>V praxi se uvedené pohledávky vymáhají v režimu daňového řádu přímo soudy, státními zastupitelstvími a Vězeňskou službou nebo prostřednictvím soudního exekutora. Daňové justiční pohledávky tak vymáhají jednotlivé soudy, resp. státní zastupitelství a Vězeňská služba svými zaměstnanci, v některých případech pak využívají služeb soudního exekutora, který byl vybrán ve výběrovém řízení. Vymáhání zmíněných pohledávek je proto značně roztříštěno mezi jednotlivé složky resortu justice a současně zde panuje nejednotnost v přístupu (vymáhání vlastními zaměstnanci nebo prostřednictvím soudního exekutora).</w:t>
      </w:r>
    </w:p>
    <w:p w14:paraId="43FCC40C" w14:textId="77777777" w:rsidR="00133AC8" w:rsidRPr="003730B5" w:rsidRDefault="00133AC8" w:rsidP="00133AC8">
      <w:pPr>
        <w:widowControl w:val="0"/>
        <w:autoSpaceDE w:val="0"/>
        <w:autoSpaceDN w:val="0"/>
        <w:adjustRightInd w:val="0"/>
        <w:spacing w:after="120"/>
        <w:rPr>
          <w:b/>
        </w:rPr>
      </w:pPr>
      <w:r w:rsidRPr="003730B5">
        <w:t xml:space="preserve">Konkrétně má </w:t>
      </w:r>
      <w:r w:rsidRPr="003730B5">
        <w:rPr>
          <w:szCs w:val="24"/>
        </w:rPr>
        <w:t>smlouvu</w:t>
      </w:r>
      <w:r w:rsidRPr="003730B5">
        <w:t xml:space="preserve"> se soudním exekutorem uzavřenou 55 % všech okresních a krajských soudů. Naproti tomu zbývajících 45 % soudů si justiční pohledávky i nadále vymáhá samo prostřednictvím vlastních zaměstnanců. V rámci celé České republiky tak panuje zřejmá nejednotnost v otázce vymáhání a shodný přístup nelze vysledovat ani v jednotlivých krajích. Ze strany soudů, které smlouvu se soudním exekutorem uzavřenou mají, zpravidla nejsou soudnímu exekutorovi předávány k vymáhání všechny justiční pohledávky. Procento objemu pohledávek předávané jednotlivými soudy se liší, přičemž často nejsou předávány tzv</w:t>
      </w:r>
      <w:r w:rsidRPr="003730B5">
        <w:rPr>
          <w:i/>
        </w:rPr>
        <w:t>. bagatelní pohledávky</w:t>
      </w:r>
      <w:r w:rsidRPr="003730B5">
        <w:t xml:space="preserve">. Dalším problémem je nedostatečná kvalifikace vymáhajících zaměstnanců, kteří jsou zařazeni do 8. platové třídy, ačkoli podle daňového řádu činí často poměrně složité úkony. </w:t>
      </w:r>
    </w:p>
    <w:p w14:paraId="52F9D27B" w14:textId="77777777" w:rsidR="00133AC8" w:rsidRPr="003730B5" w:rsidRDefault="00133AC8" w:rsidP="00133AC8">
      <w:pPr>
        <w:widowControl w:val="0"/>
        <w:autoSpaceDE w:val="0"/>
        <w:autoSpaceDN w:val="0"/>
        <w:adjustRightInd w:val="0"/>
        <w:spacing w:after="120"/>
        <w:rPr>
          <w:b/>
        </w:rPr>
      </w:pPr>
      <w:r w:rsidRPr="003730B5">
        <w:t xml:space="preserve">Skutečnost, že </w:t>
      </w:r>
      <w:r w:rsidRPr="003730B5">
        <w:rPr>
          <w:szCs w:val="24"/>
        </w:rPr>
        <w:t>pohledávky</w:t>
      </w:r>
      <w:r w:rsidRPr="003730B5">
        <w:t xml:space="preserve"> nejsou vymáhány centrálně jedním orgánem, vede k horší </w:t>
      </w:r>
      <w:r w:rsidRPr="003730B5">
        <w:lastRenderedPageBreak/>
        <w:t>předvídatelnosti procesního postupu orgánů vymáhajících justiční pohledávky, k jeho nejednotnosti a též ke značné neefektivitě při vymáhání. Tato skutečnost má bezesporu negativní vliv jak na objem neuhrazených pohledávek, tak i na samotné dlužníky. Specifikem resortu justice je, že dlužníci mají řadu pohledávek za jednotlivými složkami justice – např. pohledávky z trestního řízení spočívající v náhradě odměny ustanoveného obhájce vůči soudu, pohledávky na náklady spojené s výkonem trestu pak vůči jednotlivým věznicím, ve kterých trest odsouzený vykonával apod. – všechny tyto složky vymáhají pohledávky za tímto dlužníkem samostatně, bez vzájemné součinnosti, což je bezesporu neefektivní (nedochází ke sdílení informací) a pro dlužníka i zatěžující. V případě, kdy je pohledávka vymáhána cestou soudního exekutora, se pak k tomu přidává i otázka jeho odměny. Na základě platných právních předpisů je totiž pro dlužníka větší zátěží z hlediska placení nákladů exekuce, pokud je jeho pohledávka vymáhána cestou soudního exekutora, nežli je tomu v případě exekuce prováděné zaměstnanci soudu.</w:t>
      </w:r>
    </w:p>
    <w:p w14:paraId="550C9585" w14:textId="77777777" w:rsidR="00133AC8" w:rsidRPr="003730B5" w:rsidRDefault="00133AC8" w:rsidP="00133AC8">
      <w:pPr>
        <w:widowControl w:val="0"/>
        <w:autoSpaceDE w:val="0"/>
        <w:autoSpaceDN w:val="0"/>
        <w:adjustRightInd w:val="0"/>
        <w:spacing w:after="120"/>
        <w:rPr>
          <w:b/>
        </w:rPr>
      </w:pPr>
      <w:r w:rsidRPr="003730B5">
        <w:t xml:space="preserve">Nedostatkem či spíše </w:t>
      </w:r>
      <w:r w:rsidRPr="003730B5">
        <w:rPr>
          <w:szCs w:val="24"/>
        </w:rPr>
        <w:t>důsledkem</w:t>
      </w:r>
      <w:r w:rsidRPr="003730B5">
        <w:t xml:space="preserve"> stávajícího systému jsou vysoký objem i procento neuhrazených justičních pohledávek. </w:t>
      </w:r>
    </w:p>
    <w:p w14:paraId="5ED0EB2D" w14:textId="77777777" w:rsidR="00133AC8" w:rsidRPr="003730B5" w:rsidRDefault="00133AC8" w:rsidP="00133AC8">
      <w:pPr>
        <w:widowControl w:val="0"/>
        <w:autoSpaceDE w:val="0"/>
        <w:autoSpaceDN w:val="0"/>
        <w:adjustRightInd w:val="0"/>
        <w:spacing w:after="120"/>
        <w:rPr>
          <w:bCs/>
          <w:szCs w:val="24"/>
        </w:rPr>
      </w:pPr>
      <w:bookmarkStart w:id="7" w:name="_Hlk129681125"/>
      <w:bookmarkEnd w:id="6"/>
      <w:r w:rsidRPr="003730B5">
        <w:rPr>
          <w:bCs/>
          <w:szCs w:val="24"/>
        </w:rPr>
        <w:t xml:space="preserve">K 31. 12. 2022 </w:t>
      </w:r>
      <w:bookmarkEnd w:id="7"/>
      <w:r w:rsidRPr="003730B5">
        <w:rPr>
          <w:bCs/>
          <w:szCs w:val="24"/>
        </w:rPr>
        <w:t xml:space="preserve">představovaly </w:t>
      </w:r>
      <w:r w:rsidRPr="003730B5">
        <w:rPr>
          <w:szCs w:val="24"/>
        </w:rPr>
        <w:t>neuhrazené</w:t>
      </w:r>
      <w:r w:rsidRPr="003730B5">
        <w:rPr>
          <w:bCs/>
          <w:szCs w:val="24"/>
        </w:rPr>
        <w:t xml:space="preserve"> aktivní pohledávky, evidované všemi soudy České republiky, částku 5 797,9 mil. Kč. Vedle toho jsou na podrozvahových účtech evidovány ještě nedoplatky tzv. pasivních pohledávek, u kterých bylo upuštěno od vymáhání (nedaňové pohledávky) nebo byly odepsány pro nedobytnost (daňové pohledávky), a to v částce 1 027,7 mil. Kč.</w:t>
      </w:r>
    </w:p>
    <w:p w14:paraId="0FDB11B7" w14:textId="77777777" w:rsidR="00133AC8" w:rsidRPr="003730B5" w:rsidRDefault="00133AC8" w:rsidP="00133AC8">
      <w:pPr>
        <w:widowControl w:val="0"/>
        <w:autoSpaceDE w:val="0"/>
        <w:autoSpaceDN w:val="0"/>
        <w:adjustRightInd w:val="0"/>
        <w:spacing w:after="120"/>
        <w:rPr>
          <w:bCs/>
          <w:szCs w:val="24"/>
        </w:rPr>
      </w:pPr>
      <w:r w:rsidRPr="003730B5">
        <w:rPr>
          <w:bCs/>
          <w:szCs w:val="24"/>
        </w:rPr>
        <w:t xml:space="preserve">Struktura neuhrazených </w:t>
      </w:r>
      <w:r w:rsidRPr="003730B5">
        <w:rPr>
          <w:szCs w:val="24"/>
        </w:rPr>
        <w:t>pohledávek</w:t>
      </w:r>
      <w:r w:rsidRPr="003730B5">
        <w:rPr>
          <w:bCs/>
          <w:szCs w:val="24"/>
        </w:rPr>
        <w:t xml:space="preserve"> je následující:</w:t>
      </w:r>
    </w:p>
    <w:tbl>
      <w:tblPr>
        <w:tblStyle w:val="Mkatabulky"/>
        <w:tblW w:w="0" w:type="auto"/>
        <w:tblLook w:val="04A0" w:firstRow="1" w:lastRow="0" w:firstColumn="1" w:lastColumn="0" w:noHBand="0" w:noVBand="1"/>
      </w:tblPr>
      <w:tblGrid>
        <w:gridCol w:w="2227"/>
        <w:gridCol w:w="2227"/>
        <w:gridCol w:w="2229"/>
        <w:gridCol w:w="2329"/>
      </w:tblGrid>
      <w:tr w:rsidR="00133AC8" w:rsidRPr="003730B5" w14:paraId="7FADE29B" w14:textId="77777777" w:rsidTr="008764C5">
        <w:tc>
          <w:tcPr>
            <w:tcW w:w="2265" w:type="dxa"/>
            <w:vMerge w:val="restart"/>
            <w:tcBorders>
              <w:top w:val="thickThinMediumGap" w:sz="12" w:space="0" w:color="333333"/>
              <w:left w:val="thickThinMediumGap" w:sz="12" w:space="0" w:color="333333"/>
            </w:tcBorders>
            <w:shd w:val="clear" w:color="auto" w:fill="DAEEF3" w:themeFill="accent5" w:themeFillTint="33"/>
          </w:tcPr>
          <w:p w14:paraId="62435054" w14:textId="77777777" w:rsidR="00133AC8" w:rsidRPr="003730B5" w:rsidRDefault="00133AC8" w:rsidP="008764C5">
            <w:pPr>
              <w:rPr>
                <w:bCs/>
                <w:sz w:val="20"/>
              </w:rPr>
            </w:pPr>
            <w:r w:rsidRPr="003730B5">
              <w:rPr>
                <w:bCs/>
                <w:sz w:val="20"/>
              </w:rPr>
              <w:t xml:space="preserve">Neuhrazené pohledávky </w:t>
            </w:r>
          </w:p>
          <w:p w14:paraId="4B6D7EDB" w14:textId="77777777" w:rsidR="00133AC8" w:rsidRPr="003730B5" w:rsidRDefault="00133AC8" w:rsidP="008764C5">
            <w:pPr>
              <w:rPr>
                <w:bCs/>
                <w:sz w:val="20"/>
              </w:rPr>
            </w:pPr>
            <w:r w:rsidRPr="003730B5">
              <w:rPr>
                <w:bCs/>
                <w:sz w:val="20"/>
              </w:rPr>
              <w:t>(aktivní)</w:t>
            </w:r>
          </w:p>
        </w:tc>
        <w:tc>
          <w:tcPr>
            <w:tcW w:w="2265" w:type="dxa"/>
            <w:tcBorders>
              <w:top w:val="thickThinMediumGap" w:sz="12" w:space="0" w:color="333333"/>
            </w:tcBorders>
          </w:tcPr>
          <w:p w14:paraId="42A87751" w14:textId="77777777" w:rsidR="00133AC8" w:rsidRPr="003730B5" w:rsidRDefault="00133AC8" w:rsidP="008764C5">
            <w:pPr>
              <w:rPr>
                <w:bCs/>
                <w:sz w:val="20"/>
              </w:rPr>
            </w:pPr>
            <w:r w:rsidRPr="003730B5">
              <w:rPr>
                <w:bCs/>
                <w:sz w:val="20"/>
              </w:rPr>
              <w:t xml:space="preserve">daňové pohledávky </w:t>
            </w:r>
          </w:p>
        </w:tc>
        <w:tc>
          <w:tcPr>
            <w:tcW w:w="2266" w:type="dxa"/>
            <w:tcBorders>
              <w:top w:val="thickThinMediumGap" w:sz="12" w:space="0" w:color="333333"/>
            </w:tcBorders>
          </w:tcPr>
          <w:p w14:paraId="53F63D82" w14:textId="77777777" w:rsidR="00133AC8" w:rsidRPr="003730B5" w:rsidRDefault="00133AC8" w:rsidP="008764C5">
            <w:pPr>
              <w:rPr>
                <w:bCs/>
                <w:sz w:val="20"/>
              </w:rPr>
            </w:pPr>
            <w:r w:rsidRPr="003730B5">
              <w:rPr>
                <w:bCs/>
                <w:sz w:val="20"/>
              </w:rPr>
              <w:t xml:space="preserve">5 769,3 mil. Kč </w:t>
            </w:r>
          </w:p>
        </w:tc>
        <w:tc>
          <w:tcPr>
            <w:tcW w:w="2384" w:type="dxa"/>
            <w:tcBorders>
              <w:top w:val="thickThinMediumGap" w:sz="12" w:space="0" w:color="333333"/>
              <w:right w:val="thickThinMediumGap" w:sz="12" w:space="0" w:color="333333"/>
            </w:tcBorders>
          </w:tcPr>
          <w:p w14:paraId="28A29153" w14:textId="77777777" w:rsidR="00133AC8" w:rsidRPr="003730B5" w:rsidRDefault="00133AC8" w:rsidP="008764C5">
            <w:pPr>
              <w:rPr>
                <w:bCs/>
                <w:sz w:val="20"/>
              </w:rPr>
            </w:pPr>
            <w:r w:rsidRPr="003730B5">
              <w:rPr>
                <w:bCs/>
                <w:sz w:val="20"/>
              </w:rPr>
              <w:t>99,5 %</w:t>
            </w:r>
          </w:p>
        </w:tc>
      </w:tr>
      <w:tr w:rsidR="00133AC8" w:rsidRPr="003730B5" w14:paraId="4B61B002" w14:textId="77777777" w:rsidTr="008764C5">
        <w:tc>
          <w:tcPr>
            <w:tcW w:w="2265" w:type="dxa"/>
            <w:vMerge/>
            <w:tcBorders>
              <w:left w:val="thickThinMediumGap" w:sz="12" w:space="0" w:color="333333"/>
            </w:tcBorders>
            <w:shd w:val="clear" w:color="auto" w:fill="DAEEF3" w:themeFill="accent5" w:themeFillTint="33"/>
          </w:tcPr>
          <w:p w14:paraId="4CDB631F" w14:textId="77777777" w:rsidR="00133AC8" w:rsidRPr="003730B5" w:rsidRDefault="00133AC8" w:rsidP="008764C5">
            <w:pPr>
              <w:rPr>
                <w:bCs/>
                <w:sz w:val="20"/>
              </w:rPr>
            </w:pPr>
          </w:p>
        </w:tc>
        <w:tc>
          <w:tcPr>
            <w:tcW w:w="2265" w:type="dxa"/>
          </w:tcPr>
          <w:p w14:paraId="17767E32" w14:textId="77777777" w:rsidR="00133AC8" w:rsidRPr="003730B5" w:rsidRDefault="00133AC8" w:rsidP="008764C5">
            <w:pPr>
              <w:rPr>
                <w:bCs/>
                <w:sz w:val="20"/>
              </w:rPr>
            </w:pPr>
            <w:r w:rsidRPr="003730B5">
              <w:rPr>
                <w:bCs/>
                <w:sz w:val="20"/>
              </w:rPr>
              <w:t xml:space="preserve">nedaňové pohledávky  </w:t>
            </w:r>
          </w:p>
        </w:tc>
        <w:tc>
          <w:tcPr>
            <w:tcW w:w="2266" w:type="dxa"/>
          </w:tcPr>
          <w:p w14:paraId="37D40727" w14:textId="77777777" w:rsidR="00133AC8" w:rsidRPr="003730B5" w:rsidRDefault="00133AC8" w:rsidP="008764C5">
            <w:pPr>
              <w:rPr>
                <w:bCs/>
                <w:sz w:val="20"/>
              </w:rPr>
            </w:pPr>
            <w:r w:rsidRPr="003730B5">
              <w:rPr>
                <w:bCs/>
                <w:sz w:val="20"/>
              </w:rPr>
              <w:t xml:space="preserve">28,6 mil. Kč </w:t>
            </w:r>
          </w:p>
        </w:tc>
        <w:tc>
          <w:tcPr>
            <w:tcW w:w="2384" w:type="dxa"/>
            <w:tcBorders>
              <w:right w:val="thickThinMediumGap" w:sz="12" w:space="0" w:color="333333"/>
            </w:tcBorders>
          </w:tcPr>
          <w:p w14:paraId="5C23257A" w14:textId="77777777" w:rsidR="00133AC8" w:rsidRPr="003730B5" w:rsidRDefault="00133AC8" w:rsidP="008764C5">
            <w:pPr>
              <w:rPr>
                <w:bCs/>
                <w:sz w:val="20"/>
              </w:rPr>
            </w:pPr>
            <w:r w:rsidRPr="003730B5">
              <w:rPr>
                <w:bCs/>
                <w:sz w:val="20"/>
              </w:rPr>
              <w:t xml:space="preserve"> 0,5 %</w:t>
            </w:r>
          </w:p>
        </w:tc>
      </w:tr>
      <w:tr w:rsidR="00133AC8" w:rsidRPr="003730B5" w14:paraId="7BFBA097" w14:textId="77777777" w:rsidTr="008764C5">
        <w:tc>
          <w:tcPr>
            <w:tcW w:w="2265" w:type="dxa"/>
            <w:vMerge/>
            <w:tcBorders>
              <w:left w:val="thickThinMediumGap" w:sz="12" w:space="0" w:color="333333"/>
              <w:bottom w:val="single" w:sz="12" w:space="0" w:color="auto"/>
            </w:tcBorders>
            <w:shd w:val="clear" w:color="auto" w:fill="DAEEF3" w:themeFill="accent5" w:themeFillTint="33"/>
          </w:tcPr>
          <w:p w14:paraId="7DAA0BC6" w14:textId="77777777" w:rsidR="00133AC8" w:rsidRPr="003730B5" w:rsidRDefault="00133AC8" w:rsidP="008764C5">
            <w:pPr>
              <w:rPr>
                <w:bCs/>
                <w:sz w:val="20"/>
              </w:rPr>
            </w:pPr>
          </w:p>
        </w:tc>
        <w:tc>
          <w:tcPr>
            <w:tcW w:w="2265" w:type="dxa"/>
            <w:tcBorders>
              <w:bottom w:val="single" w:sz="12" w:space="0" w:color="auto"/>
            </w:tcBorders>
          </w:tcPr>
          <w:p w14:paraId="7F929CF8" w14:textId="77777777" w:rsidR="00133AC8" w:rsidRPr="003730B5" w:rsidRDefault="00133AC8" w:rsidP="008764C5">
            <w:pPr>
              <w:rPr>
                <w:bCs/>
                <w:sz w:val="20"/>
              </w:rPr>
            </w:pPr>
            <w:r w:rsidRPr="003730B5">
              <w:rPr>
                <w:bCs/>
                <w:sz w:val="20"/>
              </w:rPr>
              <w:t xml:space="preserve">celkem </w:t>
            </w:r>
          </w:p>
        </w:tc>
        <w:tc>
          <w:tcPr>
            <w:tcW w:w="2266" w:type="dxa"/>
            <w:tcBorders>
              <w:bottom w:val="single" w:sz="12" w:space="0" w:color="auto"/>
            </w:tcBorders>
          </w:tcPr>
          <w:p w14:paraId="369CC19E" w14:textId="77777777" w:rsidR="00133AC8" w:rsidRPr="003730B5" w:rsidRDefault="00133AC8" w:rsidP="008764C5">
            <w:pPr>
              <w:rPr>
                <w:bCs/>
                <w:sz w:val="20"/>
              </w:rPr>
            </w:pPr>
            <w:r w:rsidRPr="003730B5">
              <w:rPr>
                <w:bCs/>
                <w:sz w:val="20"/>
              </w:rPr>
              <w:t xml:space="preserve">5 797,9 mil. Kč </w:t>
            </w:r>
          </w:p>
        </w:tc>
        <w:tc>
          <w:tcPr>
            <w:tcW w:w="2384" w:type="dxa"/>
            <w:tcBorders>
              <w:bottom w:val="single" w:sz="12" w:space="0" w:color="auto"/>
              <w:right w:val="thickThinMediumGap" w:sz="12" w:space="0" w:color="333333"/>
            </w:tcBorders>
          </w:tcPr>
          <w:p w14:paraId="36BC970D" w14:textId="77777777" w:rsidR="00133AC8" w:rsidRPr="003730B5" w:rsidRDefault="00133AC8" w:rsidP="008764C5">
            <w:pPr>
              <w:rPr>
                <w:bCs/>
                <w:sz w:val="20"/>
              </w:rPr>
            </w:pPr>
            <w:r w:rsidRPr="003730B5">
              <w:rPr>
                <w:bCs/>
                <w:sz w:val="20"/>
              </w:rPr>
              <w:t>100 %</w:t>
            </w:r>
          </w:p>
        </w:tc>
      </w:tr>
      <w:tr w:rsidR="00133AC8" w:rsidRPr="003730B5" w14:paraId="60BEBE83" w14:textId="77777777" w:rsidTr="008764C5">
        <w:tc>
          <w:tcPr>
            <w:tcW w:w="2265" w:type="dxa"/>
            <w:vMerge w:val="restart"/>
            <w:tcBorders>
              <w:top w:val="single" w:sz="12" w:space="0" w:color="auto"/>
              <w:left w:val="thickThinMediumGap" w:sz="12" w:space="0" w:color="333333"/>
              <w:bottom w:val="single" w:sz="18" w:space="0" w:color="auto"/>
            </w:tcBorders>
            <w:shd w:val="clear" w:color="auto" w:fill="DAEEF3" w:themeFill="accent5" w:themeFillTint="33"/>
          </w:tcPr>
          <w:p w14:paraId="7F4CBD02" w14:textId="77777777" w:rsidR="00133AC8" w:rsidRPr="003730B5" w:rsidRDefault="00133AC8" w:rsidP="008764C5">
            <w:pPr>
              <w:rPr>
                <w:bCs/>
                <w:sz w:val="20"/>
              </w:rPr>
            </w:pPr>
            <w:r w:rsidRPr="003730B5">
              <w:rPr>
                <w:bCs/>
                <w:sz w:val="20"/>
              </w:rPr>
              <w:t>Neuhrazené pohledávky</w:t>
            </w:r>
          </w:p>
          <w:p w14:paraId="3DFBF52E" w14:textId="77777777" w:rsidR="00133AC8" w:rsidRPr="003730B5" w:rsidRDefault="00133AC8" w:rsidP="008764C5">
            <w:pPr>
              <w:rPr>
                <w:bCs/>
                <w:sz w:val="20"/>
              </w:rPr>
            </w:pPr>
            <w:r w:rsidRPr="003730B5">
              <w:rPr>
                <w:bCs/>
                <w:sz w:val="20"/>
              </w:rPr>
              <w:t>(pasivní)</w:t>
            </w:r>
          </w:p>
        </w:tc>
        <w:tc>
          <w:tcPr>
            <w:tcW w:w="2265" w:type="dxa"/>
            <w:tcBorders>
              <w:top w:val="single" w:sz="12" w:space="0" w:color="auto"/>
            </w:tcBorders>
          </w:tcPr>
          <w:p w14:paraId="05F9BE81" w14:textId="77777777" w:rsidR="00133AC8" w:rsidRPr="003730B5" w:rsidRDefault="00133AC8" w:rsidP="008764C5">
            <w:pPr>
              <w:rPr>
                <w:bCs/>
                <w:sz w:val="20"/>
              </w:rPr>
            </w:pPr>
            <w:r w:rsidRPr="003730B5">
              <w:rPr>
                <w:bCs/>
                <w:sz w:val="20"/>
              </w:rPr>
              <w:t xml:space="preserve">daňové pohledávky </w:t>
            </w:r>
          </w:p>
        </w:tc>
        <w:tc>
          <w:tcPr>
            <w:tcW w:w="2266" w:type="dxa"/>
            <w:tcBorders>
              <w:top w:val="single" w:sz="12" w:space="0" w:color="auto"/>
            </w:tcBorders>
          </w:tcPr>
          <w:p w14:paraId="590E17B4" w14:textId="77777777" w:rsidR="00133AC8" w:rsidRPr="003730B5" w:rsidRDefault="00133AC8" w:rsidP="008764C5">
            <w:pPr>
              <w:rPr>
                <w:bCs/>
                <w:sz w:val="20"/>
              </w:rPr>
            </w:pPr>
            <w:r w:rsidRPr="003730B5">
              <w:rPr>
                <w:bCs/>
                <w:sz w:val="20"/>
              </w:rPr>
              <w:t xml:space="preserve">1 025,4 mil. Kč </w:t>
            </w:r>
          </w:p>
        </w:tc>
        <w:tc>
          <w:tcPr>
            <w:tcW w:w="2384" w:type="dxa"/>
            <w:tcBorders>
              <w:top w:val="single" w:sz="12" w:space="0" w:color="auto"/>
              <w:right w:val="thickThinMediumGap" w:sz="12" w:space="0" w:color="333333"/>
            </w:tcBorders>
          </w:tcPr>
          <w:p w14:paraId="0CB0411D" w14:textId="77777777" w:rsidR="00133AC8" w:rsidRPr="003730B5" w:rsidRDefault="00133AC8" w:rsidP="008764C5">
            <w:pPr>
              <w:rPr>
                <w:bCs/>
                <w:sz w:val="20"/>
              </w:rPr>
            </w:pPr>
            <w:r w:rsidRPr="003730B5">
              <w:rPr>
                <w:bCs/>
                <w:sz w:val="20"/>
              </w:rPr>
              <w:t>99,8 %</w:t>
            </w:r>
          </w:p>
        </w:tc>
      </w:tr>
      <w:tr w:rsidR="00133AC8" w:rsidRPr="003730B5" w14:paraId="3FABA2EE" w14:textId="77777777" w:rsidTr="008764C5">
        <w:tc>
          <w:tcPr>
            <w:tcW w:w="2265" w:type="dxa"/>
            <w:vMerge/>
            <w:tcBorders>
              <w:left w:val="thickThinMediumGap" w:sz="12" w:space="0" w:color="333333"/>
              <w:bottom w:val="single" w:sz="18" w:space="0" w:color="auto"/>
            </w:tcBorders>
            <w:shd w:val="clear" w:color="auto" w:fill="DAEEF3" w:themeFill="accent5" w:themeFillTint="33"/>
          </w:tcPr>
          <w:p w14:paraId="109FA4A6" w14:textId="77777777" w:rsidR="00133AC8" w:rsidRPr="003730B5" w:rsidRDefault="00133AC8" w:rsidP="008764C5">
            <w:pPr>
              <w:rPr>
                <w:bCs/>
                <w:sz w:val="20"/>
              </w:rPr>
            </w:pPr>
          </w:p>
        </w:tc>
        <w:tc>
          <w:tcPr>
            <w:tcW w:w="2265" w:type="dxa"/>
            <w:tcBorders>
              <w:bottom w:val="single" w:sz="4" w:space="0" w:color="auto"/>
            </w:tcBorders>
          </w:tcPr>
          <w:p w14:paraId="577C2DD9" w14:textId="77777777" w:rsidR="00133AC8" w:rsidRPr="003730B5" w:rsidRDefault="00133AC8" w:rsidP="008764C5">
            <w:pPr>
              <w:rPr>
                <w:bCs/>
                <w:sz w:val="20"/>
              </w:rPr>
            </w:pPr>
            <w:r w:rsidRPr="003730B5">
              <w:rPr>
                <w:bCs/>
                <w:sz w:val="20"/>
              </w:rPr>
              <w:t xml:space="preserve">nedaňové pohledávky  </w:t>
            </w:r>
          </w:p>
        </w:tc>
        <w:tc>
          <w:tcPr>
            <w:tcW w:w="2266" w:type="dxa"/>
            <w:tcBorders>
              <w:bottom w:val="single" w:sz="4" w:space="0" w:color="auto"/>
            </w:tcBorders>
          </w:tcPr>
          <w:p w14:paraId="51F7CADA" w14:textId="77777777" w:rsidR="00133AC8" w:rsidRPr="003730B5" w:rsidRDefault="00133AC8" w:rsidP="008764C5">
            <w:pPr>
              <w:rPr>
                <w:bCs/>
                <w:sz w:val="20"/>
              </w:rPr>
            </w:pPr>
            <w:r w:rsidRPr="003730B5">
              <w:rPr>
                <w:bCs/>
                <w:sz w:val="20"/>
              </w:rPr>
              <w:t xml:space="preserve">2,3 mil. Kč </w:t>
            </w:r>
          </w:p>
        </w:tc>
        <w:tc>
          <w:tcPr>
            <w:tcW w:w="2384" w:type="dxa"/>
            <w:tcBorders>
              <w:bottom w:val="single" w:sz="4" w:space="0" w:color="auto"/>
              <w:right w:val="thickThinMediumGap" w:sz="12" w:space="0" w:color="333333"/>
            </w:tcBorders>
          </w:tcPr>
          <w:p w14:paraId="2A2DF20D" w14:textId="77777777" w:rsidR="00133AC8" w:rsidRPr="003730B5" w:rsidRDefault="00133AC8" w:rsidP="008764C5">
            <w:pPr>
              <w:rPr>
                <w:bCs/>
                <w:sz w:val="20"/>
              </w:rPr>
            </w:pPr>
            <w:r w:rsidRPr="003730B5">
              <w:rPr>
                <w:bCs/>
                <w:sz w:val="20"/>
              </w:rPr>
              <w:t>0,2 %</w:t>
            </w:r>
          </w:p>
        </w:tc>
      </w:tr>
      <w:tr w:rsidR="00133AC8" w:rsidRPr="003730B5" w14:paraId="769D3ED4" w14:textId="77777777" w:rsidTr="008764C5">
        <w:tc>
          <w:tcPr>
            <w:tcW w:w="2265" w:type="dxa"/>
            <w:vMerge/>
            <w:tcBorders>
              <w:left w:val="thickThinMediumGap" w:sz="12" w:space="0" w:color="333333"/>
              <w:bottom w:val="thickThinMediumGap" w:sz="12" w:space="0" w:color="333333"/>
            </w:tcBorders>
            <w:shd w:val="clear" w:color="auto" w:fill="DAEEF3" w:themeFill="accent5" w:themeFillTint="33"/>
          </w:tcPr>
          <w:p w14:paraId="369665DE" w14:textId="77777777" w:rsidR="00133AC8" w:rsidRPr="003730B5" w:rsidRDefault="00133AC8" w:rsidP="008764C5">
            <w:pPr>
              <w:rPr>
                <w:bCs/>
                <w:sz w:val="20"/>
              </w:rPr>
            </w:pPr>
          </w:p>
        </w:tc>
        <w:tc>
          <w:tcPr>
            <w:tcW w:w="2265" w:type="dxa"/>
            <w:tcBorders>
              <w:bottom w:val="thickThinMediumGap" w:sz="12" w:space="0" w:color="333333"/>
            </w:tcBorders>
          </w:tcPr>
          <w:p w14:paraId="42CED495" w14:textId="77777777" w:rsidR="00133AC8" w:rsidRPr="003730B5" w:rsidRDefault="00133AC8" w:rsidP="008764C5">
            <w:pPr>
              <w:rPr>
                <w:bCs/>
                <w:sz w:val="20"/>
              </w:rPr>
            </w:pPr>
            <w:r w:rsidRPr="003730B5">
              <w:rPr>
                <w:bCs/>
                <w:sz w:val="20"/>
              </w:rPr>
              <w:t xml:space="preserve">celkem </w:t>
            </w:r>
          </w:p>
        </w:tc>
        <w:tc>
          <w:tcPr>
            <w:tcW w:w="2266" w:type="dxa"/>
            <w:tcBorders>
              <w:bottom w:val="thickThinMediumGap" w:sz="12" w:space="0" w:color="333333"/>
            </w:tcBorders>
          </w:tcPr>
          <w:p w14:paraId="13BE374A" w14:textId="77777777" w:rsidR="00133AC8" w:rsidRPr="003730B5" w:rsidRDefault="00133AC8" w:rsidP="008764C5">
            <w:pPr>
              <w:rPr>
                <w:bCs/>
                <w:sz w:val="20"/>
              </w:rPr>
            </w:pPr>
            <w:r w:rsidRPr="003730B5">
              <w:rPr>
                <w:bCs/>
                <w:sz w:val="20"/>
              </w:rPr>
              <w:t xml:space="preserve">1 027,7 mil. Kč </w:t>
            </w:r>
          </w:p>
        </w:tc>
        <w:tc>
          <w:tcPr>
            <w:tcW w:w="2384" w:type="dxa"/>
            <w:tcBorders>
              <w:bottom w:val="thickThinMediumGap" w:sz="12" w:space="0" w:color="333333"/>
              <w:right w:val="thickThinMediumGap" w:sz="12" w:space="0" w:color="333333"/>
            </w:tcBorders>
          </w:tcPr>
          <w:p w14:paraId="035BDF96" w14:textId="77777777" w:rsidR="00133AC8" w:rsidRPr="003730B5" w:rsidRDefault="00133AC8" w:rsidP="008764C5">
            <w:pPr>
              <w:rPr>
                <w:bCs/>
                <w:sz w:val="20"/>
              </w:rPr>
            </w:pPr>
            <w:r w:rsidRPr="003730B5">
              <w:rPr>
                <w:bCs/>
                <w:sz w:val="20"/>
              </w:rPr>
              <w:t>100 %</w:t>
            </w:r>
          </w:p>
        </w:tc>
      </w:tr>
    </w:tbl>
    <w:p w14:paraId="098033D8" w14:textId="77777777" w:rsidR="00133AC8" w:rsidRPr="003730B5" w:rsidRDefault="00133AC8" w:rsidP="00133AC8">
      <w:pPr>
        <w:widowControl w:val="0"/>
        <w:autoSpaceDE w:val="0"/>
        <w:autoSpaceDN w:val="0"/>
        <w:adjustRightInd w:val="0"/>
        <w:spacing w:before="120" w:after="120"/>
        <w:rPr>
          <w:bCs/>
          <w:szCs w:val="24"/>
        </w:rPr>
      </w:pPr>
      <w:r w:rsidRPr="003730B5">
        <w:rPr>
          <w:bCs/>
          <w:szCs w:val="24"/>
        </w:rPr>
        <w:t xml:space="preserve">Z níže uvedeného přehledu je </w:t>
      </w:r>
      <w:r w:rsidRPr="003730B5">
        <w:rPr>
          <w:szCs w:val="24"/>
        </w:rPr>
        <w:t>zřejmé</w:t>
      </w:r>
      <w:r w:rsidRPr="003730B5">
        <w:rPr>
          <w:bCs/>
          <w:szCs w:val="24"/>
        </w:rPr>
        <w:t xml:space="preserve">, že nejpalčivější je situace v oblasti vymáhání pohledávek spojených s výkonem trestního soudnictví. Náklady trestního řízení, náhrady za ustanovené advokáty a peněžité tresty (včetně peněžitých trestů a pokut uložených jinými státy, u kterých bylo rozhodnuto o jejich uznání a výkonu) se podílejí na objemu neuhrazených justičních pohledávek z 85,6 %. Soudní poplatky a náklady civilního řízení se podílejí na objemu neuhrazených pohledávek „pouze“ z 11,1 %. </w:t>
      </w:r>
    </w:p>
    <w:p w14:paraId="16519D71" w14:textId="77777777" w:rsidR="00133AC8" w:rsidRPr="003730B5" w:rsidRDefault="00133AC8" w:rsidP="00133AC8">
      <w:pPr>
        <w:widowControl w:val="0"/>
        <w:autoSpaceDE w:val="0"/>
        <w:autoSpaceDN w:val="0"/>
        <w:adjustRightInd w:val="0"/>
        <w:spacing w:after="120"/>
        <w:rPr>
          <w:bCs/>
          <w:szCs w:val="24"/>
        </w:rPr>
      </w:pPr>
      <w:r w:rsidRPr="003730B5">
        <w:rPr>
          <w:bCs/>
          <w:szCs w:val="24"/>
        </w:rPr>
        <w:t xml:space="preserve">Přehled o neuhrazených </w:t>
      </w:r>
      <w:r w:rsidRPr="003730B5">
        <w:rPr>
          <w:szCs w:val="24"/>
        </w:rPr>
        <w:t>pohledávkách</w:t>
      </w:r>
      <w:r w:rsidRPr="003730B5">
        <w:rPr>
          <w:bCs/>
          <w:szCs w:val="24"/>
        </w:rPr>
        <w:t xml:space="preserve"> dle jejich jednotlivých druhů:</w:t>
      </w:r>
    </w:p>
    <w:tbl>
      <w:tblPr>
        <w:tblpPr w:leftFromText="141" w:rightFromText="141" w:bottomFromText="160" w:vertAnchor="text" w:horzAnchor="margin" w:tblpY="374"/>
        <w:tblW w:w="9135" w:type="dxa"/>
        <w:tblBorders>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11"/>
        <w:gridCol w:w="1275"/>
        <w:gridCol w:w="849"/>
      </w:tblGrid>
      <w:tr w:rsidR="00133AC8" w:rsidRPr="003730B5" w14:paraId="026E0469" w14:textId="77777777" w:rsidTr="008764C5">
        <w:trPr>
          <w:trHeight w:val="368"/>
        </w:trPr>
        <w:tc>
          <w:tcPr>
            <w:tcW w:w="7011" w:type="dxa"/>
            <w:tcBorders>
              <w:top w:val="nil"/>
              <w:left w:val="nil"/>
              <w:bottom w:val="thinThickSmallGap" w:sz="12" w:space="0" w:color="auto"/>
              <w:right w:val="thinThickMediumGap" w:sz="12" w:space="0" w:color="333333"/>
            </w:tcBorders>
          </w:tcPr>
          <w:p w14:paraId="5411C5D3" w14:textId="77777777" w:rsidR="00133AC8" w:rsidRPr="003730B5" w:rsidRDefault="00133AC8" w:rsidP="008764C5">
            <w:pPr>
              <w:spacing w:line="257" w:lineRule="auto"/>
              <w:rPr>
                <w:bCs/>
                <w:szCs w:val="24"/>
              </w:rPr>
            </w:pPr>
          </w:p>
        </w:tc>
        <w:tc>
          <w:tcPr>
            <w:tcW w:w="1275" w:type="dxa"/>
            <w:tcBorders>
              <w:top w:val="thinThickMediumGap" w:sz="12" w:space="0" w:color="333333"/>
              <w:left w:val="thinThickMediumGap" w:sz="12" w:space="0" w:color="333333"/>
              <w:bottom w:val="single" w:sz="4" w:space="0" w:color="auto"/>
              <w:right w:val="single" w:sz="4" w:space="0" w:color="auto"/>
            </w:tcBorders>
            <w:shd w:val="clear" w:color="auto" w:fill="auto"/>
            <w:hideMark/>
          </w:tcPr>
          <w:p w14:paraId="48DF1E52" w14:textId="77777777" w:rsidR="00133AC8" w:rsidRPr="003730B5" w:rsidRDefault="00133AC8" w:rsidP="008764C5">
            <w:pPr>
              <w:spacing w:line="257" w:lineRule="auto"/>
              <w:jc w:val="center"/>
              <w:rPr>
                <w:bCs/>
                <w:sz w:val="20"/>
              </w:rPr>
            </w:pPr>
            <w:r w:rsidRPr="003730B5">
              <w:rPr>
                <w:bCs/>
                <w:sz w:val="20"/>
              </w:rPr>
              <w:t>mil. Kč</w:t>
            </w:r>
          </w:p>
        </w:tc>
        <w:tc>
          <w:tcPr>
            <w:tcW w:w="849" w:type="dxa"/>
            <w:tcBorders>
              <w:top w:val="thinThickMediumGap" w:sz="12" w:space="0" w:color="333333"/>
              <w:left w:val="single" w:sz="4" w:space="0" w:color="auto"/>
              <w:bottom w:val="single" w:sz="4" w:space="0" w:color="auto"/>
              <w:right w:val="thickThinMediumGap" w:sz="12" w:space="0" w:color="333333"/>
            </w:tcBorders>
            <w:shd w:val="clear" w:color="auto" w:fill="auto"/>
            <w:hideMark/>
          </w:tcPr>
          <w:p w14:paraId="329B147E" w14:textId="77777777" w:rsidR="00133AC8" w:rsidRPr="003730B5" w:rsidRDefault="00133AC8" w:rsidP="008764C5">
            <w:pPr>
              <w:spacing w:line="257" w:lineRule="auto"/>
              <w:jc w:val="center"/>
              <w:rPr>
                <w:bCs/>
                <w:sz w:val="20"/>
              </w:rPr>
            </w:pPr>
            <w:r w:rsidRPr="003730B5">
              <w:rPr>
                <w:bCs/>
                <w:sz w:val="20"/>
              </w:rPr>
              <w:t>v %</w:t>
            </w:r>
          </w:p>
        </w:tc>
      </w:tr>
      <w:tr w:rsidR="00133AC8" w:rsidRPr="003730B5" w14:paraId="03C278CA" w14:textId="77777777" w:rsidTr="008764C5">
        <w:trPr>
          <w:trHeight w:val="283"/>
        </w:trPr>
        <w:tc>
          <w:tcPr>
            <w:tcW w:w="7011" w:type="dxa"/>
            <w:tcBorders>
              <w:top w:val="thinThickSmallGap" w:sz="12" w:space="0" w:color="auto"/>
              <w:left w:val="thinThickSmallGap" w:sz="12" w:space="0" w:color="auto"/>
              <w:bottom w:val="single" w:sz="4" w:space="0" w:color="auto"/>
              <w:right w:val="double" w:sz="6" w:space="0" w:color="auto"/>
            </w:tcBorders>
            <w:shd w:val="clear" w:color="auto" w:fill="F2DBDB" w:themeFill="accent2" w:themeFillTint="33"/>
            <w:vAlign w:val="center"/>
            <w:hideMark/>
          </w:tcPr>
          <w:p w14:paraId="51ABF36E" w14:textId="77777777" w:rsidR="00133AC8" w:rsidRPr="003730B5" w:rsidRDefault="00133AC8" w:rsidP="008764C5">
            <w:pPr>
              <w:spacing w:line="257" w:lineRule="auto"/>
              <w:rPr>
                <w:bCs/>
                <w:sz w:val="20"/>
              </w:rPr>
            </w:pPr>
            <w:r w:rsidRPr="003730B5">
              <w:rPr>
                <w:bCs/>
                <w:sz w:val="20"/>
              </w:rPr>
              <w:t>1 Soudní poplatky</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4CA6A126" w14:textId="77777777" w:rsidR="00133AC8" w:rsidRPr="003730B5" w:rsidRDefault="00133AC8" w:rsidP="008764C5">
            <w:pPr>
              <w:spacing w:line="257" w:lineRule="auto"/>
              <w:jc w:val="center"/>
              <w:rPr>
                <w:bCs/>
                <w:sz w:val="20"/>
              </w:rPr>
            </w:pPr>
            <w:r w:rsidRPr="003730B5">
              <w:rPr>
                <w:bCs/>
                <w:sz w:val="20"/>
              </w:rPr>
              <w:t>516,7</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2F8105A6" w14:textId="77777777" w:rsidR="00133AC8" w:rsidRPr="003730B5" w:rsidRDefault="00133AC8" w:rsidP="008764C5">
            <w:pPr>
              <w:spacing w:line="257" w:lineRule="auto"/>
              <w:jc w:val="center"/>
              <w:rPr>
                <w:bCs/>
                <w:sz w:val="20"/>
              </w:rPr>
            </w:pPr>
            <w:r w:rsidRPr="003730B5">
              <w:rPr>
                <w:bCs/>
                <w:sz w:val="20"/>
              </w:rPr>
              <w:t>9,0</w:t>
            </w:r>
          </w:p>
        </w:tc>
      </w:tr>
      <w:tr w:rsidR="00133AC8" w:rsidRPr="003730B5" w14:paraId="0F55AD81"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vAlign w:val="center"/>
            <w:hideMark/>
          </w:tcPr>
          <w:p w14:paraId="56A09BCC" w14:textId="77777777" w:rsidR="00133AC8" w:rsidRPr="003730B5" w:rsidRDefault="00133AC8" w:rsidP="008764C5">
            <w:pPr>
              <w:spacing w:line="257" w:lineRule="auto"/>
              <w:rPr>
                <w:bCs/>
                <w:sz w:val="20"/>
              </w:rPr>
            </w:pPr>
            <w:r w:rsidRPr="003730B5">
              <w:rPr>
                <w:bCs/>
                <w:sz w:val="20"/>
              </w:rPr>
              <w:t>2 Exekuční náklady</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6A85C6B6" w14:textId="77777777" w:rsidR="00133AC8" w:rsidRPr="003730B5" w:rsidRDefault="00133AC8" w:rsidP="008764C5">
            <w:pPr>
              <w:spacing w:line="257" w:lineRule="auto"/>
              <w:jc w:val="center"/>
              <w:rPr>
                <w:bCs/>
                <w:sz w:val="20"/>
              </w:rPr>
            </w:pPr>
            <w:r w:rsidRPr="003730B5">
              <w:rPr>
                <w:bCs/>
                <w:sz w:val="20"/>
              </w:rPr>
              <w:t>29,3</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292519A6" w14:textId="77777777" w:rsidR="00133AC8" w:rsidRPr="003730B5" w:rsidRDefault="00133AC8" w:rsidP="008764C5">
            <w:pPr>
              <w:spacing w:line="257" w:lineRule="auto"/>
              <w:jc w:val="center"/>
              <w:rPr>
                <w:bCs/>
                <w:sz w:val="20"/>
              </w:rPr>
            </w:pPr>
            <w:r w:rsidRPr="003730B5">
              <w:rPr>
                <w:bCs/>
                <w:sz w:val="20"/>
              </w:rPr>
              <w:t>0,5</w:t>
            </w:r>
          </w:p>
        </w:tc>
      </w:tr>
      <w:tr w:rsidR="00133AC8" w:rsidRPr="003730B5" w14:paraId="7AC09239"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shd w:val="clear" w:color="auto" w:fill="F2DBDB" w:themeFill="accent2" w:themeFillTint="33"/>
            <w:vAlign w:val="center"/>
            <w:hideMark/>
          </w:tcPr>
          <w:p w14:paraId="64EDEA2E" w14:textId="77777777" w:rsidR="00133AC8" w:rsidRPr="003730B5" w:rsidRDefault="00133AC8" w:rsidP="008764C5">
            <w:pPr>
              <w:spacing w:line="257" w:lineRule="auto"/>
              <w:rPr>
                <w:bCs/>
                <w:sz w:val="20"/>
              </w:rPr>
            </w:pPr>
            <w:r w:rsidRPr="003730B5">
              <w:rPr>
                <w:bCs/>
                <w:sz w:val="20"/>
              </w:rPr>
              <w:t>3 Náhrady za ustanovené advokáty</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163DC905" w14:textId="77777777" w:rsidR="00133AC8" w:rsidRPr="003730B5" w:rsidRDefault="00133AC8" w:rsidP="008764C5">
            <w:pPr>
              <w:spacing w:line="257" w:lineRule="auto"/>
              <w:jc w:val="center"/>
              <w:rPr>
                <w:bCs/>
                <w:sz w:val="20"/>
              </w:rPr>
            </w:pPr>
            <w:r w:rsidRPr="003730B5">
              <w:rPr>
                <w:bCs/>
                <w:sz w:val="20"/>
              </w:rPr>
              <w:t>2 795,7</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5B558448" w14:textId="77777777" w:rsidR="00133AC8" w:rsidRPr="003730B5" w:rsidRDefault="00133AC8" w:rsidP="008764C5">
            <w:pPr>
              <w:spacing w:line="257" w:lineRule="auto"/>
              <w:jc w:val="center"/>
              <w:rPr>
                <w:bCs/>
                <w:sz w:val="20"/>
              </w:rPr>
            </w:pPr>
            <w:r w:rsidRPr="003730B5">
              <w:rPr>
                <w:bCs/>
                <w:sz w:val="20"/>
              </w:rPr>
              <w:t>48,5</w:t>
            </w:r>
          </w:p>
        </w:tc>
      </w:tr>
      <w:tr w:rsidR="00133AC8" w:rsidRPr="003730B5" w14:paraId="2BFDA15C"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shd w:val="clear" w:color="auto" w:fill="F2DBDB" w:themeFill="accent2" w:themeFillTint="33"/>
            <w:vAlign w:val="center"/>
            <w:hideMark/>
          </w:tcPr>
          <w:p w14:paraId="48B68D44" w14:textId="77777777" w:rsidR="00133AC8" w:rsidRPr="003730B5" w:rsidRDefault="00133AC8" w:rsidP="008764C5">
            <w:pPr>
              <w:spacing w:line="257" w:lineRule="auto"/>
              <w:rPr>
                <w:bCs/>
                <w:sz w:val="20"/>
              </w:rPr>
            </w:pPr>
            <w:r w:rsidRPr="003730B5">
              <w:rPr>
                <w:bCs/>
                <w:sz w:val="20"/>
              </w:rPr>
              <w:t>4 Náklady trestního řízení</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1E564D96" w14:textId="77777777" w:rsidR="00133AC8" w:rsidRPr="003730B5" w:rsidRDefault="00133AC8" w:rsidP="008764C5">
            <w:pPr>
              <w:spacing w:line="257" w:lineRule="auto"/>
              <w:jc w:val="center"/>
              <w:rPr>
                <w:bCs/>
                <w:sz w:val="20"/>
              </w:rPr>
            </w:pPr>
            <w:r w:rsidRPr="003730B5">
              <w:rPr>
                <w:bCs/>
                <w:sz w:val="20"/>
              </w:rPr>
              <w:t>1 595,6</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6FEB2BD6" w14:textId="77777777" w:rsidR="00133AC8" w:rsidRPr="003730B5" w:rsidRDefault="00133AC8" w:rsidP="008764C5">
            <w:pPr>
              <w:spacing w:line="257" w:lineRule="auto"/>
              <w:jc w:val="center"/>
              <w:rPr>
                <w:bCs/>
                <w:sz w:val="20"/>
              </w:rPr>
            </w:pPr>
            <w:r w:rsidRPr="003730B5">
              <w:rPr>
                <w:bCs/>
                <w:sz w:val="20"/>
              </w:rPr>
              <w:t>27,7</w:t>
            </w:r>
          </w:p>
        </w:tc>
      </w:tr>
      <w:tr w:rsidR="00133AC8" w:rsidRPr="003730B5" w14:paraId="048075B9"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vAlign w:val="center"/>
            <w:hideMark/>
          </w:tcPr>
          <w:p w14:paraId="3C242090" w14:textId="77777777" w:rsidR="00133AC8" w:rsidRPr="003730B5" w:rsidRDefault="00133AC8" w:rsidP="008764C5">
            <w:pPr>
              <w:spacing w:line="257" w:lineRule="auto"/>
              <w:rPr>
                <w:bCs/>
                <w:sz w:val="20"/>
              </w:rPr>
            </w:pPr>
            <w:r w:rsidRPr="003730B5">
              <w:rPr>
                <w:bCs/>
                <w:sz w:val="20"/>
              </w:rPr>
              <w:t xml:space="preserve">5 Pořádkové pokuty (dle § 247 daňového řádu) </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5101FB7E" w14:textId="77777777" w:rsidR="00133AC8" w:rsidRPr="003730B5" w:rsidRDefault="00133AC8" w:rsidP="008764C5">
            <w:pPr>
              <w:spacing w:line="257" w:lineRule="auto"/>
              <w:jc w:val="center"/>
              <w:rPr>
                <w:bCs/>
                <w:sz w:val="20"/>
              </w:rPr>
            </w:pPr>
            <w:r w:rsidRPr="003730B5">
              <w:rPr>
                <w:bCs/>
                <w:sz w:val="20"/>
              </w:rPr>
              <w:t>0,2</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541A000B" w14:textId="77777777" w:rsidR="00133AC8" w:rsidRPr="003730B5" w:rsidRDefault="00133AC8" w:rsidP="008764C5">
            <w:pPr>
              <w:spacing w:line="257" w:lineRule="auto"/>
              <w:jc w:val="center"/>
              <w:rPr>
                <w:bCs/>
                <w:sz w:val="20"/>
              </w:rPr>
            </w:pPr>
            <w:r w:rsidRPr="003730B5">
              <w:rPr>
                <w:bCs/>
                <w:sz w:val="20"/>
              </w:rPr>
              <w:t>0,0</w:t>
            </w:r>
          </w:p>
        </w:tc>
      </w:tr>
      <w:tr w:rsidR="00133AC8" w:rsidRPr="003730B5" w14:paraId="779A3397"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vAlign w:val="center"/>
            <w:hideMark/>
          </w:tcPr>
          <w:p w14:paraId="4F30F7DF" w14:textId="77777777" w:rsidR="00133AC8" w:rsidRPr="003730B5" w:rsidRDefault="00133AC8" w:rsidP="008764C5">
            <w:pPr>
              <w:spacing w:line="257" w:lineRule="auto"/>
              <w:rPr>
                <w:bCs/>
                <w:sz w:val="20"/>
              </w:rPr>
            </w:pPr>
            <w:r w:rsidRPr="003730B5">
              <w:rPr>
                <w:bCs/>
                <w:sz w:val="20"/>
              </w:rPr>
              <w:t>6 Pokuty do 31. 12. 2011</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24A212A9" w14:textId="77777777" w:rsidR="00133AC8" w:rsidRPr="003730B5" w:rsidRDefault="00133AC8" w:rsidP="008764C5">
            <w:pPr>
              <w:spacing w:line="257" w:lineRule="auto"/>
              <w:jc w:val="center"/>
              <w:rPr>
                <w:bCs/>
                <w:sz w:val="20"/>
              </w:rPr>
            </w:pPr>
            <w:r w:rsidRPr="003730B5">
              <w:rPr>
                <w:bCs/>
                <w:sz w:val="20"/>
              </w:rPr>
              <w:t>26,5</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78B29F67" w14:textId="77777777" w:rsidR="00133AC8" w:rsidRPr="003730B5" w:rsidRDefault="00133AC8" w:rsidP="008764C5">
            <w:pPr>
              <w:spacing w:line="257" w:lineRule="auto"/>
              <w:jc w:val="center"/>
              <w:rPr>
                <w:bCs/>
                <w:sz w:val="20"/>
              </w:rPr>
            </w:pPr>
            <w:r w:rsidRPr="003730B5">
              <w:rPr>
                <w:bCs/>
                <w:sz w:val="20"/>
              </w:rPr>
              <w:t>0,5</w:t>
            </w:r>
          </w:p>
        </w:tc>
      </w:tr>
      <w:tr w:rsidR="00133AC8" w:rsidRPr="003730B5" w14:paraId="1F69D511"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vAlign w:val="center"/>
            <w:hideMark/>
          </w:tcPr>
          <w:p w14:paraId="71BA2DC0" w14:textId="77777777" w:rsidR="00133AC8" w:rsidRPr="003730B5" w:rsidRDefault="00133AC8" w:rsidP="008764C5">
            <w:pPr>
              <w:spacing w:line="257" w:lineRule="auto"/>
              <w:rPr>
                <w:bCs/>
                <w:sz w:val="20"/>
              </w:rPr>
            </w:pPr>
            <w:r w:rsidRPr="003730B5">
              <w:rPr>
                <w:bCs/>
                <w:sz w:val="20"/>
              </w:rPr>
              <w:t>7 Pokuty z civilního řízení</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0E7A0F5F" w14:textId="77777777" w:rsidR="00133AC8" w:rsidRPr="003730B5" w:rsidRDefault="00133AC8" w:rsidP="008764C5">
            <w:pPr>
              <w:spacing w:line="257" w:lineRule="auto"/>
              <w:jc w:val="center"/>
              <w:rPr>
                <w:bCs/>
                <w:sz w:val="20"/>
              </w:rPr>
            </w:pPr>
            <w:r w:rsidRPr="003730B5">
              <w:rPr>
                <w:bCs/>
                <w:sz w:val="20"/>
              </w:rPr>
              <w:t>117,7</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7BAC6349" w14:textId="77777777" w:rsidR="00133AC8" w:rsidRPr="003730B5" w:rsidRDefault="00133AC8" w:rsidP="008764C5">
            <w:pPr>
              <w:spacing w:line="257" w:lineRule="auto"/>
              <w:jc w:val="center"/>
              <w:rPr>
                <w:bCs/>
                <w:sz w:val="20"/>
              </w:rPr>
            </w:pPr>
            <w:r w:rsidRPr="003730B5">
              <w:rPr>
                <w:bCs/>
                <w:sz w:val="20"/>
              </w:rPr>
              <w:t>2,0</w:t>
            </w:r>
          </w:p>
        </w:tc>
      </w:tr>
      <w:tr w:rsidR="00133AC8" w:rsidRPr="003730B5" w14:paraId="21CD1156"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vAlign w:val="center"/>
            <w:hideMark/>
          </w:tcPr>
          <w:p w14:paraId="3A1FB63B" w14:textId="77777777" w:rsidR="00133AC8" w:rsidRPr="003730B5" w:rsidRDefault="00133AC8" w:rsidP="008764C5">
            <w:pPr>
              <w:spacing w:line="257" w:lineRule="auto"/>
              <w:rPr>
                <w:bCs/>
                <w:sz w:val="20"/>
              </w:rPr>
            </w:pPr>
            <w:r w:rsidRPr="003730B5">
              <w:rPr>
                <w:bCs/>
                <w:sz w:val="20"/>
              </w:rPr>
              <w:t>8 Pokuty z trestního řízení</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6D9ED317" w14:textId="77777777" w:rsidR="00133AC8" w:rsidRPr="003730B5" w:rsidRDefault="00133AC8" w:rsidP="008764C5">
            <w:pPr>
              <w:spacing w:line="257" w:lineRule="auto"/>
              <w:jc w:val="center"/>
              <w:rPr>
                <w:bCs/>
                <w:sz w:val="20"/>
              </w:rPr>
            </w:pPr>
            <w:r w:rsidRPr="003730B5">
              <w:rPr>
                <w:bCs/>
                <w:sz w:val="20"/>
              </w:rPr>
              <w:t>12,9</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01151B83" w14:textId="77777777" w:rsidR="00133AC8" w:rsidRPr="003730B5" w:rsidRDefault="00133AC8" w:rsidP="008764C5">
            <w:pPr>
              <w:spacing w:line="257" w:lineRule="auto"/>
              <w:jc w:val="center"/>
              <w:rPr>
                <w:bCs/>
                <w:sz w:val="20"/>
              </w:rPr>
            </w:pPr>
            <w:r w:rsidRPr="003730B5">
              <w:rPr>
                <w:bCs/>
                <w:sz w:val="20"/>
              </w:rPr>
              <w:t>0,2</w:t>
            </w:r>
          </w:p>
        </w:tc>
      </w:tr>
      <w:tr w:rsidR="00133AC8" w:rsidRPr="003730B5" w14:paraId="0B19337C"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shd w:val="clear" w:color="auto" w:fill="F2DBDB" w:themeFill="accent2" w:themeFillTint="33"/>
            <w:vAlign w:val="center"/>
            <w:hideMark/>
          </w:tcPr>
          <w:p w14:paraId="531ED22E" w14:textId="77777777" w:rsidR="00133AC8" w:rsidRPr="003730B5" w:rsidRDefault="00133AC8" w:rsidP="008764C5">
            <w:pPr>
              <w:spacing w:line="257" w:lineRule="auto"/>
              <w:rPr>
                <w:bCs/>
                <w:sz w:val="20"/>
              </w:rPr>
            </w:pPr>
            <w:r w:rsidRPr="003730B5">
              <w:rPr>
                <w:bCs/>
                <w:sz w:val="20"/>
              </w:rPr>
              <w:t>9 Peněžité tresty dle právní úpravy od 1. 1. 2010</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60720E0E" w14:textId="77777777" w:rsidR="00133AC8" w:rsidRPr="003730B5" w:rsidRDefault="00133AC8" w:rsidP="008764C5">
            <w:pPr>
              <w:spacing w:line="257" w:lineRule="auto"/>
              <w:jc w:val="center"/>
              <w:rPr>
                <w:bCs/>
                <w:sz w:val="20"/>
              </w:rPr>
            </w:pPr>
            <w:r w:rsidRPr="003730B5">
              <w:rPr>
                <w:bCs/>
                <w:sz w:val="20"/>
              </w:rPr>
              <w:t>291,5</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1292216E" w14:textId="77777777" w:rsidR="00133AC8" w:rsidRPr="003730B5" w:rsidRDefault="00133AC8" w:rsidP="008764C5">
            <w:pPr>
              <w:spacing w:line="257" w:lineRule="auto"/>
              <w:jc w:val="center"/>
              <w:rPr>
                <w:bCs/>
                <w:sz w:val="20"/>
              </w:rPr>
            </w:pPr>
            <w:r w:rsidRPr="003730B5">
              <w:rPr>
                <w:bCs/>
                <w:sz w:val="20"/>
              </w:rPr>
              <w:t>5,1</w:t>
            </w:r>
          </w:p>
        </w:tc>
      </w:tr>
      <w:tr w:rsidR="00133AC8" w:rsidRPr="003730B5" w14:paraId="05D1BAFA"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shd w:val="clear" w:color="auto" w:fill="F2DBDB" w:themeFill="accent2" w:themeFillTint="33"/>
            <w:vAlign w:val="center"/>
            <w:hideMark/>
          </w:tcPr>
          <w:p w14:paraId="60D8CA33" w14:textId="77777777" w:rsidR="00133AC8" w:rsidRPr="003730B5" w:rsidRDefault="00133AC8" w:rsidP="008764C5">
            <w:pPr>
              <w:spacing w:line="257" w:lineRule="auto"/>
              <w:rPr>
                <w:bCs/>
                <w:sz w:val="20"/>
              </w:rPr>
            </w:pPr>
            <w:r w:rsidRPr="003730B5">
              <w:rPr>
                <w:bCs/>
                <w:sz w:val="20"/>
              </w:rPr>
              <w:t>10 Peněžité tresty od 1. 1. 2018</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77D20288" w14:textId="77777777" w:rsidR="00133AC8" w:rsidRPr="003730B5" w:rsidRDefault="00133AC8" w:rsidP="008764C5">
            <w:pPr>
              <w:spacing w:line="257" w:lineRule="auto"/>
              <w:jc w:val="center"/>
              <w:rPr>
                <w:bCs/>
                <w:sz w:val="20"/>
              </w:rPr>
            </w:pPr>
            <w:r w:rsidRPr="003730B5">
              <w:rPr>
                <w:bCs/>
                <w:sz w:val="20"/>
              </w:rPr>
              <w:t>250,1</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4EB80CD9" w14:textId="77777777" w:rsidR="00133AC8" w:rsidRPr="003730B5" w:rsidRDefault="00133AC8" w:rsidP="008764C5">
            <w:pPr>
              <w:spacing w:line="257" w:lineRule="auto"/>
              <w:jc w:val="center"/>
              <w:rPr>
                <w:bCs/>
                <w:sz w:val="20"/>
              </w:rPr>
            </w:pPr>
            <w:r w:rsidRPr="003730B5">
              <w:rPr>
                <w:bCs/>
                <w:sz w:val="20"/>
              </w:rPr>
              <w:t>4,3</w:t>
            </w:r>
          </w:p>
        </w:tc>
      </w:tr>
      <w:tr w:rsidR="00133AC8" w:rsidRPr="003730B5" w14:paraId="28AC4699"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vAlign w:val="center"/>
            <w:hideMark/>
          </w:tcPr>
          <w:p w14:paraId="59FEA9A3" w14:textId="77777777" w:rsidR="00133AC8" w:rsidRPr="003730B5" w:rsidRDefault="00133AC8" w:rsidP="008764C5">
            <w:pPr>
              <w:spacing w:line="257" w:lineRule="auto"/>
              <w:rPr>
                <w:bCs/>
                <w:sz w:val="20"/>
              </w:rPr>
            </w:pPr>
            <w:r w:rsidRPr="003730B5">
              <w:rPr>
                <w:bCs/>
                <w:sz w:val="20"/>
              </w:rPr>
              <w:lastRenderedPageBreak/>
              <w:t>11 Peněžité tresty (před zák. č. 152/1995 Sb.)</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19BEC17C" w14:textId="77777777" w:rsidR="00133AC8" w:rsidRPr="003730B5" w:rsidRDefault="00133AC8" w:rsidP="008764C5">
            <w:pPr>
              <w:spacing w:line="257" w:lineRule="auto"/>
              <w:jc w:val="center"/>
              <w:rPr>
                <w:bCs/>
                <w:sz w:val="20"/>
              </w:rPr>
            </w:pPr>
            <w:r w:rsidRPr="003730B5">
              <w:rPr>
                <w:bCs/>
                <w:sz w:val="20"/>
              </w:rPr>
              <w:t>0,1</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461181C5" w14:textId="77777777" w:rsidR="00133AC8" w:rsidRPr="003730B5" w:rsidRDefault="00133AC8" w:rsidP="008764C5">
            <w:pPr>
              <w:spacing w:line="257" w:lineRule="auto"/>
              <w:jc w:val="center"/>
              <w:rPr>
                <w:bCs/>
                <w:sz w:val="20"/>
              </w:rPr>
            </w:pPr>
            <w:r w:rsidRPr="003730B5">
              <w:rPr>
                <w:bCs/>
                <w:sz w:val="20"/>
              </w:rPr>
              <w:t>0,0</w:t>
            </w:r>
          </w:p>
        </w:tc>
      </w:tr>
      <w:tr w:rsidR="00133AC8" w:rsidRPr="003730B5" w14:paraId="27B4C1A9"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vAlign w:val="center"/>
            <w:hideMark/>
          </w:tcPr>
          <w:p w14:paraId="741D21DD" w14:textId="77777777" w:rsidR="00133AC8" w:rsidRPr="003730B5" w:rsidRDefault="00133AC8" w:rsidP="008764C5">
            <w:pPr>
              <w:spacing w:line="257" w:lineRule="auto"/>
              <w:rPr>
                <w:bCs/>
                <w:sz w:val="20"/>
              </w:rPr>
            </w:pPr>
            <w:r w:rsidRPr="003730B5">
              <w:rPr>
                <w:bCs/>
                <w:sz w:val="20"/>
              </w:rPr>
              <w:t>12 Peněžité tresty (předepsané po zák. č. 152/95 Sb.)</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1CA903AA" w14:textId="77777777" w:rsidR="00133AC8" w:rsidRPr="003730B5" w:rsidRDefault="00133AC8" w:rsidP="008764C5">
            <w:pPr>
              <w:spacing w:line="257" w:lineRule="auto"/>
              <w:jc w:val="center"/>
              <w:rPr>
                <w:bCs/>
                <w:sz w:val="20"/>
              </w:rPr>
            </w:pPr>
            <w:r w:rsidRPr="003730B5">
              <w:rPr>
                <w:bCs/>
                <w:sz w:val="20"/>
              </w:rPr>
              <w:t>2,3</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1AFE4549" w14:textId="77777777" w:rsidR="00133AC8" w:rsidRPr="003730B5" w:rsidRDefault="00133AC8" w:rsidP="008764C5">
            <w:pPr>
              <w:spacing w:line="257" w:lineRule="auto"/>
              <w:jc w:val="center"/>
              <w:rPr>
                <w:bCs/>
                <w:sz w:val="20"/>
              </w:rPr>
            </w:pPr>
            <w:r w:rsidRPr="003730B5">
              <w:rPr>
                <w:bCs/>
                <w:sz w:val="20"/>
              </w:rPr>
              <w:t>0,0</w:t>
            </w:r>
          </w:p>
        </w:tc>
      </w:tr>
      <w:tr w:rsidR="00133AC8" w:rsidRPr="003730B5" w14:paraId="273CD93E"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vAlign w:val="center"/>
            <w:hideMark/>
          </w:tcPr>
          <w:p w14:paraId="5C763673" w14:textId="77777777" w:rsidR="00133AC8" w:rsidRPr="003730B5" w:rsidRDefault="00133AC8" w:rsidP="008764C5">
            <w:pPr>
              <w:spacing w:line="257" w:lineRule="auto"/>
              <w:rPr>
                <w:bCs/>
                <w:sz w:val="20"/>
              </w:rPr>
            </w:pPr>
            <w:r w:rsidRPr="003730B5">
              <w:rPr>
                <w:bCs/>
                <w:sz w:val="20"/>
              </w:rPr>
              <w:t>13 Náklady výkonu trestu domácího vězení</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3E13D39C" w14:textId="77777777" w:rsidR="00133AC8" w:rsidRPr="003730B5" w:rsidRDefault="00133AC8" w:rsidP="008764C5">
            <w:pPr>
              <w:spacing w:line="257" w:lineRule="auto"/>
              <w:jc w:val="center"/>
              <w:rPr>
                <w:bCs/>
                <w:sz w:val="20"/>
              </w:rPr>
            </w:pPr>
            <w:r w:rsidRPr="003730B5">
              <w:rPr>
                <w:bCs/>
                <w:sz w:val="20"/>
              </w:rPr>
              <w:t>9,6</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19A9EEDA" w14:textId="77777777" w:rsidR="00133AC8" w:rsidRPr="003730B5" w:rsidRDefault="00133AC8" w:rsidP="008764C5">
            <w:pPr>
              <w:spacing w:line="257" w:lineRule="auto"/>
              <w:jc w:val="center"/>
              <w:rPr>
                <w:bCs/>
                <w:sz w:val="20"/>
              </w:rPr>
            </w:pPr>
            <w:r w:rsidRPr="003730B5">
              <w:rPr>
                <w:bCs/>
                <w:sz w:val="20"/>
              </w:rPr>
              <w:t>0,2</w:t>
            </w:r>
          </w:p>
        </w:tc>
      </w:tr>
      <w:tr w:rsidR="00133AC8" w:rsidRPr="003730B5" w14:paraId="426274A1"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shd w:val="clear" w:color="auto" w:fill="F2DBDB" w:themeFill="accent2" w:themeFillTint="33"/>
            <w:vAlign w:val="center"/>
            <w:hideMark/>
          </w:tcPr>
          <w:p w14:paraId="6466F444" w14:textId="77777777" w:rsidR="00133AC8" w:rsidRPr="003730B5" w:rsidRDefault="00133AC8" w:rsidP="008764C5">
            <w:pPr>
              <w:spacing w:line="257" w:lineRule="auto"/>
              <w:rPr>
                <w:bCs/>
                <w:sz w:val="20"/>
              </w:rPr>
            </w:pPr>
            <w:r w:rsidRPr="003730B5">
              <w:rPr>
                <w:bCs/>
                <w:sz w:val="20"/>
              </w:rPr>
              <w:t>14 Náklady civilního řízení</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5CB5BF40" w14:textId="77777777" w:rsidR="00133AC8" w:rsidRPr="003730B5" w:rsidRDefault="00133AC8" w:rsidP="008764C5">
            <w:pPr>
              <w:spacing w:line="257" w:lineRule="auto"/>
              <w:jc w:val="center"/>
              <w:rPr>
                <w:bCs/>
                <w:sz w:val="20"/>
              </w:rPr>
            </w:pPr>
            <w:r w:rsidRPr="003730B5">
              <w:rPr>
                <w:bCs/>
                <w:sz w:val="20"/>
              </w:rPr>
              <w:t>120,9</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4376DF54" w14:textId="77777777" w:rsidR="00133AC8" w:rsidRPr="003730B5" w:rsidRDefault="00133AC8" w:rsidP="008764C5">
            <w:pPr>
              <w:spacing w:line="257" w:lineRule="auto"/>
              <w:jc w:val="center"/>
              <w:rPr>
                <w:bCs/>
                <w:sz w:val="20"/>
              </w:rPr>
            </w:pPr>
            <w:r w:rsidRPr="003730B5">
              <w:rPr>
                <w:bCs/>
                <w:sz w:val="20"/>
              </w:rPr>
              <w:t>2,1</w:t>
            </w:r>
          </w:p>
        </w:tc>
      </w:tr>
      <w:tr w:rsidR="00133AC8" w:rsidRPr="003730B5" w14:paraId="00AC6645"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vAlign w:val="center"/>
            <w:hideMark/>
          </w:tcPr>
          <w:p w14:paraId="56211988" w14:textId="77777777" w:rsidR="00133AC8" w:rsidRPr="003730B5" w:rsidRDefault="00133AC8" w:rsidP="008764C5">
            <w:pPr>
              <w:spacing w:line="257" w:lineRule="auto"/>
              <w:rPr>
                <w:bCs/>
                <w:sz w:val="20"/>
              </w:rPr>
            </w:pPr>
            <w:r w:rsidRPr="003730B5">
              <w:rPr>
                <w:bCs/>
                <w:sz w:val="20"/>
              </w:rPr>
              <w:t>15 Náklady soudního řízení správního</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4EDD5677" w14:textId="77777777" w:rsidR="00133AC8" w:rsidRPr="003730B5" w:rsidRDefault="00133AC8" w:rsidP="008764C5">
            <w:pPr>
              <w:spacing w:line="257" w:lineRule="auto"/>
              <w:jc w:val="center"/>
              <w:rPr>
                <w:bCs/>
                <w:sz w:val="20"/>
              </w:rPr>
            </w:pPr>
            <w:r w:rsidRPr="003730B5">
              <w:rPr>
                <w:bCs/>
                <w:sz w:val="20"/>
              </w:rPr>
              <w:t>0</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1C4AE7D4" w14:textId="77777777" w:rsidR="00133AC8" w:rsidRPr="003730B5" w:rsidRDefault="00133AC8" w:rsidP="008764C5">
            <w:pPr>
              <w:spacing w:line="257" w:lineRule="auto"/>
              <w:jc w:val="center"/>
              <w:rPr>
                <w:bCs/>
                <w:sz w:val="20"/>
              </w:rPr>
            </w:pPr>
            <w:r w:rsidRPr="003730B5">
              <w:rPr>
                <w:bCs/>
                <w:sz w:val="20"/>
              </w:rPr>
              <w:t>0</w:t>
            </w:r>
          </w:p>
        </w:tc>
      </w:tr>
      <w:tr w:rsidR="00133AC8" w:rsidRPr="003730B5" w14:paraId="7ED3074C"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vAlign w:val="center"/>
            <w:hideMark/>
          </w:tcPr>
          <w:p w14:paraId="70DC05A8" w14:textId="77777777" w:rsidR="00133AC8" w:rsidRPr="003730B5" w:rsidRDefault="00133AC8" w:rsidP="008764C5">
            <w:pPr>
              <w:spacing w:line="257" w:lineRule="auto"/>
              <w:rPr>
                <w:bCs/>
                <w:sz w:val="20"/>
              </w:rPr>
            </w:pPr>
            <w:r w:rsidRPr="003730B5">
              <w:rPr>
                <w:bCs/>
                <w:sz w:val="20"/>
              </w:rPr>
              <w:t>16 Pořádkové pokuty dle § 44 zákona č. 150/2002 Sb.</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43D1FEC2" w14:textId="77777777" w:rsidR="00133AC8" w:rsidRPr="003730B5" w:rsidRDefault="00133AC8" w:rsidP="008764C5">
            <w:pPr>
              <w:spacing w:line="257" w:lineRule="auto"/>
              <w:jc w:val="center"/>
              <w:rPr>
                <w:bCs/>
                <w:sz w:val="20"/>
              </w:rPr>
            </w:pPr>
            <w:r w:rsidRPr="003730B5">
              <w:rPr>
                <w:bCs/>
                <w:sz w:val="20"/>
              </w:rPr>
              <w:t>0,009</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6A27401A" w14:textId="77777777" w:rsidR="00133AC8" w:rsidRPr="003730B5" w:rsidRDefault="00133AC8" w:rsidP="008764C5">
            <w:pPr>
              <w:spacing w:line="257" w:lineRule="auto"/>
              <w:jc w:val="center"/>
              <w:rPr>
                <w:bCs/>
                <w:sz w:val="20"/>
              </w:rPr>
            </w:pPr>
            <w:r w:rsidRPr="003730B5">
              <w:rPr>
                <w:bCs/>
                <w:sz w:val="20"/>
              </w:rPr>
              <w:t>0,0</w:t>
            </w:r>
          </w:p>
        </w:tc>
      </w:tr>
      <w:tr w:rsidR="00133AC8" w:rsidRPr="003730B5" w14:paraId="286D922C"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vAlign w:val="center"/>
            <w:hideMark/>
          </w:tcPr>
          <w:p w14:paraId="00CBF75C" w14:textId="77777777" w:rsidR="00133AC8" w:rsidRPr="003730B5" w:rsidRDefault="00133AC8" w:rsidP="008764C5">
            <w:pPr>
              <w:spacing w:line="257" w:lineRule="auto"/>
              <w:rPr>
                <w:bCs/>
                <w:sz w:val="20"/>
              </w:rPr>
            </w:pPr>
            <w:r w:rsidRPr="003730B5">
              <w:rPr>
                <w:bCs/>
                <w:sz w:val="20"/>
              </w:rPr>
              <w:t>17 Náklady kárného řízení</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2BDD2491" w14:textId="77777777" w:rsidR="00133AC8" w:rsidRPr="003730B5" w:rsidRDefault="00133AC8" w:rsidP="008764C5">
            <w:pPr>
              <w:spacing w:line="257" w:lineRule="auto"/>
              <w:jc w:val="center"/>
              <w:rPr>
                <w:bCs/>
                <w:sz w:val="20"/>
              </w:rPr>
            </w:pPr>
            <w:r w:rsidRPr="003730B5">
              <w:rPr>
                <w:bCs/>
                <w:sz w:val="20"/>
              </w:rPr>
              <w:t>0</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5DD0A598" w14:textId="77777777" w:rsidR="00133AC8" w:rsidRPr="003730B5" w:rsidRDefault="00133AC8" w:rsidP="008764C5">
            <w:pPr>
              <w:spacing w:line="257" w:lineRule="auto"/>
              <w:jc w:val="center"/>
              <w:rPr>
                <w:bCs/>
                <w:sz w:val="20"/>
              </w:rPr>
            </w:pPr>
            <w:r w:rsidRPr="003730B5">
              <w:rPr>
                <w:bCs/>
                <w:sz w:val="20"/>
              </w:rPr>
              <w:t>0</w:t>
            </w:r>
          </w:p>
        </w:tc>
      </w:tr>
      <w:tr w:rsidR="00133AC8" w:rsidRPr="003730B5" w14:paraId="3484011A" w14:textId="77777777" w:rsidTr="008764C5">
        <w:trPr>
          <w:trHeight w:val="283"/>
        </w:trPr>
        <w:tc>
          <w:tcPr>
            <w:tcW w:w="7011" w:type="dxa"/>
            <w:tcBorders>
              <w:top w:val="single" w:sz="4" w:space="0" w:color="auto"/>
              <w:left w:val="thinThickSmallGap" w:sz="12" w:space="0" w:color="auto"/>
              <w:bottom w:val="single" w:sz="4" w:space="0" w:color="auto"/>
              <w:right w:val="double" w:sz="6" w:space="0" w:color="auto"/>
            </w:tcBorders>
            <w:vAlign w:val="center"/>
            <w:hideMark/>
          </w:tcPr>
          <w:p w14:paraId="0E8D6AF8" w14:textId="77777777" w:rsidR="00133AC8" w:rsidRPr="003730B5" w:rsidRDefault="00133AC8" w:rsidP="008764C5">
            <w:pPr>
              <w:spacing w:line="257" w:lineRule="auto"/>
              <w:rPr>
                <w:bCs/>
                <w:sz w:val="20"/>
              </w:rPr>
            </w:pPr>
            <w:r w:rsidRPr="003730B5">
              <w:rPr>
                <w:bCs/>
                <w:sz w:val="20"/>
              </w:rPr>
              <w:t>18 Pořádkové pokuty v kárném řízení</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tcPr>
          <w:p w14:paraId="624D5C6C" w14:textId="77777777" w:rsidR="00133AC8" w:rsidRPr="003730B5" w:rsidRDefault="00133AC8" w:rsidP="008764C5">
            <w:pPr>
              <w:spacing w:line="257" w:lineRule="auto"/>
              <w:jc w:val="center"/>
              <w:rPr>
                <w:bCs/>
                <w:sz w:val="20"/>
              </w:rPr>
            </w:pPr>
            <w:r w:rsidRPr="003730B5">
              <w:rPr>
                <w:bCs/>
                <w:sz w:val="20"/>
              </w:rPr>
              <w:t>0</w:t>
            </w:r>
          </w:p>
        </w:tc>
        <w:tc>
          <w:tcPr>
            <w:tcW w:w="849" w:type="dxa"/>
            <w:tcBorders>
              <w:top w:val="single" w:sz="4" w:space="0" w:color="auto"/>
              <w:left w:val="single" w:sz="4" w:space="0" w:color="auto"/>
              <w:bottom w:val="single" w:sz="4" w:space="0" w:color="auto"/>
              <w:right w:val="thickThinMediumGap" w:sz="12" w:space="0" w:color="333333"/>
            </w:tcBorders>
            <w:shd w:val="clear" w:color="auto" w:fill="auto"/>
            <w:vAlign w:val="bottom"/>
          </w:tcPr>
          <w:p w14:paraId="4CDF7B24" w14:textId="77777777" w:rsidR="00133AC8" w:rsidRPr="003730B5" w:rsidRDefault="00133AC8" w:rsidP="008764C5">
            <w:pPr>
              <w:spacing w:line="257" w:lineRule="auto"/>
              <w:jc w:val="center"/>
              <w:rPr>
                <w:bCs/>
                <w:sz w:val="20"/>
              </w:rPr>
            </w:pPr>
            <w:r w:rsidRPr="003730B5">
              <w:rPr>
                <w:bCs/>
                <w:sz w:val="20"/>
              </w:rPr>
              <w:t>0</w:t>
            </w:r>
          </w:p>
        </w:tc>
      </w:tr>
      <w:tr w:rsidR="00133AC8" w:rsidRPr="003730B5" w14:paraId="707A7703" w14:textId="77777777" w:rsidTr="008764C5">
        <w:trPr>
          <w:trHeight w:val="283"/>
        </w:trPr>
        <w:tc>
          <w:tcPr>
            <w:tcW w:w="7011" w:type="dxa"/>
            <w:tcBorders>
              <w:top w:val="single" w:sz="4" w:space="0" w:color="auto"/>
              <w:left w:val="thinThickSmallGap" w:sz="12" w:space="0" w:color="auto"/>
              <w:bottom w:val="thickThinSmallGap" w:sz="12" w:space="0" w:color="auto"/>
              <w:right w:val="double" w:sz="6" w:space="0" w:color="auto"/>
            </w:tcBorders>
            <w:vAlign w:val="center"/>
            <w:hideMark/>
          </w:tcPr>
          <w:p w14:paraId="472B00EF" w14:textId="77777777" w:rsidR="00133AC8" w:rsidRPr="003730B5" w:rsidRDefault="00133AC8" w:rsidP="008764C5">
            <w:pPr>
              <w:spacing w:line="257" w:lineRule="auto"/>
              <w:rPr>
                <w:bCs/>
                <w:sz w:val="20"/>
              </w:rPr>
            </w:pPr>
            <w:r w:rsidRPr="003730B5">
              <w:rPr>
                <w:bCs/>
                <w:sz w:val="20"/>
              </w:rPr>
              <w:t>19 Náklady na elektronický kontrolní systém při podmíněném propuštění</w:t>
            </w:r>
          </w:p>
        </w:tc>
        <w:tc>
          <w:tcPr>
            <w:tcW w:w="1275" w:type="dxa"/>
            <w:tcBorders>
              <w:top w:val="single" w:sz="4" w:space="0" w:color="auto"/>
              <w:left w:val="double" w:sz="6" w:space="0" w:color="auto"/>
              <w:bottom w:val="thickThinMediumGap" w:sz="12" w:space="0" w:color="333333"/>
              <w:right w:val="single" w:sz="4" w:space="0" w:color="auto"/>
            </w:tcBorders>
            <w:shd w:val="clear" w:color="auto" w:fill="auto"/>
            <w:vAlign w:val="center"/>
          </w:tcPr>
          <w:p w14:paraId="57CFBD65" w14:textId="77777777" w:rsidR="00133AC8" w:rsidRPr="003730B5" w:rsidRDefault="00133AC8" w:rsidP="008764C5">
            <w:pPr>
              <w:spacing w:line="257" w:lineRule="auto"/>
              <w:jc w:val="center"/>
              <w:rPr>
                <w:bCs/>
                <w:sz w:val="20"/>
              </w:rPr>
            </w:pPr>
            <w:r w:rsidRPr="003730B5">
              <w:rPr>
                <w:bCs/>
                <w:sz w:val="20"/>
              </w:rPr>
              <w:t>0</w:t>
            </w:r>
          </w:p>
        </w:tc>
        <w:tc>
          <w:tcPr>
            <w:tcW w:w="849" w:type="dxa"/>
            <w:tcBorders>
              <w:top w:val="single" w:sz="4" w:space="0" w:color="auto"/>
              <w:left w:val="single" w:sz="4" w:space="0" w:color="auto"/>
              <w:bottom w:val="thickThinMediumGap" w:sz="12" w:space="0" w:color="333333"/>
              <w:right w:val="thickThinMediumGap" w:sz="12" w:space="0" w:color="333333"/>
            </w:tcBorders>
            <w:shd w:val="clear" w:color="auto" w:fill="auto"/>
            <w:vAlign w:val="bottom"/>
          </w:tcPr>
          <w:p w14:paraId="57A1AD19" w14:textId="77777777" w:rsidR="00133AC8" w:rsidRPr="003730B5" w:rsidRDefault="00133AC8" w:rsidP="008764C5">
            <w:pPr>
              <w:spacing w:line="257" w:lineRule="auto"/>
              <w:jc w:val="center"/>
              <w:rPr>
                <w:bCs/>
                <w:sz w:val="20"/>
              </w:rPr>
            </w:pPr>
            <w:r w:rsidRPr="003730B5">
              <w:rPr>
                <w:bCs/>
                <w:sz w:val="20"/>
              </w:rPr>
              <w:t>0</w:t>
            </w:r>
          </w:p>
        </w:tc>
      </w:tr>
    </w:tbl>
    <w:p w14:paraId="2534B39D" w14:textId="77777777" w:rsidR="00133AC8" w:rsidRPr="003730B5" w:rsidRDefault="00133AC8" w:rsidP="00133AC8">
      <w:pPr>
        <w:widowControl w:val="0"/>
        <w:autoSpaceDE w:val="0"/>
        <w:autoSpaceDN w:val="0"/>
        <w:adjustRightInd w:val="0"/>
        <w:spacing w:after="120"/>
        <w:rPr>
          <w:bCs/>
          <w:szCs w:val="24"/>
        </w:rPr>
      </w:pPr>
      <w:r w:rsidRPr="003730B5">
        <w:rPr>
          <w:bCs/>
          <w:szCs w:val="24"/>
        </w:rPr>
        <w:t xml:space="preserve">Objem neuhrazených </w:t>
      </w:r>
      <w:r w:rsidRPr="003730B5">
        <w:rPr>
          <w:szCs w:val="24"/>
        </w:rPr>
        <w:t>pohledávek</w:t>
      </w:r>
      <w:r w:rsidRPr="003730B5">
        <w:rPr>
          <w:bCs/>
          <w:szCs w:val="24"/>
        </w:rPr>
        <w:t xml:space="preserve"> zůstal v roce 2022 ve srovnání s rokem 2021 v zásadě neměnný [došlo k poklesu o 0,1 % (8,2 mil. Kč)], v roce 2021 došlo oproti roku 2020 k nárůstu o 1,6 % (91,5 mil. Kč). Následující tabulka vyjadřuje vývojový trend neuhrazených pohledávek v jednotlivých regionech od roku 2019. </w:t>
      </w:r>
    </w:p>
    <w:tbl>
      <w:tblPr>
        <w:tblpPr w:leftFromText="141" w:rightFromText="141" w:vertAnchor="text" w:horzAnchor="margin" w:tblpX="2" w:tblpY="159"/>
        <w:tblW w:w="9213"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2127"/>
        <w:gridCol w:w="992"/>
        <w:gridCol w:w="992"/>
        <w:gridCol w:w="1134"/>
        <w:gridCol w:w="992"/>
        <w:gridCol w:w="992"/>
        <w:gridCol w:w="992"/>
        <w:gridCol w:w="992"/>
      </w:tblGrid>
      <w:tr w:rsidR="00133AC8" w:rsidRPr="003730B5" w14:paraId="3D653CFD" w14:textId="77777777" w:rsidTr="008764C5">
        <w:trPr>
          <w:trHeight w:val="338"/>
        </w:trPr>
        <w:tc>
          <w:tcPr>
            <w:tcW w:w="2127" w:type="dxa"/>
            <w:tcBorders>
              <w:top w:val="nil"/>
              <w:left w:val="nil"/>
              <w:bottom w:val="thinThickSmallGap" w:sz="12" w:space="0" w:color="auto"/>
              <w:right w:val="thinThickSmallGap" w:sz="12" w:space="0" w:color="auto"/>
            </w:tcBorders>
            <w:vAlign w:val="center"/>
          </w:tcPr>
          <w:p w14:paraId="71DB5BE2" w14:textId="77777777" w:rsidR="00133AC8" w:rsidRPr="003730B5" w:rsidRDefault="00133AC8" w:rsidP="008764C5">
            <w:pPr>
              <w:jc w:val="left"/>
              <w:rPr>
                <w:bCs/>
                <w:sz w:val="20"/>
              </w:rPr>
            </w:pPr>
            <w:r w:rsidRPr="003730B5">
              <w:rPr>
                <w:bCs/>
                <w:sz w:val="20"/>
              </w:rPr>
              <w:t xml:space="preserve">   (v mil. Kč) </w:t>
            </w:r>
          </w:p>
        </w:tc>
        <w:tc>
          <w:tcPr>
            <w:tcW w:w="992" w:type="dxa"/>
            <w:tcBorders>
              <w:top w:val="thinThickSmallGap" w:sz="12" w:space="0" w:color="auto"/>
              <w:left w:val="single" w:sz="4" w:space="0" w:color="auto"/>
              <w:bottom w:val="double" w:sz="2" w:space="0" w:color="auto"/>
              <w:right w:val="single" w:sz="4" w:space="0" w:color="auto"/>
            </w:tcBorders>
            <w:shd w:val="clear" w:color="auto" w:fill="auto"/>
            <w:vAlign w:val="center"/>
          </w:tcPr>
          <w:p w14:paraId="0760E2BE" w14:textId="77777777" w:rsidR="00133AC8" w:rsidRPr="003730B5" w:rsidRDefault="00133AC8" w:rsidP="008764C5">
            <w:pPr>
              <w:jc w:val="left"/>
              <w:rPr>
                <w:bCs/>
                <w:sz w:val="20"/>
              </w:rPr>
            </w:pPr>
            <w:r w:rsidRPr="003730B5">
              <w:rPr>
                <w:bCs/>
                <w:sz w:val="20"/>
              </w:rPr>
              <w:t>rok 2019</w:t>
            </w:r>
          </w:p>
        </w:tc>
        <w:tc>
          <w:tcPr>
            <w:tcW w:w="992" w:type="dxa"/>
            <w:tcBorders>
              <w:top w:val="thinThickSmallGap" w:sz="12" w:space="0" w:color="auto"/>
              <w:left w:val="single" w:sz="4" w:space="0" w:color="auto"/>
              <w:bottom w:val="double" w:sz="2" w:space="0" w:color="auto"/>
              <w:right w:val="single" w:sz="4" w:space="0" w:color="auto"/>
            </w:tcBorders>
            <w:shd w:val="clear" w:color="auto" w:fill="auto"/>
            <w:vAlign w:val="center"/>
          </w:tcPr>
          <w:p w14:paraId="2AE74D65" w14:textId="77777777" w:rsidR="00133AC8" w:rsidRPr="003730B5" w:rsidRDefault="00133AC8" w:rsidP="008764C5">
            <w:pPr>
              <w:jc w:val="left"/>
              <w:rPr>
                <w:bCs/>
                <w:sz w:val="20"/>
              </w:rPr>
            </w:pPr>
            <w:r w:rsidRPr="003730B5">
              <w:rPr>
                <w:bCs/>
                <w:sz w:val="20"/>
              </w:rPr>
              <w:t>rok 2020</w:t>
            </w:r>
          </w:p>
        </w:tc>
        <w:tc>
          <w:tcPr>
            <w:tcW w:w="1134" w:type="dxa"/>
            <w:tcBorders>
              <w:top w:val="thinThickSmallGap" w:sz="12" w:space="0" w:color="auto"/>
              <w:left w:val="single" w:sz="4" w:space="0" w:color="auto"/>
              <w:bottom w:val="double" w:sz="2" w:space="0" w:color="auto"/>
              <w:right w:val="single" w:sz="4" w:space="0" w:color="auto"/>
            </w:tcBorders>
            <w:shd w:val="clear" w:color="auto" w:fill="CCE0F8"/>
            <w:vAlign w:val="center"/>
          </w:tcPr>
          <w:p w14:paraId="0690E247" w14:textId="77777777" w:rsidR="00133AC8" w:rsidRPr="003730B5" w:rsidRDefault="00133AC8" w:rsidP="008764C5">
            <w:pPr>
              <w:jc w:val="left"/>
              <w:rPr>
                <w:bCs/>
                <w:sz w:val="20"/>
              </w:rPr>
            </w:pPr>
            <w:r w:rsidRPr="003730B5">
              <w:rPr>
                <w:bCs/>
                <w:sz w:val="20"/>
              </w:rPr>
              <w:t>Index</w:t>
            </w:r>
          </w:p>
          <w:p w14:paraId="7F457550" w14:textId="77777777" w:rsidR="00133AC8" w:rsidRPr="003730B5" w:rsidRDefault="00133AC8" w:rsidP="008764C5">
            <w:pPr>
              <w:jc w:val="left"/>
              <w:rPr>
                <w:bCs/>
                <w:sz w:val="20"/>
              </w:rPr>
            </w:pPr>
            <w:r w:rsidRPr="003730B5">
              <w:rPr>
                <w:bCs/>
                <w:sz w:val="20"/>
              </w:rPr>
              <w:t>%</w:t>
            </w:r>
          </w:p>
        </w:tc>
        <w:tc>
          <w:tcPr>
            <w:tcW w:w="992" w:type="dxa"/>
            <w:tcBorders>
              <w:top w:val="thinThickSmallGap" w:sz="12" w:space="0" w:color="auto"/>
              <w:left w:val="single" w:sz="4" w:space="0" w:color="auto"/>
              <w:bottom w:val="double" w:sz="2" w:space="0" w:color="auto"/>
              <w:right w:val="single" w:sz="4" w:space="0" w:color="auto"/>
            </w:tcBorders>
            <w:shd w:val="clear" w:color="auto" w:fill="auto"/>
            <w:vAlign w:val="center"/>
          </w:tcPr>
          <w:p w14:paraId="26B26EC2" w14:textId="77777777" w:rsidR="00133AC8" w:rsidRPr="003730B5" w:rsidRDefault="00133AC8" w:rsidP="008764C5">
            <w:pPr>
              <w:jc w:val="left"/>
              <w:rPr>
                <w:bCs/>
                <w:sz w:val="20"/>
              </w:rPr>
            </w:pPr>
            <w:r w:rsidRPr="003730B5">
              <w:rPr>
                <w:bCs/>
                <w:sz w:val="20"/>
              </w:rPr>
              <w:t>rok 2021</w:t>
            </w:r>
          </w:p>
        </w:tc>
        <w:tc>
          <w:tcPr>
            <w:tcW w:w="992" w:type="dxa"/>
            <w:tcBorders>
              <w:top w:val="thinThickSmallGap" w:sz="12" w:space="0" w:color="auto"/>
              <w:left w:val="single" w:sz="4" w:space="0" w:color="auto"/>
              <w:bottom w:val="double" w:sz="2" w:space="0" w:color="auto"/>
              <w:right w:val="thickThinSmallGap" w:sz="12" w:space="0" w:color="auto"/>
            </w:tcBorders>
            <w:shd w:val="clear" w:color="auto" w:fill="CCE0F8"/>
            <w:vAlign w:val="center"/>
          </w:tcPr>
          <w:p w14:paraId="264FC326" w14:textId="77777777" w:rsidR="00133AC8" w:rsidRPr="003730B5" w:rsidRDefault="00133AC8" w:rsidP="008764C5">
            <w:pPr>
              <w:jc w:val="left"/>
              <w:rPr>
                <w:bCs/>
                <w:sz w:val="20"/>
              </w:rPr>
            </w:pPr>
            <w:r w:rsidRPr="003730B5">
              <w:rPr>
                <w:bCs/>
                <w:sz w:val="20"/>
              </w:rPr>
              <w:t>Index</w:t>
            </w:r>
          </w:p>
          <w:p w14:paraId="5CFE44E5" w14:textId="77777777" w:rsidR="00133AC8" w:rsidRPr="003730B5" w:rsidRDefault="00133AC8" w:rsidP="008764C5">
            <w:pPr>
              <w:jc w:val="left"/>
              <w:rPr>
                <w:bCs/>
                <w:sz w:val="20"/>
              </w:rPr>
            </w:pPr>
            <w:r w:rsidRPr="003730B5">
              <w:rPr>
                <w:bCs/>
                <w:sz w:val="20"/>
              </w:rPr>
              <w:t>%</w:t>
            </w:r>
          </w:p>
        </w:tc>
        <w:tc>
          <w:tcPr>
            <w:tcW w:w="992" w:type="dxa"/>
            <w:tcBorders>
              <w:top w:val="thinThickSmallGap" w:sz="12" w:space="0" w:color="auto"/>
              <w:left w:val="single" w:sz="4" w:space="0" w:color="auto"/>
              <w:bottom w:val="double" w:sz="2" w:space="0" w:color="auto"/>
              <w:right w:val="thickThinSmallGap" w:sz="12" w:space="0" w:color="auto"/>
            </w:tcBorders>
            <w:shd w:val="clear" w:color="auto" w:fill="CCE0F8"/>
            <w:vAlign w:val="center"/>
          </w:tcPr>
          <w:p w14:paraId="21A5F8F5" w14:textId="77777777" w:rsidR="00133AC8" w:rsidRPr="003730B5" w:rsidRDefault="00133AC8" w:rsidP="008764C5">
            <w:pPr>
              <w:jc w:val="left"/>
              <w:rPr>
                <w:bCs/>
                <w:sz w:val="20"/>
              </w:rPr>
            </w:pPr>
            <w:r w:rsidRPr="003730B5">
              <w:rPr>
                <w:bCs/>
                <w:sz w:val="20"/>
              </w:rPr>
              <w:t>rok 2022</w:t>
            </w:r>
          </w:p>
        </w:tc>
        <w:tc>
          <w:tcPr>
            <w:tcW w:w="992" w:type="dxa"/>
            <w:tcBorders>
              <w:top w:val="thinThickSmallGap" w:sz="12" w:space="0" w:color="auto"/>
              <w:left w:val="single" w:sz="4" w:space="0" w:color="auto"/>
              <w:bottom w:val="double" w:sz="2" w:space="0" w:color="auto"/>
              <w:right w:val="thickThinSmallGap" w:sz="12" w:space="0" w:color="auto"/>
            </w:tcBorders>
            <w:shd w:val="clear" w:color="auto" w:fill="CCE0F8"/>
          </w:tcPr>
          <w:p w14:paraId="774C9AD4" w14:textId="77777777" w:rsidR="00133AC8" w:rsidRPr="003730B5" w:rsidRDefault="00133AC8" w:rsidP="008764C5">
            <w:pPr>
              <w:jc w:val="left"/>
              <w:rPr>
                <w:bCs/>
                <w:sz w:val="20"/>
              </w:rPr>
            </w:pPr>
            <w:r w:rsidRPr="003730B5">
              <w:rPr>
                <w:bCs/>
                <w:sz w:val="20"/>
              </w:rPr>
              <w:t>Index</w:t>
            </w:r>
          </w:p>
          <w:p w14:paraId="50DCB053" w14:textId="77777777" w:rsidR="00133AC8" w:rsidRPr="003730B5" w:rsidRDefault="00133AC8" w:rsidP="008764C5">
            <w:pPr>
              <w:jc w:val="left"/>
              <w:rPr>
                <w:bCs/>
                <w:sz w:val="20"/>
              </w:rPr>
            </w:pPr>
            <w:r w:rsidRPr="003730B5">
              <w:rPr>
                <w:bCs/>
                <w:sz w:val="20"/>
              </w:rPr>
              <w:t>%</w:t>
            </w:r>
          </w:p>
        </w:tc>
      </w:tr>
      <w:tr w:rsidR="00133AC8" w:rsidRPr="003730B5" w14:paraId="62D128DE" w14:textId="77777777" w:rsidTr="008764C5">
        <w:trPr>
          <w:trHeight w:val="338"/>
        </w:trPr>
        <w:tc>
          <w:tcPr>
            <w:tcW w:w="2127" w:type="dxa"/>
            <w:tcBorders>
              <w:top w:val="thinThickSmallGap" w:sz="12" w:space="0" w:color="auto"/>
              <w:left w:val="thinThickSmallGap" w:sz="12" w:space="0" w:color="auto"/>
              <w:bottom w:val="single" w:sz="6" w:space="0" w:color="auto"/>
            </w:tcBorders>
            <w:vAlign w:val="center"/>
          </w:tcPr>
          <w:p w14:paraId="6FE191C5" w14:textId="77777777" w:rsidR="00133AC8" w:rsidRPr="003730B5" w:rsidRDefault="00133AC8" w:rsidP="008764C5">
            <w:pPr>
              <w:jc w:val="left"/>
              <w:rPr>
                <w:bCs/>
                <w:sz w:val="20"/>
              </w:rPr>
            </w:pPr>
            <w:r w:rsidRPr="003730B5">
              <w:rPr>
                <w:bCs/>
                <w:sz w:val="20"/>
              </w:rPr>
              <w:t>MS Praha</w:t>
            </w:r>
          </w:p>
        </w:tc>
        <w:tc>
          <w:tcPr>
            <w:tcW w:w="992" w:type="dxa"/>
            <w:tcBorders>
              <w:top w:val="double" w:sz="2" w:space="0" w:color="auto"/>
              <w:left w:val="single" w:sz="4" w:space="0" w:color="auto"/>
              <w:bottom w:val="single" w:sz="6" w:space="0" w:color="auto"/>
              <w:right w:val="single" w:sz="4" w:space="0" w:color="auto"/>
            </w:tcBorders>
            <w:shd w:val="clear" w:color="auto" w:fill="auto"/>
            <w:vAlign w:val="center"/>
          </w:tcPr>
          <w:p w14:paraId="3BA226EE" w14:textId="77777777" w:rsidR="00133AC8" w:rsidRPr="003730B5" w:rsidRDefault="00133AC8" w:rsidP="008764C5">
            <w:pPr>
              <w:jc w:val="left"/>
              <w:rPr>
                <w:bCs/>
                <w:sz w:val="20"/>
              </w:rPr>
            </w:pPr>
            <w:r w:rsidRPr="003730B5">
              <w:rPr>
                <w:bCs/>
                <w:sz w:val="20"/>
              </w:rPr>
              <w:t>835,0</w:t>
            </w:r>
          </w:p>
        </w:tc>
        <w:tc>
          <w:tcPr>
            <w:tcW w:w="992" w:type="dxa"/>
            <w:tcBorders>
              <w:top w:val="double" w:sz="2" w:space="0" w:color="auto"/>
              <w:left w:val="single" w:sz="4" w:space="0" w:color="auto"/>
              <w:bottom w:val="single" w:sz="6" w:space="0" w:color="auto"/>
              <w:right w:val="single" w:sz="4" w:space="0" w:color="auto"/>
            </w:tcBorders>
            <w:shd w:val="clear" w:color="auto" w:fill="auto"/>
            <w:vAlign w:val="center"/>
          </w:tcPr>
          <w:p w14:paraId="56BC55BF" w14:textId="77777777" w:rsidR="00133AC8" w:rsidRPr="003730B5" w:rsidRDefault="00133AC8" w:rsidP="008764C5">
            <w:pPr>
              <w:jc w:val="left"/>
              <w:rPr>
                <w:bCs/>
                <w:sz w:val="20"/>
              </w:rPr>
            </w:pPr>
            <w:r w:rsidRPr="003730B5">
              <w:rPr>
                <w:bCs/>
                <w:sz w:val="20"/>
              </w:rPr>
              <w:t>837,1</w:t>
            </w:r>
          </w:p>
        </w:tc>
        <w:tc>
          <w:tcPr>
            <w:tcW w:w="1134" w:type="dxa"/>
            <w:tcBorders>
              <w:top w:val="double" w:sz="2" w:space="0" w:color="auto"/>
              <w:left w:val="single" w:sz="4" w:space="0" w:color="auto"/>
              <w:bottom w:val="single" w:sz="6" w:space="0" w:color="auto"/>
              <w:right w:val="single" w:sz="4" w:space="0" w:color="auto"/>
            </w:tcBorders>
            <w:shd w:val="clear" w:color="auto" w:fill="CCE0F8"/>
            <w:vAlign w:val="center"/>
          </w:tcPr>
          <w:p w14:paraId="12325FB3" w14:textId="77777777" w:rsidR="00133AC8" w:rsidRPr="003730B5" w:rsidRDefault="00133AC8" w:rsidP="008764C5">
            <w:pPr>
              <w:jc w:val="left"/>
              <w:rPr>
                <w:bCs/>
                <w:sz w:val="20"/>
              </w:rPr>
            </w:pPr>
            <w:r w:rsidRPr="003730B5">
              <w:rPr>
                <w:bCs/>
                <w:sz w:val="20"/>
              </w:rPr>
              <w:t>+0,2</w:t>
            </w:r>
          </w:p>
        </w:tc>
        <w:tc>
          <w:tcPr>
            <w:tcW w:w="992" w:type="dxa"/>
            <w:tcBorders>
              <w:top w:val="double" w:sz="2" w:space="0" w:color="auto"/>
              <w:left w:val="single" w:sz="4" w:space="0" w:color="auto"/>
              <w:bottom w:val="single" w:sz="6" w:space="0" w:color="auto"/>
              <w:right w:val="single" w:sz="4" w:space="0" w:color="auto"/>
            </w:tcBorders>
            <w:shd w:val="clear" w:color="auto" w:fill="auto"/>
            <w:vAlign w:val="center"/>
          </w:tcPr>
          <w:p w14:paraId="318E0B4D" w14:textId="77777777" w:rsidR="00133AC8" w:rsidRPr="003730B5" w:rsidRDefault="00133AC8" w:rsidP="008764C5">
            <w:pPr>
              <w:jc w:val="left"/>
              <w:rPr>
                <w:bCs/>
                <w:sz w:val="20"/>
              </w:rPr>
            </w:pPr>
            <w:r w:rsidRPr="003730B5">
              <w:rPr>
                <w:bCs/>
                <w:sz w:val="20"/>
              </w:rPr>
              <w:t>866,3</w:t>
            </w:r>
          </w:p>
        </w:tc>
        <w:tc>
          <w:tcPr>
            <w:tcW w:w="992" w:type="dxa"/>
            <w:tcBorders>
              <w:top w:val="double" w:sz="2" w:space="0" w:color="auto"/>
              <w:left w:val="single" w:sz="4" w:space="0" w:color="auto"/>
              <w:bottom w:val="single" w:sz="6" w:space="0" w:color="auto"/>
              <w:right w:val="thickThinSmallGap" w:sz="12" w:space="0" w:color="auto"/>
            </w:tcBorders>
            <w:shd w:val="clear" w:color="auto" w:fill="CCE0F8"/>
            <w:vAlign w:val="center"/>
          </w:tcPr>
          <w:p w14:paraId="3154686F" w14:textId="77777777" w:rsidR="00133AC8" w:rsidRPr="003730B5" w:rsidRDefault="00133AC8" w:rsidP="008764C5">
            <w:pPr>
              <w:jc w:val="left"/>
              <w:rPr>
                <w:bCs/>
                <w:sz w:val="20"/>
              </w:rPr>
            </w:pPr>
            <w:r w:rsidRPr="003730B5">
              <w:rPr>
                <w:bCs/>
                <w:sz w:val="20"/>
              </w:rPr>
              <w:t>+3,5</w:t>
            </w:r>
          </w:p>
        </w:tc>
        <w:tc>
          <w:tcPr>
            <w:tcW w:w="992" w:type="dxa"/>
            <w:tcBorders>
              <w:top w:val="double" w:sz="2" w:space="0" w:color="auto"/>
              <w:left w:val="single" w:sz="4" w:space="0" w:color="auto"/>
              <w:bottom w:val="single" w:sz="6" w:space="0" w:color="auto"/>
              <w:right w:val="thickThinSmallGap" w:sz="12" w:space="0" w:color="auto"/>
            </w:tcBorders>
            <w:shd w:val="clear" w:color="auto" w:fill="CCE0F8"/>
          </w:tcPr>
          <w:p w14:paraId="0E372D8A" w14:textId="77777777" w:rsidR="00133AC8" w:rsidRPr="003730B5" w:rsidRDefault="00133AC8" w:rsidP="008764C5">
            <w:pPr>
              <w:jc w:val="left"/>
              <w:rPr>
                <w:bCs/>
                <w:sz w:val="20"/>
              </w:rPr>
            </w:pPr>
            <w:r w:rsidRPr="003730B5">
              <w:rPr>
                <w:bCs/>
                <w:sz w:val="20"/>
              </w:rPr>
              <w:t>867,2</w:t>
            </w:r>
          </w:p>
        </w:tc>
        <w:tc>
          <w:tcPr>
            <w:tcW w:w="992" w:type="dxa"/>
            <w:tcBorders>
              <w:top w:val="double" w:sz="2" w:space="0" w:color="auto"/>
              <w:left w:val="single" w:sz="4" w:space="0" w:color="auto"/>
              <w:bottom w:val="single" w:sz="6" w:space="0" w:color="auto"/>
              <w:right w:val="thickThinSmallGap" w:sz="12" w:space="0" w:color="auto"/>
            </w:tcBorders>
            <w:shd w:val="clear" w:color="auto" w:fill="CCE0F8"/>
          </w:tcPr>
          <w:p w14:paraId="75DAB7FC" w14:textId="77777777" w:rsidR="00133AC8" w:rsidRPr="003730B5" w:rsidRDefault="00133AC8" w:rsidP="008764C5">
            <w:pPr>
              <w:jc w:val="left"/>
              <w:rPr>
                <w:bCs/>
                <w:sz w:val="20"/>
              </w:rPr>
            </w:pPr>
            <w:r w:rsidRPr="003730B5">
              <w:rPr>
                <w:bCs/>
                <w:sz w:val="20"/>
              </w:rPr>
              <w:t>+0,1</w:t>
            </w:r>
          </w:p>
        </w:tc>
      </w:tr>
      <w:tr w:rsidR="00133AC8" w:rsidRPr="003730B5" w14:paraId="5F73A367" w14:textId="77777777" w:rsidTr="008764C5">
        <w:trPr>
          <w:trHeight w:val="338"/>
        </w:trPr>
        <w:tc>
          <w:tcPr>
            <w:tcW w:w="2127" w:type="dxa"/>
            <w:tcBorders>
              <w:top w:val="single" w:sz="6" w:space="0" w:color="auto"/>
              <w:left w:val="thinThickSmallGap" w:sz="12" w:space="0" w:color="auto"/>
              <w:bottom w:val="single" w:sz="6" w:space="0" w:color="auto"/>
            </w:tcBorders>
            <w:vAlign w:val="center"/>
          </w:tcPr>
          <w:p w14:paraId="0D19C343" w14:textId="77777777" w:rsidR="00133AC8" w:rsidRPr="003730B5" w:rsidRDefault="00133AC8" w:rsidP="008764C5">
            <w:pPr>
              <w:jc w:val="left"/>
              <w:rPr>
                <w:bCs/>
                <w:sz w:val="20"/>
              </w:rPr>
            </w:pPr>
            <w:r w:rsidRPr="003730B5">
              <w:rPr>
                <w:bCs/>
                <w:sz w:val="20"/>
              </w:rPr>
              <w:t>KS Praha</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3064A96C" w14:textId="77777777" w:rsidR="00133AC8" w:rsidRPr="003730B5" w:rsidRDefault="00133AC8" w:rsidP="008764C5">
            <w:pPr>
              <w:jc w:val="left"/>
              <w:rPr>
                <w:bCs/>
                <w:sz w:val="20"/>
              </w:rPr>
            </w:pPr>
            <w:r w:rsidRPr="003730B5">
              <w:rPr>
                <w:bCs/>
                <w:sz w:val="20"/>
              </w:rPr>
              <w:t>786,2</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20C46409" w14:textId="77777777" w:rsidR="00133AC8" w:rsidRPr="003730B5" w:rsidRDefault="00133AC8" w:rsidP="008764C5">
            <w:pPr>
              <w:jc w:val="left"/>
              <w:rPr>
                <w:bCs/>
                <w:sz w:val="20"/>
              </w:rPr>
            </w:pPr>
            <w:r w:rsidRPr="003730B5">
              <w:rPr>
                <w:bCs/>
                <w:sz w:val="20"/>
              </w:rPr>
              <w:t>548,3</w:t>
            </w:r>
          </w:p>
        </w:tc>
        <w:tc>
          <w:tcPr>
            <w:tcW w:w="1134" w:type="dxa"/>
            <w:tcBorders>
              <w:top w:val="single" w:sz="6" w:space="0" w:color="auto"/>
              <w:left w:val="single" w:sz="4" w:space="0" w:color="auto"/>
              <w:bottom w:val="single" w:sz="6" w:space="0" w:color="auto"/>
              <w:right w:val="single" w:sz="4" w:space="0" w:color="auto"/>
            </w:tcBorders>
            <w:shd w:val="clear" w:color="auto" w:fill="CCE0F8"/>
            <w:vAlign w:val="center"/>
          </w:tcPr>
          <w:p w14:paraId="293E71E8" w14:textId="77777777" w:rsidR="00133AC8" w:rsidRPr="003730B5" w:rsidRDefault="00133AC8" w:rsidP="008764C5">
            <w:pPr>
              <w:jc w:val="left"/>
              <w:rPr>
                <w:bCs/>
                <w:sz w:val="20"/>
              </w:rPr>
            </w:pPr>
            <w:r w:rsidRPr="003730B5">
              <w:rPr>
                <w:bCs/>
                <w:sz w:val="20"/>
              </w:rPr>
              <w:t>-30,3</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5BA49371" w14:textId="77777777" w:rsidR="00133AC8" w:rsidRPr="003730B5" w:rsidRDefault="00133AC8" w:rsidP="008764C5">
            <w:pPr>
              <w:jc w:val="left"/>
              <w:rPr>
                <w:bCs/>
                <w:sz w:val="20"/>
              </w:rPr>
            </w:pPr>
            <w:r w:rsidRPr="003730B5">
              <w:rPr>
                <w:bCs/>
                <w:sz w:val="20"/>
              </w:rPr>
              <w:t>541,9</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vAlign w:val="center"/>
          </w:tcPr>
          <w:p w14:paraId="53B93ECD" w14:textId="77777777" w:rsidR="00133AC8" w:rsidRPr="003730B5" w:rsidRDefault="00133AC8" w:rsidP="008764C5">
            <w:pPr>
              <w:jc w:val="left"/>
              <w:rPr>
                <w:bCs/>
                <w:sz w:val="20"/>
              </w:rPr>
            </w:pPr>
            <w:r w:rsidRPr="003730B5">
              <w:rPr>
                <w:bCs/>
                <w:sz w:val="20"/>
              </w:rPr>
              <w:t>-1,2</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tcPr>
          <w:p w14:paraId="04AB15C5" w14:textId="77777777" w:rsidR="00133AC8" w:rsidRPr="003730B5" w:rsidRDefault="00133AC8" w:rsidP="008764C5">
            <w:pPr>
              <w:jc w:val="left"/>
              <w:rPr>
                <w:bCs/>
                <w:sz w:val="20"/>
              </w:rPr>
            </w:pPr>
            <w:r w:rsidRPr="003730B5">
              <w:rPr>
                <w:bCs/>
                <w:sz w:val="20"/>
              </w:rPr>
              <w:t>552,1</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tcPr>
          <w:p w14:paraId="326ECB22" w14:textId="77777777" w:rsidR="00133AC8" w:rsidRPr="003730B5" w:rsidRDefault="00133AC8" w:rsidP="008764C5">
            <w:pPr>
              <w:jc w:val="left"/>
              <w:rPr>
                <w:bCs/>
                <w:sz w:val="20"/>
              </w:rPr>
            </w:pPr>
            <w:r w:rsidRPr="003730B5">
              <w:rPr>
                <w:bCs/>
                <w:sz w:val="20"/>
              </w:rPr>
              <w:t>+1,9</w:t>
            </w:r>
          </w:p>
        </w:tc>
      </w:tr>
      <w:tr w:rsidR="00133AC8" w:rsidRPr="003730B5" w14:paraId="77528E0F" w14:textId="77777777" w:rsidTr="008764C5">
        <w:trPr>
          <w:trHeight w:val="338"/>
        </w:trPr>
        <w:tc>
          <w:tcPr>
            <w:tcW w:w="2127" w:type="dxa"/>
            <w:tcBorders>
              <w:top w:val="single" w:sz="6" w:space="0" w:color="auto"/>
              <w:left w:val="thinThickSmallGap" w:sz="12" w:space="0" w:color="auto"/>
              <w:bottom w:val="single" w:sz="6" w:space="0" w:color="auto"/>
            </w:tcBorders>
            <w:vAlign w:val="center"/>
          </w:tcPr>
          <w:p w14:paraId="72508E44" w14:textId="77777777" w:rsidR="00133AC8" w:rsidRPr="003730B5" w:rsidRDefault="00133AC8" w:rsidP="008764C5">
            <w:pPr>
              <w:jc w:val="left"/>
              <w:rPr>
                <w:bCs/>
                <w:sz w:val="20"/>
              </w:rPr>
            </w:pPr>
            <w:r w:rsidRPr="003730B5">
              <w:rPr>
                <w:bCs/>
                <w:sz w:val="20"/>
              </w:rPr>
              <w:t>KS Č. Budějovice</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176EBD78" w14:textId="77777777" w:rsidR="00133AC8" w:rsidRPr="003730B5" w:rsidRDefault="00133AC8" w:rsidP="008764C5">
            <w:pPr>
              <w:jc w:val="left"/>
              <w:rPr>
                <w:bCs/>
                <w:sz w:val="20"/>
              </w:rPr>
            </w:pPr>
            <w:r w:rsidRPr="003730B5">
              <w:rPr>
                <w:bCs/>
                <w:sz w:val="20"/>
              </w:rPr>
              <w:t>359,4</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0E675454" w14:textId="77777777" w:rsidR="00133AC8" w:rsidRPr="003730B5" w:rsidRDefault="00133AC8" w:rsidP="008764C5">
            <w:pPr>
              <w:jc w:val="left"/>
              <w:rPr>
                <w:bCs/>
                <w:sz w:val="20"/>
              </w:rPr>
            </w:pPr>
            <w:r w:rsidRPr="003730B5">
              <w:rPr>
                <w:bCs/>
                <w:sz w:val="20"/>
              </w:rPr>
              <w:t>364,2</w:t>
            </w:r>
          </w:p>
        </w:tc>
        <w:tc>
          <w:tcPr>
            <w:tcW w:w="1134" w:type="dxa"/>
            <w:tcBorders>
              <w:top w:val="single" w:sz="6" w:space="0" w:color="auto"/>
              <w:left w:val="single" w:sz="4" w:space="0" w:color="auto"/>
              <w:bottom w:val="single" w:sz="6" w:space="0" w:color="auto"/>
              <w:right w:val="single" w:sz="4" w:space="0" w:color="auto"/>
            </w:tcBorders>
            <w:shd w:val="clear" w:color="auto" w:fill="CCE0F8"/>
            <w:vAlign w:val="center"/>
          </w:tcPr>
          <w:p w14:paraId="2D1AC2AE" w14:textId="77777777" w:rsidR="00133AC8" w:rsidRPr="003730B5" w:rsidRDefault="00133AC8" w:rsidP="008764C5">
            <w:pPr>
              <w:jc w:val="left"/>
              <w:rPr>
                <w:bCs/>
                <w:sz w:val="20"/>
              </w:rPr>
            </w:pPr>
            <w:r w:rsidRPr="003730B5">
              <w:rPr>
                <w:bCs/>
                <w:sz w:val="20"/>
              </w:rPr>
              <w:t>+1,3</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76AB4E78" w14:textId="77777777" w:rsidR="00133AC8" w:rsidRPr="003730B5" w:rsidRDefault="00133AC8" w:rsidP="008764C5">
            <w:pPr>
              <w:jc w:val="left"/>
              <w:rPr>
                <w:bCs/>
                <w:sz w:val="20"/>
              </w:rPr>
            </w:pPr>
            <w:r w:rsidRPr="003730B5">
              <w:rPr>
                <w:bCs/>
                <w:sz w:val="20"/>
              </w:rPr>
              <w:t>372,9</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vAlign w:val="center"/>
          </w:tcPr>
          <w:p w14:paraId="24EE59D1" w14:textId="77777777" w:rsidR="00133AC8" w:rsidRPr="003730B5" w:rsidRDefault="00133AC8" w:rsidP="008764C5">
            <w:pPr>
              <w:jc w:val="left"/>
              <w:rPr>
                <w:bCs/>
                <w:sz w:val="20"/>
              </w:rPr>
            </w:pPr>
            <w:r w:rsidRPr="003730B5">
              <w:rPr>
                <w:bCs/>
                <w:sz w:val="20"/>
              </w:rPr>
              <w:t>+2,4</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tcPr>
          <w:p w14:paraId="66F86317" w14:textId="77777777" w:rsidR="00133AC8" w:rsidRPr="003730B5" w:rsidRDefault="00133AC8" w:rsidP="008764C5">
            <w:pPr>
              <w:jc w:val="left"/>
              <w:rPr>
                <w:bCs/>
                <w:sz w:val="20"/>
              </w:rPr>
            </w:pPr>
            <w:r w:rsidRPr="003730B5">
              <w:rPr>
                <w:bCs/>
                <w:sz w:val="20"/>
              </w:rPr>
              <w:t>374,2</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tcPr>
          <w:p w14:paraId="61FE6416" w14:textId="77777777" w:rsidR="00133AC8" w:rsidRPr="003730B5" w:rsidRDefault="00133AC8" w:rsidP="008764C5">
            <w:pPr>
              <w:jc w:val="left"/>
              <w:rPr>
                <w:bCs/>
                <w:sz w:val="20"/>
              </w:rPr>
            </w:pPr>
            <w:r w:rsidRPr="003730B5">
              <w:rPr>
                <w:bCs/>
                <w:sz w:val="20"/>
              </w:rPr>
              <w:t>+0,3</w:t>
            </w:r>
          </w:p>
        </w:tc>
      </w:tr>
      <w:tr w:rsidR="00133AC8" w:rsidRPr="003730B5" w14:paraId="4B13C969" w14:textId="77777777" w:rsidTr="008764C5">
        <w:trPr>
          <w:trHeight w:val="338"/>
        </w:trPr>
        <w:tc>
          <w:tcPr>
            <w:tcW w:w="2127" w:type="dxa"/>
            <w:tcBorders>
              <w:top w:val="single" w:sz="6" w:space="0" w:color="auto"/>
              <w:left w:val="thinThickSmallGap" w:sz="12" w:space="0" w:color="auto"/>
              <w:bottom w:val="single" w:sz="6" w:space="0" w:color="auto"/>
            </w:tcBorders>
            <w:vAlign w:val="center"/>
          </w:tcPr>
          <w:p w14:paraId="3520CF22" w14:textId="77777777" w:rsidR="00133AC8" w:rsidRPr="003730B5" w:rsidRDefault="00133AC8" w:rsidP="008764C5">
            <w:pPr>
              <w:jc w:val="left"/>
              <w:rPr>
                <w:bCs/>
                <w:sz w:val="20"/>
              </w:rPr>
            </w:pPr>
            <w:r w:rsidRPr="003730B5">
              <w:rPr>
                <w:bCs/>
                <w:sz w:val="20"/>
              </w:rPr>
              <w:t>KS Plzeň</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46B72497" w14:textId="77777777" w:rsidR="00133AC8" w:rsidRPr="003730B5" w:rsidRDefault="00133AC8" w:rsidP="008764C5">
            <w:pPr>
              <w:jc w:val="left"/>
              <w:rPr>
                <w:bCs/>
                <w:sz w:val="20"/>
              </w:rPr>
            </w:pPr>
            <w:r w:rsidRPr="003730B5">
              <w:rPr>
                <w:bCs/>
                <w:sz w:val="20"/>
              </w:rPr>
              <w:t>549,2</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7B039B81" w14:textId="77777777" w:rsidR="00133AC8" w:rsidRPr="003730B5" w:rsidRDefault="00133AC8" w:rsidP="008764C5">
            <w:pPr>
              <w:jc w:val="left"/>
              <w:rPr>
                <w:bCs/>
                <w:sz w:val="20"/>
              </w:rPr>
            </w:pPr>
            <w:r w:rsidRPr="003730B5">
              <w:rPr>
                <w:bCs/>
                <w:sz w:val="20"/>
              </w:rPr>
              <w:t>567,8</w:t>
            </w:r>
          </w:p>
        </w:tc>
        <w:tc>
          <w:tcPr>
            <w:tcW w:w="1134" w:type="dxa"/>
            <w:tcBorders>
              <w:top w:val="single" w:sz="6" w:space="0" w:color="auto"/>
              <w:left w:val="single" w:sz="4" w:space="0" w:color="auto"/>
              <w:bottom w:val="single" w:sz="6" w:space="0" w:color="auto"/>
              <w:right w:val="single" w:sz="4" w:space="0" w:color="auto"/>
            </w:tcBorders>
            <w:shd w:val="clear" w:color="auto" w:fill="CCE0F8"/>
            <w:vAlign w:val="center"/>
          </w:tcPr>
          <w:p w14:paraId="54719E38" w14:textId="77777777" w:rsidR="00133AC8" w:rsidRPr="003730B5" w:rsidRDefault="00133AC8" w:rsidP="008764C5">
            <w:pPr>
              <w:jc w:val="left"/>
              <w:rPr>
                <w:bCs/>
                <w:sz w:val="20"/>
              </w:rPr>
            </w:pPr>
            <w:r w:rsidRPr="003730B5">
              <w:rPr>
                <w:bCs/>
                <w:sz w:val="20"/>
              </w:rPr>
              <w:t>+3,4</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25CFBC03" w14:textId="77777777" w:rsidR="00133AC8" w:rsidRPr="003730B5" w:rsidRDefault="00133AC8" w:rsidP="008764C5">
            <w:pPr>
              <w:jc w:val="left"/>
              <w:rPr>
                <w:bCs/>
                <w:sz w:val="20"/>
              </w:rPr>
            </w:pPr>
            <w:r w:rsidRPr="003730B5">
              <w:rPr>
                <w:bCs/>
                <w:sz w:val="20"/>
              </w:rPr>
              <w:t>580,1</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vAlign w:val="center"/>
          </w:tcPr>
          <w:p w14:paraId="2D6C879F" w14:textId="77777777" w:rsidR="00133AC8" w:rsidRPr="003730B5" w:rsidRDefault="00133AC8" w:rsidP="008764C5">
            <w:pPr>
              <w:jc w:val="left"/>
              <w:rPr>
                <w:bCs/>
                <w:sz w:val="20"/>
              </w:rPr>
            </w:pPr>
            <w:r w:rsidRPr="003730B5">
              <w:rPr>
                <w:bCs/>
                <w:sz w:val="20"/>
              </w:rPr>
              <w:t>+2,2</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tcPr>
          <w:p w14:paraId="379BB202" w14:textId="77777777" w:rsidR="00133AC8" w:rsidRPr="003730B5" w:rsidRDefault="00133AC8" w:rsidP="008764C5">
            <w:pPr>
              <w:jc w:val="left"/>
              <w:rPr>
                <w:bCs/>
                <w:sz w:val="20"/>
              </w:rPr>
            </w:pPr>
            <w:r w:rsidRPr="003730B5">
              <w:rPr>
                <w:bCs/>
                <w:sz w:val="20"/>
              </w:rPr>
              <w:t>580,2</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tcPr>
          <w:p w14:paraId="6B08C8FF" w14:textId="77777777" w:rsidR="00133AC8" w:rsidRPr="003730B5" w:rsidRDefault="00133AC8" w:rsidP="008764C5">
            <w:pPr>
              <w:jc w:val="left"/>
              <w:rPr>
                <w:bCs/>
                <w:sz w:val="20"/>
              </w:rPr>
            </w:pPr>
            <w:r w:rsidRPr="003730B5">
              <w:rPr>
                <w:bCs/>
                <w:sz w:val="20"/>
              </w:rPr>
              <w:t>+1,0</w:t>
            </w:r>
          </w:p>
        </w:tc>
      </w:tr>
      <w:tr w:rsidR="00133AC8" w:rsidRPr="003730B5" w14:paraId="42B991B1" w14:textId="77777777" w:rsidTr="008764C5">
        <w:trPr>
          <w:trHeight w:val="338"/>
        </w:trPr>
        <w:tc>
          <w:tcPr>
            <w:tcW w:w="2127" w:type="dxa"/>
            <w:tcBorders>
              <w:top w:val="single" w:sz="6" w:space="0" w:color="auto"/>
              <w:left w:val="thinThickSmallGap" w:sz="12" w:space="0" w:color="auto"/>
              <w:bottom w:val="single" w:sz="6" w:space="0" w:color="auto"/>
            </w:tcBorders>
            <w:vAlign w:val="center"/>
          </w:tcPr>
          <w:p w14:paraId="512294D7" w14:textId="77777777" w:rsidR="00133AC8" w:rsidRPr="003730B5" w:rsidRDefault="00133AC8" w:rsidP="008764C5">
            <w:pPr>
              <w:jc w:val="left"/>
              <w:rPr>
                <w:bCs/>
                <w:sz w:val="20"/>
              </w:rPr>
            </w:pPr>
            <w:r w:rsidRPr="003730B5">
              <w:rPr>
                <w:bCs/>
                <w:sz w:val="20"/>
              </w:rPr>
              <w:t>KS Ústí n. L.</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36B4D1D3" w14:textId="77777777" w:rsidR="00133AC8" w:rsidRPr="003730B5" w:rsidRDefault="00133AC8" w:rsidP="008764C5">
            <w:pPr>
              <w:jc w:val="left"/>
              <w:rPr>
                <w:bCs/>
                <w:sz w:val="20"/>
              </w:rPr>
            </w:pPr>
            <w:r w:rsidRPr="003730B5">
              <w:rPr>
                <w:bCs/>
                <w:sz w:val="20"/>
              </w:rPr>
              <w:t>855,2</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51E25DB3" w14:textId="77777777" w:rsidR="00133AC8" w:rsidRPr="003730B5" w:rsidRDefault="00133AC8" w:rsidP="008764C5">
            <w:pPr>
              <w:jc w:val="left"/>
              <w:rPr>
                <w:bCs/>
                <w:sz w:val="20"/>
              </w:rPr>
            </w:pPr>
            <w:r w:rsidRPr="003730B5">
              <w:rPr>
                <w:bCs/>
                <w:sz w:val="20"/>
              </w:rPr>
              <w:t>844,9</w:t>
            </w:r>
          </w:p>
        </w:tc>
        <w:tc>
          <w:tcPr>
            <w:tcW w:w="1134" w:type="dxa"/>
            <w:tcBorders>
              <w:top w:val="single" w:sz="6" w:space="0" w:color="auto"/>
              <w:left w:val="single" w:sz="4" w:space="0" w:color="auto"/>
              <w:bottom w:val="single" w:sz="6" w:space="0" w:color="auto"/>
              <w:right w:val="single" w:sz="4" w:space="0" w:color="auto"/>
            </w:tcBorders>
            <w:shd w:val="clear" w:color="auto" w:fill="CCE0F8"/>
            <w:vAlign w:val="center"/>
          </w:tcPr>
          <w:p w14:paraId="743171E4" w14:textId="77777777" w:rsidR="00133AC8" w:rsidRPr="003730B5" w:rsidRDefault="00133AC8" w:rsidP="008764C5">
            <w:pPr>
              <w:jc w:val="left"/>
              <w:rPr>
                <w:bCs/>
                <w:sz w:val="20"/>
              </w:rPr>
            </w:pPr>
            <w:r w:rsidRPr="003730B5">
              <w:rPr>
                <w:bCs/>
                <w:sz w:val="20"/>
              </w:rPr>
              <w:t>-1,2</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27EB3E2D" w14:textId="77777777" w:rsidR="00133AC8" w:rsidRPr="003730B5" w:rsidRDefault="00133AC8" w:rsidP="008764C5">
            <w:pPr>
              <w:jc w:val="left"/>
              <w:rPr>
                <w:bCs/>
                <w:sz w:val="20"/>
              </w:rPr>
            </w:pPr>
            <w:r w:rsidRPr="003730B5">
              <w:rPr>
                <w:bCs/>
                <w:sz w:val="20"/>
              </w:rPr>
              <w:t>838,7</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vAlign w:val="center"/>
          </w:tcPr>
          <w:p w14:paraId="06BD120D" w14:textId="77777777" w:rsidR="00133AC8" w:rsidRPr="003730B5" w:rsidRDefault="00133AC8" w:rsidP="008764C5">
            <w:pPr>
              <w:jc w:val="left"/>
              <w:rPr>
                <w:bCs/>
                <w:sz w:val="20"/>
              </w:rPr>
            </w:pPr>
            <w:r w:rsidRPr="003730B5">
              <w:rPr>
                <w:bCs/>
                <w:sz w:val="20"/>
              </w:rPr>
              <w:t>-0,7</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tcPr>
          <w:p w14:paraId="1E6A3E10" w14:textId="77777777" w:rsidR="00133AC8" w:rsidRPr="003730B5" w:rsidRDefault="00133AC8" w:rsidP="008764C5">
            <w:pPr>
              <w:jc w:val="left"/>
              <w:rPr>
                <w:bCs/>
                <w:sz w:val="20"/>
              </w:rPr>
            </w:pPr>
            <w:r w:rsidRPr="003730B5">
              <w:rPr>
                <w:bCs/>
                <w:sz w:val="20"/>
              </w:rPr>
              <w:t>840,4</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tcPr>
          <w:p w14:paraId="6CDBAE46" w14:textId="77777777" w:rsidR="00133AC8" w:rsidRPr="003730B5" w:rsidRDefault="00133AC8" w:rsidP="008764C5">
            <w:pPr>
              <w:jc w:val="left"/>
              <w:rPr>
                <w:bCs/>
                <w:sz w:val="20"/>
              </w:rPr>
            </w:pPr>
            <w:r w:rsidRPr="003730B5">
              <w:rPr>
                <w:bCs/>
                <w:sz w:val="20"/>
              </w:rPr>
              <w:t>+0,0</w:t>
            </w:r>
          </w:p>
        </w:tc>
      </w:tr>
      <w:tr w:rsidR="00133AC8" w:rsidRPr="003730B5" w14:paraId="45B23303" w14:textId="77777777" w:rsidTr="008764C5">
        <w:trPr>
          <w:trHeight w:val="338"/>
        </w:trPr>
        <w:tc>
          <w:tcPr>
            <w:tcW w:w="2127" w:type="dxa"/>
            <w:tcBorders>
              <w:top w:val="single" w:sz="6" w:space="0" w:color="auto"/>
              <w:left w:val="thinThickSmallGap" w:sz="12" w:space="0" w:color="auto"/>
              <w:bottom w:val="single" w:sz="6" w:space="0" w:color="auto"/>
            </w:tcBorders>
            <w:vAlign w:val="center"/>
          </w:tcPr>
          <w:p w14:paraId="6416FA42" w14:textId="77777777" w:rsidR="00133AC8" w:rsidRPr="003730B5" w:rsidRDefault="00133AC8" w:rsidP="008764C5">
            <w:pPr>
              <w:jc w:val="left"/>
              <w:rPr>
                <w:bCs/>
                <w:sz w:val="20"/>
              </w:rPr>
            </w:pPr>
            <w:r w:rsidRPr="003730B5">
              <w:rPr>
                <w:bCs/>
                <w:sz w:val="20"/>
              </w:rPr>
              <w:t>KS Hr. Králové</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608B9057" w14:textId="77777777" w:rsidR="00133AC8" w:rsidRPr="003730B5" w:rsidRDefault="00133AC8" w:rsidP="008764C5">
            <w:pPr>
              <w:jc w:val="left"/>
              <w:rPr>
                <w:bCs/>
                <w:sz w:val="20"/>
              </w:rPr>
            </w:pPr>
            <w:r w:rsidRPr="003730B5">
              <w:rPr>
                <w:bCs/>
                <w:sz w:val="20"/>
              </w:rPr>
              <w:t>516,2</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652D35B1" w14:textId="77777777" w:rsidR="00133AC8" w:rsidRPr="003730B5" w:rsidRDefault="00133AC8" w:rsidP="008764C5">
            <w:pPr>
              <w:jc w:val="left"/>
              <w:rPr>
                <w:bCs/>
                <w:sz w:val="20"/>
              </w:rPr>
            </w:pPr>
            <w:r w:rsidRPr="003730B5">
              <w:rPr>
                <w:bCs/>
                <w:sz w:val="20"/>
              </w:rPr>
              <w:t>516,8</w:t>
            </w:r>
          </w:p>
        </w:tc>
        <w:tc>
          <w:tcPr>
            <w:tcW w:w="1134" w:type="dxa"/>
            <w:tcBorders>
              <w:top w:val="single" w:sz="6" w:space="0" w:color="auto"/>
              <w:left w:val="single" w:sz="4" w:space="0" w:color="auto"/>
              <w:bottom w:val="single" w:sz="6" w:space="0" w:color="auto"/>
              <w:right w:val="single" w:sz="4" w:space="0" w:color="auto"/>
            </w:tcBorders>
            <w:shd w:val="clear" w:color="auto" w:fill="CCE0F8"/>
            <w:vAlign w:val="center"/>
          </w:tcPr>
          <w:p w14:paraId="1271AA36" w14:textId="77777777" w:rsidR="00133AC8" w:rsidRPr="003730B5" w:rsidRDefault="00133AC8" w:rsidP="008764C5">
            <w:pPr>
              <w:jc w:val="left"/>
              <w:rPr>
                <w:bCs/>
                <w:sz w:val="20"/>
              </w:rPr>
            </w:pPr>
            <w:r w:rsidRPr="003730B5">
              <w:rPr>
                <w:bCs/>
                <w:sz w:val="20"/>
              </w:rPr>
              <w:t>+0,1</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2D9B841A" w14:textId="77777777" w:rsidR="00133AC8" w:rsidRPr="003730B5" w:rsidRDefault="00133AC8" w:rsidP="008764C5">
            <w:pPr>
              <w:jc w:val="left"/>
              <w:rPr>
                <w:bCs/>
                <w:sz w:val="20"/>
              </w:rPr>
            </w:pPr>
            <w:r w:rsidRPr="003730B5">
              <w:rPr>
                <w:bCs/>
                <w:sz w:val="20"/>
              </w:rPr>
              <w:t>508,4</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vAlign w:val="center"/>
          </w:tcPr>
          <w:p w14:paraId="4227B2E9" w14:textId="77777777" w:rsidR="00133AC8" w:rsidRPr="003730B5" w:rsidRDefault="00133AC8" w:rsidP="008764C5">
            <w:pPr>
              <w:jc w:val="left"/>
              <w:rPr>
                <w:bCs/>
                <w:sz w:val="20"/>
              </w:rPr>
            </w:pPr>
            <w:r w:rsidRPr="003730B5">
              <w:rPr>
                <w:bCs/>
                <w:sz w:val="20"/>
              </w:rPr>
              <w:t>-1,6</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tcPr>
          <w:p w14:paraId="080769D7" w14:textId="77777777" w:rsidR="00133AC8" w:rsidRPr="003730B5" w:rsidRDefault="00133AC8" w:rsidP="008764C5">
            <w:pPr>
              <w:jc w:val="left"/>
              <w:rPr>
                <w:bCs/>
                <w:sz w:val="20"/>
              </w:rPr>
            </w:pPr>
            <w:r w:rsidRPr="003730B5">
              <w:rPr>
                <w:bCs/>
                <w:sz w:val="20"/>
              </w:rPr>
              <w:t>505,1</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tcPr>
          <w:p w14:paraId="1F7424BD" w14:textId="77777777" w:rsidR="00133AC8" w:rsidRPr="003730B5" w:rsidRDefault="00133AC8" w:rsidP="008764C5">
            <w:pPr>
              <w:jc w:val="left"/>
              <w:rPr>
                <w:bCs/>
                <w:sz w:val="20"/>
              </w:rPr>
            </w:pPr>
            <w:r w:rsidRPr="003730B5">
              <w:rPr>
                <w:bCs/>
                <w:sz w:val="20"/>
              </w:rPr>
              <w:t>-0,6</w:t>
            </w:r>
          </w:p>
        </w:tc>
      </w:tr>
      <w:tr w:rsidR="00133AC8" w:rsidRPr="003730B5" w14:paraId="7B680D99" w14:textId="77777777" w:rsidTr="008764C5">
        <w:trPr>
          <w:trHeight w:val="338"/>
        </w:trPr>
        <w:tc>
          <w:tcPr>
            <w:tcW w:w="2127" w:type="dxa"/>
            <w:tcBorders>
              <w:top w:val="single" w:sz="6" w:space="0" w:color="auto"/>
              <w:left w:val="thinThickSmallGap" w:sz="12" w:space="0" w:color="auto"/>
              <w:bottom w:val="single" w:sz="6" w:space="0" w:color="auto"/>
            </w:tcBorders>
            <w:vAlign w:val="center"/>
          </w:tcPr>
          <w:p w14:paraId="605BD773" w14:textId="77777777" w:rsidR="00133AC8" w:rsidRPr="003730B5" w:rsidRDefault="00133AC8" w:rsidP="008764C5">
            <w:pPr>
              <w:jc w:val="left"/>
              <w:rPr>
                <w:bCs/>
                <w:sz w:val="20"/>
              </w:rPr>
            </w:pPr>
            <w:r w:rsidRPr="003730B5">
              <w:rPr>
                <w:bCs/>
                <w:sz w:val="20"/>
              </w:rPr>
              <w:t>KS Brno</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3E653D0E" w14:textId="77777777" w:rsidR="00133AC8" w:rsidRPr="003730B5" w:rsidRDefault="00133AC8" w:rsidP="008764C5">
            <w:pPr>
              <w:jc w:val="left"/>
              <w:rPr>
                <w:bCs/>
                <w:sz w:val="20"/>
              </w:rPr>
            </w:pPr>
            <w:r w:rsidRPr="003730B5">
              <w:rPr>
                <w:bCs/>
                <w:sz w:val="20"/>
              </w:rPr>
              <w:t>936,0</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4CE4199A" w14:textId="77777777" w:rsidR="00133AC8" w:rsidRPr="003730B5" w:rsidRDefault="00133AC8" w:rsidP="008764C5">
            <w:pPr>
              <w:jc w:val="left"/>
              <w:rPr>
                <w:bCs/>
                <w:sz w:val="20"/>
              </w:rPr>
            </w:pPr>
            <w:r w:rsidRPr="003730B5">
              <w:rPr>
                <w:bCs/>
                <w:sz w:val="20"/>
              </w:rPr>
              <w:t>961,0</w:t>
            </w:r>
          </w:p>
        </w:tc>
        <w:tc>
          <w:tcPr>
            <w:tcW w:w="1134" w:type="dxa"/>
            <w:tcBorders>
              <w:top w:val="single" w:sz="6" w:space="0" w:color="auto"/>
              <w:left w:val="single" w:sz="4" w:space="0" w:color="auto"/>
              <w:bottom w:val="single" w:sz="6" w:space="0" w:color="auto"/>
              <w:right w:val="single" w:sz="4" w:space="0" w:color="auto"/>
            </w:tcBorders>
            <w:shd w:val="clear" w:color="auto" w:fill="CCE0F8"/>
            <w:vAlign w:val="center"/>
          </w:tcPr>
          <w:p w14:paraId="65B708C7" w14:textId="77777777" w:rsidR="00133AC8" w:rsidRPr="003730B5" w:rsidRDefault="00133AC8" w:rsidP="008764C5">
            <w:pPr>
              <w:jc w:val="left"/>
              <w:rPr>
                <w:bCs/>
                <w:sz w:val="20"/>
              </w:rPr>
            </w:pPr>
            <w:r w:rsidRPr="003730B5">
              <w:rPr>
                <w:bCs/>
                <w:sz w:val="20"/>
              </w:rPr>
              <w:t>+2,7</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39D8A059" w14:textId="77777777" w:rsidR="00133AC8" w:rsidRPr="003730B5" w:rsidRDefault="00133AC8" w:rsidP="008764C5">
            <w:pPr>
              <w:jc w:val="left"/>
              <w:rPr>
                <w:bCs/>
                <w:sz w:val="20"/>
              </w:rPr>
            </w:pPr>
            <w:r w:rsidRPr="003730B5">
              <w:rPr>
                <w:bCs/>
                <w:sz w:val="20"/>
              </w:rPr>
              <w:t>1 007,6</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vAlign w:val="center"/>
          </w:tcPr>
          <w:p w14:paraId="468C38F1" w14:textId="77777777" w:rsidR="00133AC8" w:rsidRPr="003730B5" w:rsidRDefault="00133AC8" w:rsidP="008764C5">
            <w:pPr>
              <w:jc w:val="left"/>
              <w:rPr>
                <w:bCs/>
                <w:sz w:val="20"/>
              </w:rPr>
            </w:pPr>
            <w:r w:rsidRPr="003730B5">
              <w:rPr>
                <w:bCs/>
                <w:sz w:val="20"/>
              </w:rPr>
              <w:t>+4,8</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tcPr>
          <w:p w14:paraId="0C7161C0" w14:textId="77777777" w:rsidR="00133AC8" w:rsidRPr="003730B5" w:rsidRDefault="00133AC8" w:rsidP="008764C5">
            <w:pPr>
              <w:jc w:val="left"/>
              <w:rPr>
                <w:bCs/>
                <w:sz w:val="20"/>
              </w:rPr>
            </w:pPr>
            <w:r w:rsidRPr="003730B5">
              <w:rPr>
                <w:bCs/>
                <w:sz w:val="20"/>
              </w:rPr>
              <w:t>1 008,1</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tcPr>
          <w:p w14:paraId="74BFC150" w14:textId="77777777" w:rsidR="00133AC8" w:rsidRPr="003730B5" w:rsidRDefault="00133AC8" w:rsidP="008764C5">
            <w:pPr>
              <w:jc w:val="left"/>
              <w:rPr>
                <w:bCs/>
                <w:sz w:val="20"/>
              </w:rPr>
            </w:pPr>
            <w:r w:rsidRPr="003730B5">
              <w:rPr>
                <w:bCs/>
                <w:sz w:val="20"/>
              </w:rPr>
              <w:t>+0,0</w:t>
            </w:r>
          </w:p>
        </w:tc>
      </w:tr>
      <w:tr w:rsidR="00133AC8" w:rsidRPr="003730B5" w14:paraId="75704DD0" w14:textId="77777777" w:rsidTr="008764C5">
        <w:trPr>
          <w:trHeight w:val="338"/>
        </w:trPr>
        <w:tc>
          <w:tcPr>
            <w:tcW w:w="2127" w:type="dxa"/>
            <w:tcBorders>
              <w:top w:val="single" w:sz="6" w:space="0" w:color="auto"/>
              <w:left w:val="thinThickSmallGap" w:sz="12" w:space="0" w:color="auto"/>
              <w:bottom w:val="single" w:sz="6" w:space="0" w:color="auto"/>
            </w:tcBorders>
            <w:vAlign w:val="center"/>
          </w:tcPr>
          <w:p w14:paraId="61DEAA61" w14:textId="77777777" w:rsidR="00133AC8" w:rsidRPr="003730B5" w:rsidRDefault="00133AC8" w:rsidP="008764C5">
            <w:pPr>
              <w:jc w:val="left"/>
              <w:rPr>
                <w:bCs/>
                <w:sz w:val="20"/>
              </w:rPr>
            </w:pPr>
            <w:r w:rsidRPr="003730B5">
              <w:rPr>
                <w:bCs/>
                <w:sz w:val="20"/>
              </w:rPr>
              <w:t>KS Ostrava</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363B388F" w14:textId="77777777" w:rsidR="00133AC8" w:rsidRPr="003730B5" w:rsidRDefault="00133AC8" w:rsidP="008764C5">
            <w:pPr>
              <w:jc w:val="left"/>
              <w:rPr>
                <w:bCs/>
                <w:sz w:val="20"/>
              </w:rPr>
            </w:pPr>
            <w:r w:rsidRPr="003730B5">
              <w:rPr>
                <w:bCs/>
                <w:sz w:val="20"/>
              </w:rPr>
              <w:t>1 158,1</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18F5A051" w14:textId="77777777" w:rsidR="00133AC8" w:rsidRPr="003730B5" w:rsidRDefault="00133AC8" w:rsidP="008764C5">
            <w:pPr>
              <w:jc w:val="left"/>
              <w:rPr>
                <w:bCs/>
                <w:sz w:val="20"/>
              </w:rPr>
            </w:pPr>
            <w:r w:rsidRPr="003730B5">
              <w:rPr>
                <w:bCs/>
                <w:sz w:val="20"/>
              </w:rPr>
              <w:t>1 074,4</w:t>
            </w:r>
          </w:p>
        </w:tc>
        <w:tc>
          <w:tcPr>
            <w:tcW w:w="1134" w:type="dxa"/>
            <w:tcBorders>
              <w:top w:val="single" w:sz="6" w:space="0" w:color="auto"/>
              <w:left w:val="single" w:sz="4" w:space="0" w:color="auto"/>
              <w:bottom w:val="single" w:sz="6" w:space="0" w:color="auto"/>
              <w:right w:val="single" w:sz="4" w:space="0" w:color="auto"/>
            </w:tcBorders>
            <w:shd w:val="clear" w:color="auto" w:fill="CCE0F8"/>
            <w:vAlign w:val="center"/>
          </w:tcPr>
          <w:p w14:paraId="2213F927" w14:textId="77777777" w:rsidR="00133AC8" w:rsidRPr="003730B5" w:rsidRDefault="00133AC8" w:rsidP="008764C5">
            <w:pPr>
              <w:jc w:val="left"/>
              <w:rPr>
                <w:bCs/>
                <w:sz w:val="20"/>
              </w:rPr>
            </w:pPr>
            <w:r w:rsidRPr="003730B5">
              <w:rPr>
                <w:bCs/>
                <w:sz w:val="20"/>
              </w:rPr>
              <w:t>-7,2</w:t>
            </w:r>
          </w:p>
        </w:tc>
        <w:tc>
          <w:tcPr>
            <w:tcW w:w="992" w:type="dxa"/>
            <w:tcBorders>
              <w:top w:val="single" w:sz="6" w:space="0" w:color="auto"/>
              <w:left w:val="single" w:sz="4" w:space="0" w:color="auto"/>
              <w:bottom w:val="single" w:sz="6" w:space="0" w:color="auto"/>
              <w:right w:val="single" w:sz="4" w:space="0" w:color="auto"/>
            </w:tcBorders>
            <w:shd w:val="clear" w:color="auto" w:fill="auto"/>
            <w:vAlign w:val="center"/>
          </w:tcPr>
          <w:p w14:paraId="734A09B5" w14:textId="77777777" w:rsidR="00133AC8" w:rsidRPr="003730B5" w:rsidRDefault="00133AC8" w:rsidP="008764C5">
            <w:pPr>
              <w:jc w:val="left"/>
              <w:rPr>
                <w:bCs/>
                <w:sz w:val="20"/>
              </w:rPr>
            </w:pPr>
            <w:r w:rsidRPr="003730B5">
              <w:rPr>
                <w:bCs/>
                <w:sz w:val="20"/>
              </w:rPr>
              <w:t>1 090,1</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vAlign w:val="center"/>
          </w:tcPr>
          <w:p w14:paraId="7A635BF6" w14:textId="77777777" w:rsidR="00133AC8" w:rsidRPr="003730B5" w:rsidRDefault="00133AC8" w:rsidP="008764C5">
            <w:pPr>
              <w:jc w:val="left"/>
              <w:rPr>
                <w:bCs/>
                <w:sz w:val="20"/>
              </w:rPr>
            </w:pPr>
            <w:r w:rsidRPr="003730B5">
              <w:rPr>
                <w:bCs/>
                <w:sz w:val="20"/>
              </w:rPr>
              <w:t>+1,5</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tcPr>
          <w:p w14:paraId="50CBEC45" w14:textId="77777777" w:rsidR="00133AC8" w:rsidRPr="003730B5" w:rsidRDefault="00133AC8" w:rsidP="008764C5">
            <w:pPr>
              <w:jc w:val="left"/>
              <w:rPr>
                <w:bCs/>
                <w:sz w:val="20"/>
              </w:rPr>
            </w:pPr>
            <w:r w:rsidRPr="003730B5">
              <w:rPr>
                <w:bCs/>
                <w:sz w:val="20"/>
              </w:rPr>
              <w:t>1 070,6</w:t>
            </w:r>
          </w:p>
        </w:tc>
        <w:tc>
          <w:tcPr>
            <w:tcW w:w="992" w:type="dxa"/>
            <w:tcBorders>
              <w:top w:val="single" w:sz="6" w:space="0" w:color="auto"/>
              <w:left w:val="single" w:sz="4" w:space="0" w:color="auto"/>
              <w:bottom w:val="single" w:sz="6" w:space="0" w:color="auto"/>
              <w:right w:val="thickThinSmallGap" w:sz="12" w:space="0" w:color="auto"/>
            </w:tcBorders>
            <w:shd w:val="clear" w:color="auto" w:fill="CCE0F8"/>
          </w:tcPr>
          <w:p w14:paraId="3A33EF4E" w14:textId="77777777" w:rsidR="00133AC8" w:rsidRPr="003730B5" w:rsidRDefault="00133AC8" w:rsidP="008764C5">
            <w:pPr>
              <w:jc w:val="left"/>
              <w:rPr>
                <w:bCs/>
                <w:sz w:val="20"/>
              </w:rPr>
            </w:pPr>
            <w:r w:rsidRPr="003730B5">
              <w:rPr>
                <w:bCs/>
                <w:sz w:val="20"/>
              </w:rPr>
              <w:t>-1,8</w:t>
            </w:r>
          </w:p>
        </w:tc>
      </w:tr>
      <w:tr w:rsidR="00133AC8" w:rsidRPr="003730B5" w14:paraId="341F3B45" w14:textId="77777777" w:rsidTr="008764C5">
        <w:trPr>
          <w:trHeight w:val="338"/>
        </w:trPr>
        <w:tc>
          <w:tcPr>
            <w:tcW w:w="2127" w:type="dxa"/>
            <w:tcBorders>
              <w:top w:val="single" w:sz="6" w:space="0" w:color="auto"/>
              <w:left w:val="thinThickSmallGap" w:sz="12" w:space="0" w:color="auto"/>
              <w:bottom w:val="thickThinSmallGap" w:sz="12" w:space="0" w:color="auto"/>
            </w:tcBorders>
            <w:vAlign w:val="center"/>
          </w:tcPr>
          <w:p w14:paraId="70661387" w14:textId="77777777" w:rsidR="00133AC8" w:rsidRPr="003730B5" w:rsidRDefault="00133AC8" w:rsidP="008764C5">
            <w:pPr>
              <w:jc w:val="left"/>
              <w:rPr>
                <w:bCs/>
                <w:sz w:val="20"/>
              </w:rPr>
            </w:pPr>
            <w:r w:rsidRPr="003730B5">
              <w:rPr>
                <w:bCs/>
                <w:sz w:val="20"/>
              </w:rPr>
              <w:t>VS + NS</w:t>
            </w:r>
          </w:p>
        </w:tc>
        <w:tc>
          <w:tcPr>
            <w:tcW w:w="992" w:type="dxa"/>
            <w:tcBorders>
              <w:top w:val="single" w:sz="6" w:space="0" w:color="auto"/>
              <w:left w:val="single" w:sz="4" w:space="0" w:color="auto"/>
              <w:bottom w:val="thickThinSmallGap" w:sz="12" w:space="0" w:color="auto"/>
              <w:right w:val="single" w:sz="4" w:space="0" w:color="auto"/>
            </w:tcBorders>
            <w:shd w:val="clear" w:color="auto" w:fill="auto"/>
            <w:vAlign w:val="center"/>
          </w:tcPr>
          <w:p w14:paraId="170822B3" w14:textId="77777777" w:rsidR="00133AC8" w:rsidRPr="003730B5" w:rsidRDefault="00133AC8" w:rsidP="008764C5">
            <w:pPr>
              <w:jc w:val="left"/>
              <w:rPr>
                <w:bCs/>
                <w:sz w:val="20"/>
              </w:rPr>
            </w:pPr>
            <w:r w:rsidRPr="003730B5">
              <w:rPr>
                <w:bCs/>
                <w:sz w:val="20"/>
              </w:rPr>
              <w:t>0,1</w:t>
            </w:r>
          </w:p>
        </w:tc>
        <w:tc>
          <w:tcPr>
            <w:tcW w:w="992" w:type="dxa"/>
            <w:tcBorders>
              <w:top w:val="single" w:sz="6" w:space="0" w:color="auto"/>
              <w:left w:val="single" w:sz="4" w:space="0" w:color="auto"/>
              <w:bottom w:val="thickThinSmallGap" w:sz="12" w:space="0" w:color="auto"/>
              <w:right w:val="single" w:sz="4" w:space="0" w:color="auto"/>
            </w:tcBorders>
            <w:shd w:val="clear" w:color="auto" w:fill="auto"/>
            <w:vAlign w:val="center"/>
          </w:tcPr>
          <w:p w14:paraId="2E27DBDC" w14:textId="77777777" w:rsidR="00133AC8" w:rsidRPr="003730B5" w:rsidRDefault="00133AC8" w:rsidP="008764C5">
            <w:pPr>
              <w:jc w:val="left"/>
              <w:rPr>
                <w:bCs/>
                <w:sz w:val="20"/>
              </w:rPr>
            </w:pPr>
            <w:r w:rsidRPr="003730B5">
              <w:rPr>
                <w:bCs/>
                <w:sz w:val="20"/>
              </w:rPr>
              <w:t>0,1</w:t>
            </w:r>
          </w:p>
        </w:tc>
        <w:tc>
          <w:tcPr>
            <w:tcW w:w="1134" w:type="dxa"/>
            <w:tcBorders>
              <w:top w:val="single" w:sz="6" w:space="0" w:color="auto"/>
              <w:left w:val="single" w:sz="4" w:space="0" w:color="auto"/>
              <w:bottom w:val="thickThinSmallGap" w:sz="12" w:space="0" w:color="auto"/>
              <w:right w:val="single" w:sz="4" w:space="0" w:color="auto"/>
            </w:tcBorders>
            <w:shd w:val="clear" w:color="auto" w:fill="CCE0F8"/>
            <w:vAlign w:val="center"/>
          </w:tcPr>
          <w:p w14:paraId="4A2A4E8E" w14:textId="77777777" w:rsidR="00133AC8" w:rsidRPr="003730B5" w:rsidRDefault="00133AC8" w:rsidP="008764C5">
            <w:pPr>
              <w:jc w:val="left"/>
              <w:rPr>
                <w:bCs/>
                <w:sz w:val="20"/>
              </w:rPr>
            </w:pPr>
            <w:r w:rsidRPr="003730B5">
              <w:rPr>
                <w:bCs/>
                <w:sz w:val="20"/>
              </w:rPr>
              <w:t>0</w:t>
            </w:r>
          </w:p>
        </w:tc>
        <w:tc>
          <w:tcPr>
            <w:tcW w:w="992" w:type="dxa"/>
            <w:tcBorders>
              <w:top w:val="single" w:sz="6" w:space="0" w:color="auto"/>
              <w:left w:val="single" w:sz="4" w:space="0" w:color="auto"/>
              <w:bottom w:val="thickThinSmallGap" w:sz="12" w:space="0" w:color="auto"/>
              <w:right w:val="single" w:sz="4" w:space="0" w:color="auto"/>
            </w:tcBorders>
            <w:shd w:val="clear" w:color="auto" w:fill="auto"/>
            <w:vAlign w:val="center"/>
          </w:tcPr>
          <w:p w14:paraId="541469F0" w14:textId="77777777" w:rsidR="00133AC8" w:rsidRPr="003730B5" w:rsidRDefault="00133AC8" w:rsidP="008764C5">
            <w:pPr>
              <w:jc w:val="left"/>
              <w:rPr>
                <w:bCs/>
                <w:sz w:val="20"/>
              </w:rPr>
            </w:pPr>
            <w:r w:rsidRPr="003730B5">
              <w:rPr>
                <w:bCs/>
                <w:sz w:val="20"/>
              </w:rPr>
              <w:t>0,1</w:t>
            </w:r>
          </w:p>
        </w:tc>
        <w:tc>
          <w:tcPr>
            <w:tcW w:w="992" w:type="dxa"/>
            <w:tcBorders>
              <w:top w:val="single" w:sz="6" w:space="0" w:color="auto"/>
              <w:left w:val="single" w:sz="4" w:space="0" w:color="auto"/>
              <w:bottom w:val="thickThinSmallGap" w:sz="12" w:space="0" w:color="auto"/>
              <w:right w:val="thickThinSmallGap" w:sz="12" w:space="0" w:color="auto"/>
            </w:tcBorders>
            <w:shd w:val="clear" w:color="auto" w:fill="CCE0F8"/>
            <w:vAlign w:val="center"/>
          </w:tcPr>
          <w:p w14:paraId="2E30F98D" w14:textId="77777777" w:rsidR="00133AC8" w:rsidRPr="003730B5" w:rsidRDefault="00133AC8" w:rsidP="008764C5">
            <w:pPr>
              <w:jc w:val="left"/>
              <w:rPr>
                <w:bCs/>
                <w:sz w:val="20"/>
              </w:rPr>
            </w:pPr>
            <w:r w:rsidRPr="003730B5">
              <w:rPr>
                <w:bCs/>
                <w:sz w:val="20"/>
              </w:rPr>
              <w:t>0</w:t>
            </w:r>
          </w:p>
        </w:tc>
        <w:tc>
          <w:tcPr>
            <w:tcW w:w="992" w:type="dxa"/>
            <w:tcBorders>
              <w:top w:val="single" w:sz="6" w:space="0" w:color="auto"/>
              <w:left w:val="single" w:sz="4" w:space="0" w:color="auto"/>
              <w:bottom w:val="thickThinSmallGap" w:sz="12" w:space="0" w:color="auto"/>
              <w:right w:val="thickThinSmallGap" w:sz="12" w:space="0" w:color="auto"/>
            </w:tcBorders>
            <w:shd w:val="clear" w:color="auto" w:fill="CCE0F8"/>
          </w:tcPr>
          <w:p w14:paraId="27E25623" w14:textId="77777777" w:rsidR="00133AC8" w:rsidRPr="003730B5" w:rsidRDefault="00133AC8" w:rsidP="008764C5">
            <w:pPr>
              <w:jc w:val="left"/>
              <w:rPr>
                <w:bCs/>
                <w:sz w:val="20"/>
              </w:rPr>
            </w:pPr>
            <w:r w:rsidRPr="003730B5">
              <w:rPr>
                <w:bCs/>
                <w:sz w:val="20"/>
              </w:rPr>
              <w:t>0,0</w:t>
            </w:r>
          </w:p>
        </w:tc>
        <w:tc>
          <w:tcPr>
            <w:tcW w:w="992" w:type="dxa"/>
            <w:tcBorders>
              <w:top w:val="single" w:sz="6" w:space="0" w:color="auto"/>
              <w:left w:val="single" w:sz="4" w:space="0" w:color="auto"/>
              <w:bottom w:val="thickThinSmallGap" w:sz="12" w:space="0" w:color="auto"/>
              <w:right w:val="thickThinSmallGap" w:sz="12" w:space="0" w:color="auto"/>
            </w:tcBorders>
            <w:shd w:val="clear" w:color="auto" w:fill="CCE0F8"/>
          </w:tcPr>
          <w:p w14:paraId="310F543B" w14:textId="77777777" w:rsidR="00133AC8" w:rsidRPr="003730B5" w:rsidRDefault="00133AC8" w:rsidP="008764C5">
            <w:pPr>
              <w:jc w:val="left"/>
              <w:rPr>
                <w:bCs/>
                <w:sz w:val="20"/>
              </w:rPr>
            </w:pPr>
            <w:r w:rsidRPr="003730B5">
              <w:rPr>
                <w:bCs/>
                <w:sz w:val="20"/>
              </w:rPr>
              <w:t>0</w:t>
            </w:r>
          </w:p>
        </w:tc>
      </w:tr>
    </w:tbl>
    <w:p w14:paraId="2D3185C2" w14:textId="77777777" w:rsidR="00133AC8" w:rsidRPr="003730B5" w:rsidRDefault="00133AC8" w:rsidP="00133AC8">
      <w:pPr>
        <w:widowControl w:val="0"/>
        <w:autoSpaceDE w:val="0"/>
        <w:autoSpaceDN w:val="0"/>
        <w:adjustRightInd w:val="0"/>
        <w:spacing w:before="120" w:after="120"/>
        <w:rPr>
          <w:bCs/>
          <w:szCs w:val="24"/>
        </w:rPr>
      </w:pPr>
      <w:r w:rsidRPr="003730B5">
        <w:rPr>
          <w:bCs/>
          <w:szCs w:val="24"/>
        </w:rPr>
        <w:t xml:space="preserve">Níže uvedené údaje ukazují, v jakém objemu byly do evidencí všech soudů České republiky v roce 2022 </w:t>
      </w:r>
      <w:r w:rsidRPr="003730B5">
        <w:rPr>
          <w:szCs w:val="24"/>
        </w:rPr>
        <w:t>předepsány</w:t>
      </w:r>
      <w:r w:rsidRPr="003730B5">
        <w:rPr>
          <w:bCs/>
          <w:szCs w:val="24"/>
        </w:rPr>
        <w:t xml:space="preserve"> nově vzniklé pohledávky (vybrány jsou pouze shora uvedené pohledávky související s trestním řízením):</w:t>
      </w:r>
    </w:p>
    <w:tbl>
      <w:tblPr>
        <w:tblpPr w:leftFromText="141" w:rightFromText="141" w:vertAnchor="text" w:horzAnchor="margin" w:tblpY="106"/>
        <w:tblW w:w="9142" w:type="dxa"/>
        <w:tblBorders>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84"/>
        <w:gridCol w:w="1646"/>
        <w:gridCol w:w="1912"/>
      </w:tblGrid>
      <w:tr w:rsidR="00133AC8" w:rsidRPr="003730B5" w14:paraId="24E89767" w14:textId="77777777" w:rsidTr="008764C5">
        <w:trPr>
          <w:trHeight w:val="255"/>
        </w:trPr>
        <w:tc>
          <w:tcPr>
            <w:tcW w:w="5584" w:type="dxa"/>
            <w:tcBorders>
              <w:left w:val="nil"/>
              <w:bottom w:val="thinThickSmallGap" w:sz="12" w:space="0" w:color="auto"/>
              <w:right w:val="thinThickMediumGap" w:sz="12" w:space="0" w:color="333333"/>
            </w:tcBorders>
          </w:tcPr>
          <w:p w14:paraId="5FE52616" w14:textId="77777777" w:rsidR="00133AC8" w:rsidRPr="003730B5" w:rsidRDefault="00133AC8" w:rsidP="008764C5">
            <w:pPr>
              <w:rPr>
                <w:bCs/>
                <w:sz w:val="20"/>
              </w:rPr>
            </w:pPr>
          </w:p>
        </w:tc>
        <w:tc>
          <w:tcPr>
            <w:tcW w:w="1646" w:type="dxa"/>
            <w:tcBorders>
              <w:top w:val="thinThickMediumGap" w:sz="12" w:space="0" w:color="333333"/>
              <w:left w:val="thinThickMediumGap" w:sz="12" w:space="0" w:color="333333"/>
            </w:tcBorders>
          </w:tcPr>
          <w:p w14:paraId="74F30630" w14:textId="77777777" w:rsidR="00133AC8" w:rsidRPr="003730B5" w:rsidRDefault="00133AC8" w:rsidP="008764C5">
            <w:pPr>
              <w:jc w:val="center"/>
              <w:rPr>
                <w:bCs/>
                <w:sz w:val="20"/>
              </w:rPr>
            </w:pPr>
            <w:r w:rsidRPr="003730B5">
              <w:rPr>
                <w:bCs/>
                <w:sz w:val="20"/>
              </w:rPr>
              <w:t>mil. Kč</w:t>
            </w:r>
          </w:p>
        </w:tc>
        <w:tc>
          <w:tcPr>
            <w:tcW w:w="1912" w:type="dxa"/>
            <w:tcBorders>
              <w:top w:val="thinThickMediumGap" w:sz="12" w:space="0" w:color="333333"/>
              <w:right w:val="thickThinMediumGap" w:sz="12" w:space="0" w:color="333333"/>
            </w:tcBorders>
          </w:tcPr>
          <w:p w14:paraId="2A41445E" w14:textId="77777777" w:rsidR="00133AC8" w:rsidRPr="003730B5" w:rsidRDefault="00133AC8" w:rsidP="008764C5">
            <w:pPr>
              <w:jc w:val="center"/>
              <w:rPr>
                <w:bCs/>
                <w:sz w:val="20"/>
              </w:rPr>
            </w:pPr>
            <w:r w:rsidRPr="003730B5">
              <w:rPr>
                <w:bCs/>
                <w:sz w:val="20"/>
              </w:rPr>
              <w:t xml:space="preserve">v % </w:t>
            </w:r>
          </w:p>
        </w:tc>
      </w:tr>
      <w:tr w:rsidR="00133AC8" w:rsidRPr="003730B5" w14:paraId="38CFA542" w14:textId="77777777" w:rsidTr="008764C5">
        <w:trPr>
          <w:trHeight w:val="283"/>
        </w:trPr>
        <w:tc>
          <w:tcPr>
            <w:tcW w:w="5584" w:type="dxa"/>
            <w:tcBorders>
              <w:top w:val="single" w:sz="4" w:space="0" w:color="auto"/>
              <w:left w:val="thinThickSmallGap" w:sz="12" w:space="0" w:color="auto"/>
              <w:right w:val="double" w:sz="6" w:space="0" w:color="auto"/>
            </w:tcBorders>
            <w:vAlign w:val="center"/>
          </w:tcPr>
          <w:p w14:paraId="0A050850" w14:textId="77777777" w:rsidR="00133AC8" w:rsidRPr="003730B5" w:rsidRDefault="00133AC8" w:rsidP="008764C5">
            <w:pPr>
              <w:rPr>
                <w:bCs/>
                <w:sz w:val="20"/>
              </w:rPr>
            </w:pPr>
            <w:r w:rsidRPr="003730B5">
              <w:rPr>
                <w:bCs/>
                <w:sz w:val="20"/>
              </w:rPr>
              <w:t>Náhrady za ustanovené advokáty</w:t>
            </w:r>
          </w:p>
        </w:tc>
        <w:tc>
          <w:tcPr>
            <w:tcW w:w="1646" w:type="dxa"/>
            <w:tcBorders>
              <w:top w:val="single" w:sz="4" w:space="0" w:color="auto"/>
              <w:left w:val="double" w:sz="6" w:space="0" w:color="auto"/>
            </w:tcBorders>
            <w:vAlign w:val="center"/>
          </w:tcPr>
          <w:p w14:paraId="7E1C99E2" w14:textId="77777777" w:rsidR="00133AC8" w:rsidRPr="003730B5" w:rsidRDefault="00133AC8" w:rsidP="008764C5">
            <w:pPr>
              <w:jc w:val="center"/>
              <w:rPr>
                <w:bCs/>
                <w:sz w:val="20"/>
              </w:rPr>
            </w:pPr>
            <w:r w:rsidRPr="003730B5">
              <w:rPr>
                <w:bCs/>
                <w:sz w:val="20"/>
              </w:rPr>
              <w:t>281,8</w:t>
            </w:r>
          </w:p>
        </w:tc>
        <w:tc>
          <w:tcPr>
            <w:tcW w:w="1912" w:type="dxa"/>
            <w:tcBorders>
              <w:top w:val="single" w:sz="4" w:space="0" w:color="auto"/>
              <w:right w:val="thickThinMediumGap" w:sz="12" w:space="0" w:color="333333"/>
            </w:tcBorders>
            <w:vAlign w:val="bottom"/>
          </w:tcPr>
          <w:p w14:paraId="2A48757A" w14:textId="77777777" w:rsidR="00133AC8" w:rsidRPr="003730B5" w:rsidRDefault="00133AC8" w:rsidP="008764C5">
            <w:pPr>
              <w:jc w:val="center"/>
              <w:rPr>
                <w:bCs/>
                <w:sz w:val="20"/>
              </w:rPr>
            </w:pPr>
            <w:r w:rsidRPr="003730B5">
              <w:rPr>
                <w:bCs/>
                <w:sz w:val="20"/>
              </w:rPr>
              <w:t>18,3</w:t>
            </w:r>
          </w:p>
        </w:tc>
      </w:tr>
      <w:tr w:rsidR="00133AC8" w:rsidRPr="003730B5" w14:paraId="17B59081" w14:textId="77777777" w:rsidTr="008764C5">
        <w:trPr>
          <w:trHeight w:val="283"/>
        </w:trPr>
        <w:tc>
          <w:tcPr>
            <w:tcW w:w="5584" w:type="dxa"/>
            <w:tcBorders>
              <w:top w:val="single" w:sz="4" w:space="0" w:color="auto"/>
              <w:left w:val="thinThickSmallGap" w:sz="12" w:space="0" w:color="auto"/>
              <w:bottom w:val="single" w:sz="4" w:space="0" w:color="auto"/>
              <w:right w:val="double" w:sz="6" w:space="0" w:color="auto"/>
            </w:tcBorders>
            <w:vAlign w:val="center"/>
          </w:tcPr>
          <w:p w14:paraId="1103A9F3" w14:textId="77777777" w:rsidR="00133AC8" w:rsidRPr="003730B5" w:rsidRDefault="00133AC8" w:rsidP="008764C5">
            <w:pPr>
              <w:rPr>
                <w:bCs/>
                <w:sz w:val="20"/>
              </w:rPr>
            </w:pPr>
            <w:r w:rsidRPr="003730B5">
              <w:rPr>
                <w:bCs/>
                <w:sz w:val="20"/>
              </w:rPr>
              <w:t>Náklady trestního řízení</w:t>
            </w:r>
          </w:p>
        </w:tc>
        <w:tc>
          <w:tcPr>
            <w:tcW w:w="1646" w:type="dxa"/>
            <w:tcBorders>
              <w:top w:val="single" w:sz="4" w:space="0" w:color="auto"/>
              <w:left w:val="double" w:sz="6" w:space="0" w:color="auto"/>
              <w:bottom w:val="single" w:sz="4" w:space="0" w:color="auto"/>
            </w:tcBorders>
            <w:vAlign w:val="center"/>
          </w:tcPr>
          <w:p w14:paraId="549B8201" w14:textId="77777777" w:rsidR="00133AC8" w:rsidRPr="003730B5" w:rsidRDefault="00133AC8" w:rsidP="008764C5">
            <w:pPr>
              <w:jc w:val="center"/>
              <w:rPr>
                <w:bCs/>
                <w:sz w:val="20"/>
              </w:rPr>
            </w:pPr>
            <w:r w:rsidRPr="003730B5">
              <w:rPr>
                <w:bCs/>
                <w:sz w:val="20"/>
              </w:rPr>
              <w:t>227,8</w:t>
            </w:r>
          </w:p>
        </w:tc>
        <w:tc>
          <w:tcPr>
            <w:tcW w:w="1912" w:type="dxa"/>
            <w:tcBorders>
              <w:top w:val="single" w:sz="4" w:space="0" w:color="auto"/>
              <w:bottom w:val="single" w:sz="4" w:space="0" w:color="auto"/>
              <w:right w:val="thickThinMediumGap" w:sz="12" w:space="0" w:color="333333"/>
            </w:tcBorders>
            <w:vAlign w:val="bottom"/>
          </w:tcPr>
          <w:p w14:paraId="6CD73913" w14:textId="77777777" w:rsidR="00133AC8" w:rsidRPr="003730B5" w:rsidRDefault="00133AC8" w:rsidP="008764C5">
            <w:pPr>
              <w:jc w:val="center"/>
              <w:rPr>
                <w:bCs/>
                <w:sz w:val="20"/>
              </w:rPr>
            </w:pPr>
            <w:r w:rsidRPr="003730B5">
              <w:rPr>
                <w:bCs/>
                <w:sz w:val="20"/>
              </w:rPr>
              <w:t>14,8</w:t>
            </w:r>
          </w:p>
        </w:tc>
      </w:tr>
      <w:tr w:rsidR="00133AC8" w:rsidRPr="003730B5" w14:paraId="38016BC1" w14:textId="77777777" w:rsidTr="008764C5">
        <w:trPr>
          <w:trHeight w:val="283"/>
        </w:trPr>
        <w:tc>
          <w:tcPr>
            <w:tcW w:w="5584" w:type="dxa"/>
            <w:tcBorders>
              <w:top w:val="single" w:sz="4" w:space="0" w:color="auto"/>
              <w:left w:val="thinThickSmallGap" w:sz="12" w:space="0" w:color="auto"/>
              <w:bottom w:val="thickThinMediumGap" w:sz="12" w:space="0" w:color="333333"/>
              <w:right w:val="double" w:sz="6" w:space="0" w:color="auto"/>
            </w:tcBorders>
            <w:vAlign w:val="center"/>
          </w:tcPr>
          <w:p w14:paraId="2B756F6B" w14:textId="77777777" w:rsidR="00133AC8" w:rsidRPr="003730B5" w:rsidRDefault="00133AC8" w:rsidP="008764C5">
            <w:pPr>
              <w:rPr>
                <w:bCs/>
                <w:sz w:val="20"/>
              </w:rPr>
            </w:pPr>
            <w:r w:rsidRPr="003730B5">
              <w:rPr>
                <w:bCs/>
                <w:sz w:val="20"/>
              </w:rPr>
              <w:t>Peněžité tresty dle právní úpravy od 1. 1. 2010</w:t>
            </w:r>
          </w:p>
        </w:tc>
        <w:tc>
          <w:tcPr>
            <w:tcW w:w="1646" w:type="dxa"/>
            <w:tcBorders>
              <w:top w:val="single" w:sz="4" w:space="0" w:color="auto"/>
              <w:left w:val="double" w:sz="6" w:space="0" w:color="auto"/>
              <w:bottom w:val="thickThinMediumGap" w:sz="12" w:space="0" w:color="333333"/>
            </w:tcBorders>
            <w:vAlign w:val="center"/>
          </w:tcPr>
          <w:p w14:paraId="53402B72" w14:textId="77777777" w:rsidR="00133AC8" w:rsidRPr="003730B5" w:rsidRDefault="00133AC8" w:rsidP="008764C5">
            <w:pPr>
              <w:jc w:val="center"/>
              <w:rPr>
                <w:bCs/>
                <w:sz w:val="20"/>
              </w:rPr>
            </w:pPr>
            <w:r w:rsidRPr="003730B5">
              <w:rPr>
                <w:bCs/>
                <w:sz w:val="20"/>
              </w:rPr>
              <w:t>428,1</w:t>
            </w:r>
          </w:p>
        </w:tc>
        <w:tc>
          <w:tcPr>
            <w:tcW w:w="1912" w:type="dxa"/>
            <w:tcBorders>
              <w:top w:val="single" w:sz="4" w:space="0" w:color="auto"/>
              <w:bottom w:val="thickThinMediumGap" w:sz="12" w:space="0" w:color="333333"/>
              <w:right w:val="thickThinMediumGap" w:sz="12" w:space="0" w:color="333333"/>
            </w:tcBorders>
            <w:vAlign w:val="bottom"/>
          </w:tcPr>
          <w:p w14:paraId="5FCF8A81" w14:textId="77777777" w:rsidR="00133AC8" w:rsidRPr="003730B5" w:rsidRDefault="00133AC8" w:rsidP="008764C5">
            <w:pPr>
              <w:jc w:val="center"/>
              <w:rPr>
                <w:bCs/>
                <w:sz w:val="20"/>
              </w:rPr>
            </w:pPr>
            <w:r w:rsidRPr="003730B5">
              <w:rPr>
                <w:bCs/>
                <w:sz w:val="20"/>
              </w:rPr>
              <w:t>27,8</w:t>
            </w:r>
          </w:p>
        </w:tc>
      </w:tr>
    </w:tbl>
    <w:p w14:paraId="298F8C61" w14:textId="77777777" w:rsidR="00133AC8" w:rsidRPr="003730B5" w:rsidRDefault="00133AC8" w:rsidP="00133AC8">
      <w:pPr>
        <w:widowControl w:val="0"/>
        <w:autoSpaceDE w:val="0"/>
        <w:autoSpaceDN w:val="0"/>
        <w:adjustRightInd w:val="0"/>
        <w:spacing w:before="120" w:after="120"/>
      </w:pPr>
      <w:r w:rsidRPr="003730B5">
        <w:t xml:space="preserve">Co se týče </w:t>
      </w:r>
      <w:r w:rsidRPr="003730B5">
        <w:rPr>
          <w:szCs w:val="24"/>
        </w:rPr>
        <w:t>úspěšnosti</w:t>
      </w:r>
      <w:r w:rsidRPr="003730B5">
        <w:t xml:space="preserve"> vybírání a vymáhání těchto pohledávek, je poměrně nízká. Poměr přijatých plateb v roce 2022 k objemu pohledávek podléhajících daňovému režimu evidovaných v tomto roce soudy, státními zastupitelství a Vězeňskou službou (tj. k součtu počátečního zůstatku k 1. 1. 2022 a nápadu v roce 2022) a k nápadu v roce 2022 demonstruje následující tabulka: </w:t>
      </w:r>
    </w:p>
    <w:tbl>
      <w:tblPr>
        <w:tblStyle w:val="Mkatabulky1"/>
        <w:tblW w:w="0" w:type="auto"/>
        <w:tblLook w:val="04A0" w:firstRow="1" w:lastRow="0" w:firstColumn="1" w:lastColumn="0" w:noHBand="0" w:noVBand="1"/>
      </w:tblPr>
      <w:tblGrid>
        <w:gridCol w:w="4545"/>
        <w:gridCol w:w="2233"/>
        <w:gridCol w:w="2264"/>
      </w:tblGrid>
      <w:tr w:rsidR="00133AC8" w:rsidRPr="003730B5" w14:paraId="54644BDF" w14:textId="77777777" w:rsidTr="008764C5">
        <w:tc>
          <w:tcPr>
            <w:tcW w:w="4644" w:type="dxa"/>
            <w:tcBorders>
              <w:top w:val="nil"/>
              <w:left w:val="nil"/>
              <w:bottom w:val="thickThinMediumGap" w:sz="12" w:space="0" w:color="333333"/>
              <w:right w:val="thickThinMediumGap" w:sz="12" w:space="0" w:color="333333"/>
            </w:tcBorders>
          </w:tcPr>
          <w:p w14:paraId="030920BC" w14:textId="77777777" w:rsidR="00133AC8" w:rsidRPr="003730B5" w:rsidRDefault="00133AC8" w:rsidP="008764C5">
            <w:pPr>
              <w:rPr>
                <w:rFonts w:ascii="Times New Roman" w:hAnsi="Times New Roman"/>
              </w:rPr>
            </w:pPr>
          </w:p>
        </w:tc>
        <w:tc>
          <w:tcPr>
            <w:tcW w:w="2268" w:type="dxa"/>
            <w:tcBorders>
              <w:top w:val="thickThinMediumGap" w:sz="12" w:space="0" w:color="333333"/>
              <w:left w:val="thickThinMediumGap" w:sz="12" w:space="0" w:color="333333"/>
            </w:tcBorders>
          </w:tcPr>
          <w:p w14:paraId="10398851" w14:textId="77777777" w:rsidR="00133AC8" w:rsidRPr="003730B5" w:rsidRDefault="00133AC8" w:rsidP="008764C5">
            <w:pPr>
              <w:jc w:val="center"/>
              <w:rPr>
                <w:rFonts w:ascii="Times New Roman" w:hAnsi="Times New Roman"/>
                <w:bCs/>
                <w:sz w:val="20"/>
              </w:rPr>
            </w:pPr>
            <w:r w:rsidRPr="003730B5">
              <w:rPr>
                <w:rFonts w:ascii="Times New Roman" w:hAnsi="Times New Roman"/>
                <w:bCs/>
                <w:sz w:val="20"/>
              </w:rPr>
              <w:t>Úspěšnost vymáhání celková</w:t>
            </w:r>
          </w:p>
        </w:tc>
        <w:tc>
          <w:tcPr>
            <w:tcW w:w="2300" w:type="dxa"/>
            <w:tcBorders>
              <w:top w:val="thickThinMediumGap" w:sz="12" w:space="0" w:color="333333"/>
              <w:right w:val="thickThinMediumGap" w:sz="12" w:space="0" w:color="333333"/>
            </w:tcBorders>
          </w:tcPr>
          <w:p w14:paraId="0A2F51DD" w14:textId="77777777" w:rsidR="00133AC8" w:rsidRPr="003730B5" w:rsidRDefault="00133AC8" w:rsidP="008764C5">
            <w:pPr>
              <w:jc w:val="center"/>
              <w:rPr>
                <w:rFonts w:ascii="Times New Roman" w:hAnsi="Times New Roman"/>
                <w:bCs/>
                <w:sz w:val="20"/>
              </w:rPr>
            </w:pPr>
            <w:r w:rsidRPr="003730B5">
              <w:rPr>
                <w:rFonts w:ascii="Times New Roman" w:hAnsi="Times New Roman"/>
                <w:bCs/>
                <w:sz w:val="20"/>
              </w:rPr>
              <w:t>Úspěšnost vymáhání z nápadu r. 2022</w:t>
            </w:r>
          </w:p>
        </w:tc>
      </w:tr>
      <w:tr w:rsidR="00133AC8" w:rsidRPr="003730B5" w14:paraId="653F3A78" w14:textId="77777777" w:rsidTr="008764C5">
        <w:tc>
          <w:tcPr>
            <w:tcW w:w="4644" w:type="dxa"/>
            <w:tcBorders>
              <w:top w:val="thickThinMediumGap" w:sz="12" w:space="0" w:color="333333"/>
              <w:left w:val="thickThinMediumGap" w:sz="12" w:space="0" w:color="333333"/>
            </w:tcBorders>
            <w:vAlign w:val="bottom"/>
          </w:tcPr>
          <w:p w14:paraId="26BF99E2" w14:textId="77777777" w:rsidR="00133AC8" w:rsidRPr="003730B5" w:rsidRDefault="00133AC8" w:rsidP="008764C5">
            <w:pPr>
              <w:rPr>
                <w:rFonts w:ascii="Times New Roman" w:hAnsi="Times New Roman"/>
                <w:bCs/>
                <w:sz w:val="20"/>
              </w:rPr>
            </w:pPr>
            <w:r w:rsidRPr="003730B5">
              <w:rPr>
                <w:rFonts w:ascii="Times New Roman" w:hAnsi="Times New Roman"/>
                <w:bCs/>
                <w:sz w:val="20"/>
              </w:rPr>
              <w:t>Náhrady za ustanovené advokáty</w:t>
            </w:r>
          </w:p>
        </w:tc>
        <w:tc>
          <w:tcPr>
            <w:tcW w:w="2268" w:type="dxa"/>
            <w:vAlign w:val="bottom"/>
          </w:tcPr>
          <w:p w14:paraId="1F7F2DD9" w14:textId="77777777" w:rsidR="00133AC8" w:rsidRPr="003730B5" w:rsidRDefault="00133AC8" w:rsidP="008764C5">
            <w:pPr>
              <w:jc w:val="center"/>
              <w:rPr>
                <w:rFonts w:ascii="Times New Roman" w:hAnsi="Times New Roman"/>
                <w:bCs/>
                <w:sz w:val="20"/>
              </w:rPr>
            </w:pPr>
            <w:r w:rsidRPr="003730B5">
              <w:rPr>
                <w:rFonts w:ascii="Times New Roman" w:hAnsi="Times New Roman"/>
                <w:bCs/>
                <w:sz w:val="20"/>
              </w:rPr>
              <w:t>4,4 %</w:t>
            </w:r>
          </w:p>
        </w:tc>
        <w:tc>
          <w:tcPr>
            <w:tcW w:w="2300" w:type="dxa"/>
            <w:tcBorders>
              <w:right w:val="thickThinMediumGap" w:sz="12" w:space="0" w:color="333333"/>
            </w:tcBorders>
            <w:vAlign w:val="bottom"/>
          </w:tcPr>
          <w:p w14:paraId="6D0EA0E4" w14:textId="77777777" w:rsidR="00133AC8" w:rsidRPr="003730B5" w:rsidRDefault="00133AC8" w:rsidP="008764C5">
            <w:pPr>
              <w:jc w:val="center"/>
              <w:rPr>
                <w:rFonts w:ascii="Times New Roman" w:hAnsi="Times New Roman"/>
                <w:bCs/>
                <w:sz w:val="20"/>
              </w:rPr>
            </w:pPr>
            <w:r w:rsidRPr="003730B5">
              <w:rPr>
                <w:rFonts w:ascii="Times New Roman" w:hAnsi="Times New Roman"/>
                <w:bCs/>
                <w:sz w:val="20"/>
              </w:rPr>
              <w:t>10 %</w:t>
            </w:r>
          </w:p>
        </w:tc>
      </w:tr>
      <w:tr w:rsidR="00133AC8" w:rsidRPr="003730B5" w14:paraId="32EF7C2A" w14:textId="77777777" w:rsidTr="008764C5">
        <w:tc>
          <w:tcPr>
            <w:tcW w:w="4644" w:type="dxa"/>
            <w:tcBorders>
              <w:left w:val="thickThinMediumGap" w:sz="12" w:space="0" w:color="333333"/>
            </w:tcBorders>
            <w:vAlign w:val="bottom"/>
          </w:tcPr>
          <w:p w14:paraId="45B3004F" w14:textId="77777777" w:rsidR="00133AC8" w:rsidRPr="003730B5" w:rsidRDefault="00133AC8" w:rsidP="008764C5">
            <w:pPr>
              <w:rPr>
                <w:rFonts w:ascii="Times New Roman" w:hAnsi="Times New Roman"/>
                <w:bCs/>
                <w:sz w:val="20"/>
              </w:rPr>
            </w:pPr>
            <w:r w:rsidRPr="003730B5">
              <w:rPr>
                <w:rFonts w:ascii="Times New Roman" w:hAnsi="Times New Roman"/>
                <w:bCs/>
                <w:sz w:val="20"/>
              </w:rPr>
              <w:t>Náklady trestního řízení</w:t>
            </w:r>
          </w:p>
        </w:tc>
        <w:tc>
          <w:tcPr>
            <w:tcW w:w="2268" w:type="dxa"/>
            <w:vAlign w:val="bottom"/>
          </w:tcPr>
          <w:p w14:paraId="7F1FB40E" w14:textId="77777777" w:rsidR="00133AC8" w:rsidRPr="003730B5" w:rsidRDefault="00133AC8" w:rsidP="008764C5">
            <w:pPr>
              <w:jc w:val="center"/>
              <w:rPr>
                <w:rFonts w:ascii="Times New Roman" w:hAnsi="Times New Roman"/>
                <w:bCs/>
                <w:sz w:val="20"/>
              </w:rPr>
            </w:pPr>
            <w:r w:rsidRPr="003730B5">
              <w:rPr>
                <w:rFonts w:ascii="Times New Roman" w:hAnsi="Times New Roman"/>
                <w:bCs/>
                <w:sz w:val="20"/>
              </w:rPr>
              <w:t>9,1 %</w:t>
            </w:r>
          </w:p>
        </w:tc>
        <w:tc>
          <w:tcPr>
            <w:tcW w:w="2300" w:type="dxa"/>
            <w:tcBorders>
              <w:right w:val="thickThinMediumGap" w:sz="12" w:space="0" w:color="333333"/>
            </w:tcBorders>
            <w:vAlign w:val="bottom"/>
          </w:tcPr>
          <w:p w14:paraId="7E4B89B9" w14:textId="77777777" w:rsidR="00133AC8" w:rsidRPr="003730B5" w:rsidRDefault="00133AC8" w:rsidP="008764C5">
            <w:pPr>
              <w:jc w:val="center"/>
              <w:rPr>
                <w:rFonts w:ascii="Times New Roman" w:hAnsi="Times New Roman"/>
                <w:bCs/>
                <w:sz w:val="20"/>
              </w:rPr>
            </w:pPr>
            <w:r w:rsidRPr="003730B5">
              <w:rPr>
                <w:rFonts w:ascii="Times New Roman" w:hAnsi="Times New Roman"/>
                <w:bCs/>
                <w:sz w:val="20"/>
              </w:rPr>
              <w:t>34,8 %</w:t>
            </w:r>
          </w:p>
        </w:tc>
      </w:tr>
      <w:tr w:rsidR="00133AC8" w:rsidRPr="003730B5" w14:paraId="27C9D48E" w14:textId="77777777" w:rsidTr="008764C5">
        <w:tc>
          <w:tcPr>
            <w:tcW w:w="4644" w:type="dxa"/>
            <w:tcBorders>
              <w:left w:val="thickThinMediumGap" w:sz="12" w:space="0" w:color="333333"/>
            </w:tcBorders>
            <w:vAlign w:val="bottom"/>
          </w:tcPr>
          <w:p w14:paraId="287B17C6" w14:textId="77777777" w:rsidR="00133AC8" w:rsidRPr="003730B5" w:rsidRDefault="00133AC8" w:rsidP="008764C5">
            <w:pPr>
              <w:rPr>
                <w:rFonts w:ascii="Times New Roman" w:hAnsi="Times New Roman"/>
                <w:bCs/>
                <w:sz w:val="20"/>
              </w:rPr>
            </w:pPr>
            <w:r w:rsidRPr="003730B5">
              <w:rPr>
                <w:rFonts w:ascii="Times New Roman" w:hAnsi="Times New Roman"/>
                <w:bCs/>
                <w:sz w:val="20"/>
              </w:rPr>
              <w:t>Peněžité tresty dle právní úpravy od 1. 1.2010</w:t>
            </w:r>
          </w:p>
        </w:tc>
        <w:tc>
          <w:tcPr>
            <w:tcW w:w="2268" w:type="dxa"/>
            <w:vAlign w:val="bottom"/>
          </w:tcPr>
          <w:p w14:paraId="154BC978" w14:textId="77777777" w:rsidR="00133AC8" w:rsidRPr="003730B5" w:rsidRDefault="00133AC8" w:rsidP="008764C5">
            <w:pPr>
              <w:jc w:val="center"/>
              <w:rPr>
                <w:rFonts w:ascii="Times New Roman" w:hAnsi="Times New Roman"/>
                <w:bCs/>
                <w:sz w:val="20"/>
              </w:rPr>
            </w:pPr>
            <w:r w:rsidRPr="003730B5">
              <w:rPr>
                <w:rFonts w:ascii="Times New Roman" w:hAnsi="Times New Roman"/>
                <w:bCs/>
                <w:sz w:val="20"/>
              </w:rPr>
              <w:t>53,5 %</w:t>
            </w:r>
          </w:p>
        </w:tc>
        <w:tc>
          <w:tcPr>
            <w:tcW w:w="2300" w:type="dxa"/>
            <w:tcBorders>
              <w:right w:val="thickThinMediumGap" w:sz="12" w:space="0" w:color="333333"/>
            </w:tcBorders>
            <w:vAlign w:val="bottom"/>
          </w:tcPr>
          <w:p w14:paraId="177CBF76" w14:textId="77777777" w:rsidR="00133AC8" w:rsidRPr="003730B5" w:rsidRDefault="00133AC8" w:rsidP="008764C5">
            <w:pPr>
              <w:jc w:val="center"/>
              <w:rPr>
                <w:rFonts w:ascii="Times New Roman" w:hAnsi="Times New Roman"/>
                <w:bCs/>
                <w:sz w:val="20"/>
              </w:rPr>
            </w:pPr>
            <w:r w:rsidRPr="003730B5">
              <w:rPr>
                <w:rFonts w:ascii="Times New Roman" w:hAnsi="Times New Roman"/>
                <w:bCs/>
                <w:sz w:val="20"/>
              </w:rPr>
              <w:t>62,1 %</w:t>
            </w:r>
          </w:p>
        </w:tc>
      </w:tr>
      <w:tr w:rsidR="00133AC8" w:rsidRPr="003730B5" w14:paraId="22FF9B86" w14:textId="77777777" w:rsidTr="008764C5">
        <w:tc>
          <w:tcPr>
            <w:tcW w:w="4644" w:type="dxa"/>
            <w:tcBorders>
              <w:left w:val="thickThinMediumGap" w:sz="12" w:space="0" w:color="333333"/>
              <w:bottom w:val="thickThinMediumGap" w:sz="12" w:space="0" w:color="333333"/>
            </w:tcBorders>
            <w:vAlign w:val="bottom"/>
          </w:tcPr>
          <w:p w14:paraId="04EC1864" w14:textId="77777777" w:rsidR="00133AC8" w:rsidRPr="003730B5" w:rsidRDefault="00133AC8" w:rsidP="008764C5">
            <w:pPr>
              <w:rPr>
                <w:rFonts w:ascii="Times New Roman" w:hAnsi="Times New Roman"/>
                <w:bCs/>
                <w:sz w:val="20"/>
              </w:rPr>
            </w:pPr>
            <w:r w:rsidRPr="003730B5">
              <w:rPr>
                <w:rFonts w:ascii="Times New Roman" w:hAnsi="Times New Roman"/>
                <w:bCs/>
                <w:sz w:val="20"/>
              </w:rPr>
              <w:t>Všechny daňové pohledávky souhrnně</w:t>
            </w:r>
          </w:p>
        </w:tc>
        <w:tc>
          <w:tcPr>
            <w:tcW w:w="2268" w:type="dxa"/>
            <w:tcBorders>
              <w:bottom w:val="thickThinMediumGap" w:sz="12" w:space="0" w:color="333333"/>
            </w:tcBorders>
            <w:vAlign w:val="bottom"/>
          </w:tcPr>
          <w:p w14:paraId="70706EC5" w14:textId="77777777" w:rsidR="00133AC8" w:rsidRPr="003730B5" w:rsidRDefault="00133AC8" w:rsidP="008764C5">
            <w:pPr>
              <w:jc w:val="center"/>
              <w:rPr>
                <w:rFonts w:ascii="Times New Roman" w:hAnsi="Times New Roman"/>
                <w:bCs/>
                <w:sz w:val="20"/>
              </w:rPr>
            </w:pPr>
            <w:r w:rsidRPr="003730B5">
              <w:rPr>
                <w:rFonts w:ascii="Times New Roman" w:hAnsi="Times New Roman"/>
                <w:bCs/>
                <w:sz w:val="20"/>
              </w:rPr>
              <w:t>15 %</w:t>
            </w:r>
          </w:p>
        </w:tc>
        <w:tc>
          <w:tcPr>
            <w:tcW w:w="2300" w:type="dxa"/>
            <w:tcBorders>
              <w:bottom w:val="thickThinMediumGap" w:sz="12" w:space="0" w:color="333333"/>
              <w:right w:val="thickThinMediumGap" w:sz="12" w:space="0" w:color="333333"/>
            </w:tcBorders>
            <w:vAlign w:val="bottom"/>
          </w:tcPr>
          <w:p w14:paraId="24566F7C" w14:textId="77777777" w:rsidR="00133AC8" w:rsidRPr="003730B5" w:rsidRDefault="00133AC8" w:rsidP="008764C5">
            <w:pPr>
              <w:jc w:val="center"/>
              <w:rPr>
                <w:rFonts w:ascii="Times New Roman" w:hAnsi="Times New Roman"/>
                <w:bCs/>
                <w:sz w:val="20"/>
              </w:rPr>
            </w:pPr>
            <w:r w:rsidRPr="003730B5">
              <w:rPr>
                <w:rFonts w:ascii="Times New Roman" w:hAnsi="Times New Roman"/>
                <w:bCs/>
                <w:sz w:val="20"/>
              </w:rPr>
              <w:t>45,5 %</w:t>
            </w:r>
          </w:p>
        </w:tc>
      </w:tr>
    </w:tbl>
    <w:p w14:paraId="42FE355A" w14:textId="77777777" w:rsidR="00133AC8" w:rsidRPr="003730B5" w:rsidRDefault="00133AC8" w:rsidP="00133AC8">
      <w:pPr>
        <w:widowControl w:val="0"/>
        <w:autoSpaceDE w:val="0"/>
        <w:autoSpaceDN w:val="0"/>
        <w:adjustRightInd w:val="0"/>
        <w:spacing w:before="120" w:after="120"/>
        <w:rPr>
          <w:bCs/>
          <w:szCs w:val="24"/>
        </w:rPr>
      </w:pPr>
      <w:r w:rsidRPr="003730B5">
        <w:rPr>
          <w:bCs/>
          <w:szCs w:val="24"/>
        </w:rPr>
        <w:lastRenderedPageBreak/>
        <w:t xml:space="preserve">Z doložených dat plyne, že kromě nejednotnosti vymáhání justičních pohledávek je stávající systém </w:t>
      </w:r>
      <w:r w:rsidRPr="003730B5">
        <w:rPr>
          <w:szCs w:val="24"/>
        </w:rPr>
        <w:t>spojen</w:t>
      </w:r>
      <w:r w:rsidRPr="003730B5">
        <w:rPr>
          <w:bCs/>
          <w:szCs w:val="24"/>
        </w:rPr>
        <w:t xml:space="preserve"> i s relativně vysokou neúspěšností, resp. nevymožením justičních pohledávek, a dále s poměrně vysokou zátěží na straně justiční soustavy, která je vymáháním uvedených pohledávek poměrně zbytečně zatížena.</w:t>
      </w:r>
    </w:p>
    <w:p w14:paraId="2D519716" w14:textId="77777777" w:rsidR="00133AC8" w:rsidRPr="003730B5" w:rsidRDefault="00133AC8" w:rsidP="00133AC8">
      <w:pPr>
        <w:widowControl w:val="0"/>
        <w:autoSpaceDE w:val="0"/>
        <w:autoSpaceDN w:val="0"/>
        <w:adjustRightInd w:val="0"/>
        <w:spacing w:after="120"/>
        <w:rPr>
          <w:bCs/>
          <w:szCs w:val="24"/>
        </w:rPr>
      </w:pPr>
      <w:r w:rsidRPr="003730B5">
        <w:rPr>
          <w:bCs/>
          <w:szCs w:val="24"/>
        </w:rPr>
        <w:t xml:space="preserve">K odstranění </w:t>
      </w:r>
      <w:r w:rsidRPr="003730B5">
        <w:rPr>
          <w:szCs w:val="24"/>
        </w:rPr>
        <w:t>nedostatků</w:t>
      </w:r>
      <w:r w:rsidRPr="003730B5">
        <w:rPr>
          <w:bCs/>
          <w:szCs w:val="24"/>
        </w:rPr>
        <w:t xml:space="preserve"> současného právního stavu, kdy si jednotlivé soudy, státní zastupitelství i věznice samy či prostřednictvím soudního exekutora vymáhají pohledávky, jejichž správa placení podléhá daňovému řádu, se nabízí využití možnosti, kterou poskytuje současný daňový řád, tj. zavést kompetenční dělenou správu podle § 161 odst. 3 daňového řádu, kdy orgán příslušný k uložení peněžitého plnění (tj. v případech, ke kterým směřuje předložený návrh zákona, především soud, státní zastupitelství, věznice) bude současně příslušný i k jeho vybrání, přičemž vybráním se rozumí přijetí dobrovolné platby, k vymáhání celním úřadem pak dojde pouze v případě nesplnění platební povinnosti. K uvedenému je zapotřebí, s ohledem na textaci § 161 odst. 3 daňového řádu, výslovného zakotvení v jednotlivých předpisech.</w:t>
      </w:r>
    </w:p>
    <w:p w14:paraId="2E1DF538" w14:textId="77777777" w:rsidR="00133AC8" w:rsidRPr="003730B5" w:rsidRDefault="00133AC8" w:rsidP="00133AC8">
      <w:pPr>
        <w:widowControl w:val="0"/>
        <w:autoSpaceDE w:val="0"/>
        <w:autoSpaceDN w:val="0"/>
        <w:adjustRightInd w:val="0"/>
        <w:spacing w:after="120"/>
        <w:rPr>
          <w:bCs/>
          <w:szCs w:val="24"/>
        </w:rPr>
      </w:pPr>
      <w:r w:rsidRPr="003730B5">
        <w:rPr>
          <w:bCs/>
          <w:szCs w:val="24"/>
        </w:rPr>
        <w:t xml:space="preserve">Přijetím návrhu </w:t>
      </w:r>
      <w:r w:rsidRPr="003730B5">
        <w:rPr>
          <w:szCs w:val="24"/>
        </w:rPr>
        <w:t>má</w:t>
      </w:r>
      <w:r w:rsidRPr="003730B5">
        <w:rPr>
          <w:bCs/>
          <w:szCs w:val="24"/>
        </w:rPr>
        <w:t xml:space="preserve"> být dosaženo:</w:t>
      </w:r>
    </w:p>
    <w:p w14:paraId="4E553119" w14:textId="77777777" w:rsidR="00133AC8" w:rsidRPr="003730B5" w:rsidRDefault="00133AC8" w:rsidP="00133AC8">
      <w:pPr>
        <w:pStyle w:val="Odstavecseseznamem"/>
        <w:widowControl w:val="0"/>
        <w:numPr>
          <w:ilvl w:val="0"/>
          <w:numId w:val="47"/>
        </w:numPr>
        <w:autoSpaceDE w:val="0"/>
        <w:autoSpaceDN w:val="0"/>
        <w:adjustRightInd w:val="0"/>
        <w:spacing w:after="120"/>
        <w:rPr>
          <w:bCs/>
          <w:szCs w:val="24"/>
        </w:rPr>
      </w:pPr>
      <w:bookmarkStart w:id="8" w:name="_Hlk127348187"/>
      <w:r w:rsidRPr="003730B5">
        <w:rPr>
          <w:szCs w:val="24"/>
        </w:rPr>
        <w:t>jednotného</w:t>
      </w:r>
      <w:r w:rsidRPr="003730B5">
        <w:rPr>
          <w:bCs/>
          <w:szCs w:val="24"/>
        </w:rPr>
        <w:t xml:space="preserve"> postupu při vymáhání justičních pohledávek, jejichž správa placení se řídí daňovým řádem,</w:t>
      </w:r>
    </w:p>
    <w:p w14:paraId="3549580F" w14:textId="77777777" w:rsidR="00133AC8" w:rsidRPr="003730B5" w:rsidRDefault="00133AC8" w:rsidP="00133AC8">
      <w:pPr>
        <w:pStyle w:val="Odstavecseseznamem"/>
        <w:widowControl w:val="0"/>
        <w:numPr>
          <w:ilvl w:val="0"/>
          <w:numId w:val="47"/>
        </w:numPr>
        <w:autoSpaceDE w:val="0"/>
        <w:autoSpaceDN w:val="0"/>
        <w:adjustRightInd w:val="0"/>
        <w:spacing w:after="120"/>
        <w:rPr>
          <w:bCs/>
          <w:szCs w:val="24"/>
        </w:rPr>
      </w:pPr>
      <w:r w:rsidRPr="003730B5">
        <w:rPr>
          <w:bCs/>
          <w:szCs w:val="24"/>
        </w:rPr>
        <w:t>snížení nákladů spojených s vymáháním justičních pohledávek v rámci resortu justice,</w:t>
      </w:r>
    </w:p>
    <w:bookmarkEnd w:id="8"/>
    <w:p w14:paraId="59C41855" w14:textId="77777777" w:rsidR="00133AC8" w:rsidRPr="003730B5" w:rsidRDefault="00133AC8" w:rsidP="00133AC8">
      <w:pPr>
        <w:pStyle w:val="Odstavecseseznamem"/>
        <w:widowControl w:val="0"/>
        <w:numPr>
          <w:ilvl w:val="0"/>
          <w:numId w:val="47"/>
        </w:numPr>
        <w:autoSpaceDE w:val="0"/>
        <w:autoSpaceDN w:val="0"/>
        <w:adjustRightInd w:val="0"/>
        <w:spacing w:after="120"/>
        <w:rPr>
          <w:bCs/>
          <w:szCs w:val="24"/>
        </w:rPr>
      </w:pPr>
      <w:r w:rsidRPr="003730B5">
        <w:rPr>
          <w:bCs/>
          <w:szCs w:val="24"/>
        </w:rPr>
        <w:t xml:space="preserve">snížení </w:t>
      </w:r>
      <w:r w:rsidRPr="003730B5">
        <w:rPr>
          <w:szCs w:val="24"/>
        </w:rPr>
        <w:t>objemu</w:t>
      </w:r>
      <w:r w:rsidRPr="003730B5">
        <w:rPr>
          <w:bCs/>
          <w:szCs w:val="24"/>
        </w:rPr>
        <w:t xml:space="preserve"> i procenta neuhrazených justičních pohledávek,</w:t>
      </w:r>
    </w:p>
    <w:p w14:paraId="52E64966" w14:textId="77777777" w:rsidR="00133AC8" w:rsidRPr="003730B5" w:rsidRDefault="00133AC8" w:rsidP="00133AC8">
      <w:pPr>
        <w:pStyle w:val="Odstavecseseznamem"/>
        <w:widowControl w:val="0"/>
        <w:numPr>
          <w:ilvl w:val="0"/>
          <w:numId w:val="47"/>
        </w:numPr>
        <w:autoSpaceDE w:val="0"/>
        <w:autoSpaceDN w:val="0"/>
        <w:adjustRightInd w:val="0"/>
        <w:spacing w:after="120"/>
        <w:rPr>
          <w:bCs/>
          <w:szCs w:val="24"/>
        </w:rPr>
      </w:pPr>
      <w:r w:rsidRPr="003730B5">
        <w:rPr>
          <w:bCs/>
          <w:szCs w:val="24"/>
        </w:rPr>
        <w:t xml:space="preserve">snížení </w:t>
      </w:r>
      <w:r w:rsidRPr="003730B5">
        <w:rPr>
          <w:szCs w:val="24"/>
        </w:rPr>
        <w:t>nákladů</w:t>
      </w:r>
      <w:r w:rsidRPr="003730B5">
        <w:rPr>
          <w:bCs/>
          <w:szCs w:val="24"/>
        </w:rPr>
        <w:t xml:space="preserve"> pro dlužníka v případech, kdy bylo vymáhání pohledávek přeneseno na soudního exekutora.</w:t>
      </w:r>
    </w:p>
    <w:p w14:paraId="679AA3B2" w14:textId="77777777" w:rsidR="00133AC8" w:rsidRPr="003730B5" w:rsidRDefault="00133AC8" w:rsidP="00133AC8">
      <w:pPr>
        <w:widowControl w:val="0"/>
        <w:autoSpaceDE w:val="0"/>
        <w:autoSpaceDN w:val="0"/>
        <w:adjustRightInd w:val="0"/>
        <w:spacing w:after="120"/>
        <w:rPr>
          <w:bCs/>
          <w:szCs w:val="24"/>
        </w:rPr>
      </w:pPr>
      <w:r w:rsidRPr="003730B5">
        <w:rPr>
          <w:bCs/>
          <w:szCs w:val="24"/>
        </w:rPr>
        <w:t xml:space="preserve">Lze předpokládat, že bude-li vymáhání provádět pouze jeden orgán, v tomto případě Celní správa České republiky, bude vystupovat jednotně a předvídatelně bez větších lokálních rozdílů. Tím dojde k unifikaci vymáhacího procesu. Zavedením kompetenční dělené správy tak dojde k tomu, že vymáhání justičních pohledávek přejde do gesce orgánu, který je pro výkon této činnosti úzce specializovaný, a proto je větší předpoklad pro úspěšnost celého procesu. Soudy, státní zastupitelství a věznice vykonávají činnosti vysoce sofistikované a pohybují se v poměrně roztříštěném a složitém právním prostředí. Soustředí se proto na provádění vlastních specifických činností, přičemž vymáhání justičních pohledávek je do značné míry mimo oblast jejich působnosti (jak bylo shora zmíněno, problémem může být i kvalifikace vymáhajících zaměstnanců, kteří jsou zařazeni do 8. platové třídy, ačkoli podle daňového řádu činí často poměrně složité úkony). Návrh tak odbřemení justici od agendy, která svojí povahou neodpovídá činnosti soudů. Ostatně skutečnost, že se některé soudy uchýlily k variantě vymáhání pohledávek cestou soudního exekutora, svědčí o tom, že vymáhání pohledávek samotnou justicí zbytečně zatěžovalo soudní aparát úkoly, které zcela jistě nepatří do stěžejní činnosti justice. Z tohoto pohledu proto nelze soudům vyčítat, že se této činnosti „zbavily“ převedením na soudní exekutory, nicméně i v těchto případech soudy musí plnit své povinnosti podle daňového řádu. Na druhou stranu tím dochází k prodražování vymáhání pohledávek o odměnu soudního exekutora, což se ve svém důsledku promítne do celkové částky vymáhané po dlužníkovi. Pokud dojde k přesunu vymáhání pohledávek na Celní správu České republiky, tento ve své podstatě nadbytečný náklad vymáhání odpadne. </w:t>
      </w:r>
    </w:p>
    <w:p w14:paraId="3286D51B" w14:textId="77777777" w:rsidR="00133AC8" w:rsidRPr="003730B5" w:rsidRDefault="00133AC8" w:rsidP="00133AC8">
      <w:pPr>
        <w:widowControl w:val="0"/>
        <w:autoSpaceDE w:val="0"/>
        <w:autoSpaceDN w:val="0"/>
        <w:adjustRightInd w:val="0"/>
        <w:spacing w:after="120"/>
        <w:rPr>
          <w:bCs/>
          <w:szCs w:val="24"/>
        </w:rPr>
      </w:pPr>
      <w:r w:rsidRPr="003730B5">
        <w:rPr>
          <w:bCs/>
          <w:szCs w:val="24"/>
        </w:rPr>
        <w:t>Cílem návrhu je omezit vysoký objem neuhrazených justičních pohledávek, jak byl nastíněn výše. Tohoto cíle by mělo být dosaženo koncentrací vymáhání justičních pohledávek u organizační složky státu, která má vyšší potenciál tento trend omezit i s menším personálním vybavením. Očekává se, že přesun vymáhání justičních pohledávek na Celní správu České republiky k omezení nežádoucího stavu přispět může. Lze zároveň předpokládat, že např. </w:t>
      </w:r>
      <w:r w:rsidRPr="003730B5">
        <w:rPr>
          <w:szCs w:val="24"/>
        </w:rPr>
        <w:t xml:space="preserve">u odsouzených, popř. obviněných, kteří budou mít neuhrazené náklady trestního řízení, náhrady za odměnu ustanoveného obhájce, náklady výkonu trestu, náklady spojené s výkonem trestu, náklady výkonu vazby, náklady spojené s výkonem </w:t>
      </w:r>
      <w:r w:rsidRPr="003730B5">
        <w:rPr>
          <w:szCs w:val="24"/>
        </w:rPr>
        <w:lastRenderedPageBreak/>
        <w:t>vazby, apod., bude zároveň z jiného titulu probíhat daňová exekuce, a tak tímto způsobem dojde k žádoucí koncentraci vymáhání pohledávek státu po těchto osobách, což bude efektivnější a pro samotné odsouzené/obviněné i méně zatěžující.</w:t>
      </w:r>
    </w:p>
    <w:p w14:paraId="79AA46CB" w14:textId="77777777" w:rsidR="00133AC8" w:rsidRPr="003730B5" w:rsidRDefault="00133AC8" w:rsidP="00133AC8">
      <w:pPr>
        <w:widowControl w:val="0"/>
        <w:autoSpaceDE w:val="0"/>
        <w:autoSpaceDN w:val="0"/>
        <w:adjustRightInd w:val="0"/>
        <w:spacing w:after="120"/>
        <w:rPr>
          <w:szCs w:val="24"/>
        </w:rPr>
      </w:pPr>
      <w:r w:rsidRPr="003730B5">
        <w:rPr>
          <w:bCs/>
          <w:szCs w:val="24"/>
        </w:rPr>
        <w:t xml:space="preserve">Ve vztahu k peněžitým trestům se pak od této změny očekává, že přispěje k tomu, že tato sankce bude ukládána častěji. </w:t>
      </w:r>
      <w:r w:rsidRPr="003730B5">
        <w:rPr>
          <w:szCs w:val="24"/>
        </w:rPr>
        <w:t>Za výraznou okolnost, která má vliv na ochotu soudů ukládat peněžité tresty, je totiž považována povinnost soudu tento trest vymáhat. Institut vymáhání peněžitého trestu, který byl do trestního řádu opětovně zaveden v souvislosti s přijetím trestního zákoníku (zákon č. 40/</w:t>
      </w:r>
      <w:r w:rsidRPr="003730B5">
        <w:rPr>
          <w:bCs/>
          <w:szCs w:val="24"/>
        </w:rPr>
        <w:t>2009</w:t>
      </w:r>
      <w:r w:rsidRPr="003730B5">
        <w:rPr>
          <w:szCs w:val="24"/>
        </w:rPr>
        <w:t xml:space="preserve"> Sb.), je často hodnocen jako do značné míry náročný z důvodu vysoké administrativní zátěže pro soudy, prodlužující vykonávací řízení a vedoucí k tomu, že k přeměnám na jiné druhy trestu dochází se značným časovým odstupem. Přenesení gesce k vymáhání peněžitých trestů na Celní správu </w:t>
      </w:r>
      <w:r w:rsidRPr="003730B5">
        <w:rPr>
          <w:bCs/>
          <w:szCs w:val="24"/>
        </w:rPr>
        <w:t>České republiky</w:t>
      </w:r>
      <w:r w:rsidRPr="003730B5">
        <w:rPr>
          <w:szCs w:val="24"/>
        </w:rPr>
        <w:t xml:space="preserve"> cílí na limitaci uvedených negativ tohoto institutu.  </w:t>
      </w:r>
    </w:p>
    <w:p w14:paraId="146ADFB9" w14:textId="77777777" w:rsidR="00133AC8" w:rsidRPr="003730B5" w:rsidRDefault="00133AC8" w:rsidP="00133AC8">
      <w:pPr>
        <w:widowControl w:val="0"/>
        <w:autoSpaceDE w:val="0"/>
        <w:autoSpaceDN w:val="0"/>
        <w:adjustRightInd w:val="0"/>
        <w:spacing w:after="120"/>
        <w:rPr>
          <w:bCs/>
          <w:szCs w:val="24"/>
        </w:rPr>
      </w:pPr>
      <w:bookmarkStart w:id="9" w:name="_Hlk129681282"/>
      <w:r w:rsidRPr="003730B5">
        <w:rPr>
          <w:bCs/>
          <w:szCs w:val="24"/>
        </w:rPr>
        <w:t>Z hlediska posouzení objemu justičních pohledávek, které by takto byly předávány Celní správě České republiky k vymáhání</w:t>
      </w:r>
      <w:bookmarkEnd w:id="9"/>
      <w:r w:rsidRPr="003730B5">
        <w:rPr>
          <w:bCs/>
          <w:szCs w:val="24"/>
        </w:rPr>
        <w:t>, lze uvést statistické údaje o daňových pohledávkách předepsaných v roce 2022 (za všechny složky v rámci resortu justice):</w:t>
      </w:r>
    </w:p>
    <w:tbl>
      <w:tblPr>
        <w:tblStyle w:val="Mkatabulky"/>
        <w:tblW w:w="0" w:type="auto"/>
        <w:tblLook w:val="04A0" w:firstRow="1" w:lastRow="0" w:firstColumn="1" w:lastColumn="0" w:noHBand="0" w:noVBand="1"/>
      </w:tblPr>
      <w:tblGrid>
        <w:gridCol w:w="2973"/>
        <w:gridCol w:w="2975"/>
        <w:gridCol w:w="3094"/>
      </w:tblGrid>
      <w:tr w:rsidR="00133AC8" w:rsidRPr="003730B5" w14:paraId="4781CA7F" w14:textId="77777777" w:rsidTr="008764C5">
        <w:tc>
          <w:tcPr>
            <w:tcW w:w="3020" w:type="dxa"/>
            <w:tcBorders>
              <w:top w:val="nil"/>
              <w:left w:val="nil"/>
              <w:bottom w:val="thickThinMediumGap" w:sz="12" w:space="0" w:color="333333"/>
              <w:right w:val="thickThinMediumGap" w:sz="12" w:space="0" w:color="333333"/>
            </w:tcBorders>
          </w:tcPr>
          <w:p w14:paraId="631566FD" w14:textId="77777777" w:rsidR="00133AC8" w:rsidRPr="003730B5" w:rsidRDefault="00133AC8" w:rsidP="008764C5">
            <w:pPr>
              <w:rPr>
                <w:bCs/>
                <w:sz w:val="20"/>
              </w:rPr>
            </w:pPr>
          </w:p>
        </w:tc>
        <w:tc>
          <w:tcPr>
            <w:tcW w:w="3021" w:type="dxa"/>
            <w:tcBorders>
              <w:top w:val="thickThinMediumGap" w:sz="12" w:space="0" w:color="333333"/>
              <w:left w:val="thickThinMediumGap" w:sz="12" w:space="0" w:color="333333"/>
              <w:bottom w:val="double" w:sz="4" w:space="0" w:color="auto"/>
            </w:tcBorders>
          </w:tcPr>
          <w:p w14:paraId="471CED3F" w14:textId="77777777" w:rsidR="00133AC8" w:rsidRPr="003730B5" w:rsidRDefault="00133AC8" w:rsidP="008764C5">
            <w:pPr>
              <w:rPr>
                <w:bCs/>
                <w:sz w:val="20"/>
              </w:rPr>
            </w:pPr>
            <w:r w:rsidRPr="003730B5">
              <w:rPr>
                <w:bCs/>
                <w:sz w:val="20"/>
              </w:rPr>
              <w:t>uhrazené ve lhůtě splatnosti</w:t>
            </w:r>
          </w:p>
        </w:tc>
        <w:tc>
          <w:tcPr>
            <w:tcW w:w="3139" w:type="dxa"/>
            <w:tcBorders>
              <w:top w:val="thickThinMediumGap" w:sz="12" w:space="0" w:color="333333"/>
              <w:bottom w:val="double" w:sz="4" w:space="0" w:color="auto"/>
              <w:right w:val="thickThinMediumGap" w:sz="12" w:space="0" w:color="333333"/>
            </w:tcBorders>
          </w:tcPr>
          <w:p w14:paraId="3BC674F6" w14:textId="77777777" w:rsidR="00133AC8" w:rsidRPr="003730B5" w:rsidRDefault="00133AC8" w:rsidP="008764C5">
            <w:pPr>
              <w:rPr>
                <w:bCs/>
                <w:sz w:val="20"/>
              </w:rPr>
            </w:pPr>
            <w:r w:rsidRPr="003730B5">
              <w:rPr>
                <w:bCs/>
                <w:sz w:val="20"/>
              </w:rPr>
              <w:t>neuhrazené ve lhůtě splatnosti</w:t>
            </w:r>
          </w:p>
        </w:tc>
      </w:tr>
      <w:tr w:rsidR="00133AC8" w:rsidRPr="003730B5" w14:paraId="738EFCAE" w14:textId="77777777" w:rsidTr="008764C5">
        <w:tc>
          <w:tcPr>
            <w:tcW w:w="3020" w:type="dxa"/>
            <w:tcBorders>
              <w:top w:val="thickThinMediumGap" w:sz="12" w:space="0" w:color="333333"/>
              <w:left w:val="thickThinMediumGap" w:sz="12" w:space="0" w:color="333333"/>
              <w:bottom w:val="single" w:sz="4" w:space="0" w:color="auto"/>
              <w:right w:val="double" w:sz="4" w:space="0" w:color="auto"/>
            </w:tcBorders>
          </w:tcPr>
          <w:p w14:paraId="59424EC4" w14:textId="77777777" w:rsidR="00133AC8" w:rsidRPr="003730B5" w:rsidRDefault="00133AC8" w:rsidP="008764C5">
            <w:pPr>
              <w:rPr>
                <w:bCs/>
                <w:sz w:val="20"/>
              </w:rPr>
            </w:pPr>
            <w:r w:rsidRPr="003730B5">
              <w:rPr>
                <w:bCs/>
                <w:sz w:val="20"/>
              </w:rPr>
              <w:t xml:space="preserve">Počet </w:t>
            </w:r>
          </w:p>
        </w:tc>
        <w:tc>
          <w:tcPr>
            <w:tcW w:w="3021" w:type="dxa"/>
            <w:tcBorders>
              <w:top w:val="double" w:sz="4" w:space="0" w:color="auto"/>
              <w:left w:val="double" w:sz="4" w:space="0" w:color="auto"/>
              <w:bottom w:val="single" w:sz="4" w:space="0" w:color="auto"/>
            </w:tcBorders>
          </w:tcPr>
          <w:p w14:paraId="5FD48CDE" w14:textId="77777777" w:rsidR="00133AC8" w:rsidRPr="003730B5" w:rsidRDefault="00133AC8" w:rsidP="008764C5">
            <w:pPr>
              <w:rPr>
                <w:bCs/>
                <w:sz w:val="20"/>
              </w:rPr>
            </w:pPr>
            <w:r w:rsidRPr="003730B5">
              <w:rPr>
                <w:bCs/>
                <w:sz w:val="20"/>
              </w:rPr>
              <w:t>74 907</w:t>
            </w:r>
          </w:p>
        </w:tc>
        <w:tc>
          <w:tcPr>
            <w:tcW w:w="3139" w:type="dxa"/>
            <w:tcBorders>
              <w:top w:val="double" w:sz="4" w:space="0" w:color="auto"/>
              <w:bottom w:val="single" w:sz="4" w:space="0" w:color="auto"/>
              <w:right w:val="thickThinMediumGap" w:sz="12" w:space="0" w:color="333333"/>
            </w:tcBorders>
          </w:tcPr>
          <w:p w14:paraId="782D0E6A" w14:textId="77777777" w:rsidR="00133AC8" w:rsidRPr="003730B5" w:rsidRDefault="00133AC8" w:rsidP="008764C5">
            <w:pPr>
              <w:rPr>
                <w:bCs/>
                <w:sz w:val="20"/>
              </w:rPr>
            </w:pPr>
            <w:r w:rsidRPr="003730B5">
              <w:rPr>
                <w:bCs/>
                <w:sz w:val="20"/>
              </w:rPr>
              <w:t>108 405</w:t>
            </w:r>
          </w:p>
        </w:tc>
      </w:tr>
      <w:tr w:rsidR="00133AC8" w:rsidRPr="003730B5" w14:paraId="4D7195BB" w14:textId="77777777" w:rsidTr="008764C5">
        <w:tc>
          <w:tcPr>
            <w:tcW w:w="3020" w:type="dxa"/>
            <w:tcBorders>
              <w:left w:val="thickThinMediumGap" w:sz="12" w:space="0" w:color="333333"/>
              <w:bottom w:val="thickThinMediumGap" w:sz="12" w:space="0" w:color="333333"/>
              <w:right w:val="double" w:sz="4" w:space="0" w:color="auto"/>
            </w:tcBorders>
          </w:tcPr>
          <w:p w14:paraId="4F8088EF" w14:textId="77777777" w:rsidR="00133AC8" w:rsidRPr="003730B5" w:rsidRDefault="00133AC8" w:rsidP="008764C5">
            <w:pPr>
              <w:rPr>
                <w:bCs/>
                <w:sz w:val="20"/>
              </w:rPr>
            </w:pPr>
            <w:r w:rsidRPr="003730B5">
              <w:rPr>
                <w:bCs/>
                <w:sz w:val="20"/>
              </w:rPr>
              <w:t xml:space="preserve">Finanční objem (tj. celková výše) </w:t>
            </w:r>
          </w:p>
        </w:tc>
        <w:tc>
          <w:tcPr>
            <w:tcW w:w="3021" w:type="dxa"/>
            <w:tcBorders>
              <w:left w:val="double" w:sz="4" w:space="0" w:color="auto"/>
              <w:bottom w:val="thickThinMediumGap" w:sz="12" w:space="0" w:color="333333"/>
            </w:tcBorders>
          </w:tcPr>
          <w:p w14:paraId="11121E0E" w14:textId="77777777" w:rsidR="00133AC8" w:rsidRPr="003730B5" w:rsidRDefault="00133AC8" w:rsidP="008764C5">
            <w:pPr>
              <w:rPr>
                <w:bCs/>
                <w:sz w:val="20"/>
              </w:rPr>
            </w:pPr>
            <w:r w:rsidRPr="003730B5">
              <w:rPr>
                <w:bCs/>
                <w:sz w:val="20"/>
              </w:rPr>
              <w:t>278 462 037</w:t>
            </w:r>
          </w:p>
        </w:tc>
        <w:tc>
          <w:tcPr>
            <w:tcW w:w="3139" w:type="dxa"/>
            <w:tcBorders>
              <w:bottom w:val="thickThinMediumGap" w:sz="12" w:space="0" w:color="333333"/>
              <w:right w:val="thickThinMediumGap" w:sz="12" w:space="0" w:color="333333"/>
            </w:tcBorders>
          </w:tcPr>
          <w:p w14:paraId="7F17C1C5" w14:textId="77777777" w:rsidR="00133AC8" w:rsidRPr="003730B5" w:rsidRDefault="00133AC8" w:rsidP="008764C5">
            <w:pPr>
              <w:rPr>
                <w:bCs/>
                <w:sz w:val="20"/>
              </w:rPr>
            </w:pPr>
            <w:r w:rsidRPr="003730B5">
              <w:rPr>
                <w:bCs/>
                <w:sz w:val="20"/>
              </w:rPr>
              <w:t>446 709 455</w:t>
            </w:r>
          </w:p>
        </w:tc>
      </w:tr>
    </w:tbl>
    <w:p w14:paraId="198A07D2" w14:textId="77777777" w:rsidR="00133AC8" w:rsidRPr="003730B5" w:rsidRDefault="00133AC8" w:rsidP="00133AC8">
      <w:pPr>
        <w:pStyle w:val="Nadpis8"/>
        <w:rPr>
          <w:b/>
          <w:bCs/>
          <w:szCs w:val="24"/>
        </w:rPr>
      </w:pPr>
    </w:p>
    <w:tbl>
      <w:tblPr>
        <w:tblW w:w="5000" w:type="pct"/>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322"/>
        <w:gridCol w:w="2264"/>
        <w:gridCol w:w="2262"/>
        <w:gridCol w:w="2194"/>
      </w:tblGrid>
      <w:tr w:rsidR="00133AC8" w:rsidRPr="003730B5" w14:paraId="3CD0A584" w14:textId="77777777" w:rsidTr="008764C5">
        <w:trPr>
          <w:trHeight w:val="20"/>
        </w:trPr>
        <w:tc>
          <w:tcPr>
            <w:tcW w:w="1284" w:type="pct"/>
            <w:shd w:val="clear" w:color="auto" w:fill="DEEAF6"/>
            <w:noWrap/>
            <w:vAlign w:val="center"/>
            <w:hideMark/>
          </w:tcPr>
          <w:p w14:paraId="5F5AB171" w14:textId="77777777" w:rsidR="00133AC8" w:rsidRPr="003730B5" w:rsidRDefault="00133AC8" w:rsidP="008764C5">
            <w:pPr>
              <w:jc w:val="center"/>
              <w:rPr>
                <w:bCs/>
                <w:color w:val="000000"/>
                <w:sz w:val="20"/>
              </w:rPr>
            </w:pPr>
            <w:r w:rsidRPr="003730B5">
              <w:rPr>
                <w:bCs/>
                <w:color w:val="000000"/>
                <w:sz w:val="20"/>
              </w:rPr>
              <w:t>Celní úřad pro</w:t>
            </w:r>
          </w:p>
        </w:tc>
        <w:tc>
          <w:tcPr>
            <w:tcW w:w="1252" w:type="pct"/>
            <w:shd w:val="clear" w:color="auto" w:fill="DEEAF6"/>
            <w:vAlign w:val="center"/>
            <w:hideMark/>
          </w:tcPr>
          <w:p w14:paraId="3556380F" w14:textId="77777777" w:rsidR="00133AC8" w:rsidRPr="003730B5" w:rsidRDefault="00133AC8" w:rsidP="008764C5">
            <w:pPr>
              <w:jc w:val="center"/>
              <w:rPr>
                <w:bCs/>
                <w:color w:val="000000"/>
                <w:sz w:val="20"/>
              </w:rPr>
            </w:pPr>
            <w:r w:rsidRPr="003730B5">
              <w:rPr>
                <w:bCs/>
                <w:color w:val="000000"/>
                <w:sz w:val="20"/>
              </w:rPr>
              <w:t>Počet justičních pohledávek v roce 2022</w:t>
            </w:r>
          </w:p>
        </w:tc>
        <w:tc>
          <w:tcPr>
            <w:tcW w:w="1251" w:type="pct"/>
            <w:shd w:val="clear" w:color="auto" w:fill="DEEAF6"/>
            <w:vAlign w:val="center"/>
            <w:hideMark/>
          </w:tcPr>
          <w:p w14:paraId="47B16287" w14:textId="77777777" w:rsidR="00133AC8" w:rsidRPr="003730B5" w:rsidRDefault="00133AC8" w:rsidP="008764C5">
            <w:pPr>
              <w:jc w:val="center"/>
              <w:rPr>
                <w:bCs/>
                <w:color w:val="000000"/>
                <w:sz w:val="20"/>
              </w:rPr>
            </w:pPr>
            <w:r w:rsidRPr="003730B5">
              <w:rPr>
                <w:bCs/>
                <w:color w:val="000000"/>
                <w:sz w:val="20"/>
              </w:rPr>
              <w:t>Počet předpisů dělené správy za rok 2022</w:t>
            </w:r>
          </w:p>
        </w:tc>
        <w:tc>
          <w:tcPr>
            <w:tcW w:w="1213" w:type="pct"/>
            <w:shd w:val="clear" w:color="auto" w:fill="DEEAF6"/>
            <w:vAlign w:val="center"/>
            <w:hideMark/>
          </w:tcPr>
          <w:p w14:paraId="7B1DAF07" w14:textId="77777777" w:rsidR="00133AC8" w:rsidRPr="003730B5" w:rsidRDefault="00133AC8" w:rsidP="008764C5">
            <w:pPr>
              <w:jc w:val="center"/>
              <w:rPr>
                <w:bCs/>
                <w:color w:val="000000"/>
                <w:sz w:val="20"/>
              </w:rPr>
            </w:pPr>
            <w:r w:rsidRPr="003730B5">
              <w:rPr>
                <w:bCs/>
                <w:color w:val="000000"/>
                <w:sz w:val="20"/>
              </w:rPr>
              <w:t>Nárůst v % na Správě příjmů</w:t>
            </w:r>
          </w:p>
        </w:tc>
      </w:tr>
      <w:tr w:rsidR="00133AC8" w:rsidRPr="003730B5" w14:paraId="39643CA0" w14:textId="77777777" w:rsidTr="008764C5">
        <w:trPr>
          <w:trHeight w:val="300"/>
        </w:trPr>
        <w:tc>
          <w:tcPr>
            <w:tcW w:w="1284" w:type="pct"/>
            <w:noWrap/>
            <w:vAlign w:val="bottom"/>
            <w:hideMark/>
          </w:tcPr>
          <w:p w14:paraId="2B6A8A1A" w14:textId="77777777" w:rsidR="00133AC8" w:rsidRPr="003730B5" w:rsidRDefault="00133AC8" w:rsidP="008764C5">
            <w:pPr>
              <w:rPr>
                <w:bCs/>
                <w:color w:val="000000"/>
                <w:sz w:val="20"/>
              </w:rPr>
            </w:pPr>
            <w:r w:rsidRPr="003730B5">
              <w:rPr>
                <w:bCs/>
                <w:color w:val="000000"/>
                <w:sz w:val="20"/>
              </w:rPr>
              <w:t>Hlavní město Prahu</w:t>
            </w:r>
          </w:p>
        </w:tc>
        <w:tc>
          <w:tcPr>
            <w:tcW w:w="1252" w:type="pct"/>
            <w:noWrap/>
            <w:vAlign w:val="center"/>
            <w:hideMark/>
          </w:tcPr>
          <w:p w14:paraId="3140D66C" w14:textId="77777777" w:rsidR="00133AC8" w:rsidRPr="003730B5" w:rsidRDefault="00133AC8" w:rsidP="008764C5">
            <w:pPr>
              <w:jc w:val="center"/>
              <w:rPr>
                <w:bCs/>
                <w:color w:val="000000"/>
                <w:sz w:val="20"/>
              </w:rPr>
            </w:pPr>
            <w:r w:rsidRPr="003730B5">
              <w:rPr>
                <w:bCs/>
                <w:color w:val="000000"/>
                <w:sz w:val="20"/>
              </w:rPr>
              <w:t>19 655</w:t>
            </w:r>
          </w:p>
        </w:tc>
        <w:tc>
          <w:tcPr>
            <w:tcW w:w="1251" w:type="pct"/>
            <w:noWrap/>
            <w:vAlign w:val="bottom"/>
            <w:hideMark/>
          </w:tcPr>
          <w:p w14:paraId="1F6EB1F2" w14:textId="77777777" w:rsidR="00133AC8" w:rsidRPr="003730B5" w:rsidRDefault="00133AC8" w:rsidP="008764C5">
            <w:pPr>
              <w:jc w:val="center"/>
              <w:rPr>
                <w:bCs/>
                <w:color w:val="000000"/>
                <w:sz w:val="20"/>
              </w:rPr>
            </w:pPr>
            <w:r w:rsidRPr="003730B5">
              <w:rPr>
                <w:bCs/>
                <w:color w:val="000000"/>
                <w:sz w:val="20"/>
              </w:rPr>
              <w:t>66 019</w:t>
            </w:r>
          </w:p>
        </w:tc>
        <w:tc>
          <w:tcPr>
            <w:tcW w:w="1213" w:type="pct"/>
            <w:noWrap/>
            <w:vAlign w:val="center"/>
            <w:hideMark/>
          </w:tcPr>
          <w:p w14:paraId="74AD5A0B" w14:textId="77777777" w:rsidR="00133AC8" w:rsidRPr="003730B5" w:rsidRDefault="00133AC8" w:rsidP="008764C5">
            <w:pPr>
              <w:jc w:val="center"/>
              <w:rPr>
                <w:bCs/>
                <w:color w:val="000000"/>
                <w:sz w:val="20"/>
              </w:rPr>
            </w:pPr>
            <w:r w:rsidRPr="003730B5">
              <w:rPr>
                <w:bCs/>
                <w:color w:val="000000"/>
                <w:sz w:val="20"/>
              </w:rPr>
              <w:t>29,8</w:t>
            </w:r>
          </w:p>
        </w:tc>
      </w:tr>
      <w:tr w:rsidR="00133AC8" w:rsidRPr="003730B5" w14:paraId="0951BA06" w14:textId="77777777" w:rsidTr="008764C5">
        <w:trPr>
          <w:trHeight w:val="300"/>
        </w:trPr>
        <w:tc>
          <w:tcPr>
            <w:tcW w:w="1284" w:type="pct"/>
            <w:noWrap/>
            <w:vAlign w:val="bottom"/>
            <w:hideMark/>
          </w:tcPr>
          <w:p w14:paraId="55769DDD" w14:textId="77777777" w:rsidR="00133AC8" w:rsidRPr="003730B5" w:rsidRDefault="00133AC8" w:rsidP="008764C5">
            <w:pPr>
              <w:rPr>
                <w:bCs/>
                <w:color w:val="000000"/>
                <w:sz w:val="20"/>
              </w:rPr>
            </w:pPr>
            <w:r w:rsidRPr="003730B5">
              <w:rPr>
                <w:bCs/>
                <w:color w:val="000000"/>
                <w:sz w:val="20"/>
              </w:rPr>
              <w:t>Jihočeský kraj</w:t>
            </w:r>
          </w:p>
        </w:tc>
        <w:tc>
          <w:tcPr>
            <w:tcW w:w="1252" w:type="pct"/>
            <w:noWrap/>
            <w:vAlign w:val="center"/>
            <w:hideMark/>
          </w:tcPr>
          <w:p w14:paraId="42931C06" w14:textId="77777777" w:rsidR="00133AC8" w:rsidRPr="003730B5" w:rsidRDefault="00133AC8" w:rsidP="008764C5">
            <w:pPr>
              <w:jc w:val="center"/>
              <w:rPr>
                <w:bCs/>
                <w:color w:val="000000"/>
                <w:sz w:val="20"/>
              </w:rPr>
            </w:pPr>
            <w:r w:rsidRPr="003730B5">
              <w:rPr>
                <w:bCs/>
                <w:color w:val="000000"/>
                <w:sz w:val="20"/>
              </w:rPr>
              <w:t>4 370</w:t>
            </w:r>
          </w:p>
        </w:tc>
        <w:tc>
          <w:tcPr>
            <w:tcW w:w="1251" w:type="pct"/>
            <w:noWrap/>
            <w:vAlign w:val="bottom"/>
            <w:hideMark/>
          </w:tcPr>
          <w:p w14:paraId="20A6EBDF" w14:textId="77777777" w:rsidR="00133AC8" w:rsidRPr="003730B5" w:rsidRDefault="00133AC8" w:rsidP="008764C5">
            <w:pPr>
              <w:jc w:val="center"/>
              <w:rPr>
                <w:bCs/>
                <w:color w:val="000000"/>
                <w:sz w:val="20"/>
              </w:rPr>
            </w:pPr>
            <w:r w:rsidRPr="003730B5">
              <w:rPr>
                <w:bCs/>
                <w:color w:val="000000"/>
                <w:sz w:val="20"/>
              </w:rPr>
              <w:t>21 460</w:t>
            </w:r>
          </w:p>
        </w:tc>
        <w:tc>
          <w:tcPr>
            <w:tcW w:w="1213" w:type="pct"/>
            <w:noWrap/>
            <w:vAlign w:val="center"/>
            <w:hideMark/>
          </w:tcPr>
          <w:p w14:paraId="3EB38DBF" w14:textId="77777777" w:rsidR="00133AC8" w:rsidRPr="003730B5" w:rsidRDefault="00133AC8" w:rsidP="008764C5">
            <w:pPr>
              <w:jc w:val="center"/>
              <w:rPr>
                <w:bCs/>
                <w:color w:val="000000"/>
                <w:sz w:val="20"/>
              </w:rPr>
            </w:pPr>
            <w:r w:rsidRPr="003730B5">
              <w:rPr>
                <w:bCs/>
                <w:color w:val="000000"/>
                <w:sz w:val="20"/>
              </w:rPr>
              <w:t>20,4</w:t>
            </w:r>
          </w:p>
        </w:tc>
      </w:tr>
      <w:tr w:rsidR="00133AC8" w:rsidRPr="003730B5" w14:paraId="43D7BAF8" w14:textId="77777777" w:rsidTr="008764C5">
        <w:trPr>
          <w:trHeight w:val="300"/>
        </w:trPr>
        <w:tc>
          <w:tcPr>
            <w:tcW w:w="1284" w:type="pct"/>
            <w:noWrap/>
            <w:vAlign w:val="bottom"/>
            <w:hideMark/>
          </w:tcPr>
          <w:p w14:paraId="1F5A1F4B" w14:textId="77777777" w:rsidR="00133AC8" w:rsidRPr="003730B5" w:rsidRDefault="00133AC8" w:rsidP="008764C5">
            <w:pPr>
              <w:rPr>
                <w:bCs/>
                <w:color w:val="000000"/>
                <w:sz w:val="20"/>
              </w:rPr>
            </w:pPr>
            <w:r w:rsidRPr="003730B5">
              <w:rPr>
                <w:bCs/>
                <w:color w:val="000000"/>
                <w:sz w:val="20"/>
              </w:rPr>
              <w:t>Jihomoravský kraj</w:t>
            </w:r>
          </w:p>
        </w:tc>
        <w:tc>
          <w:tcPr>
            <w:tcW w:w="1252" w:type="pct"/>
            <w:noWrap/>
            <w:vAlign w:val="center"/>
            <w:hideMark/>
          </w:tcPr>
          <w:p w14:paraId="5F6F530A" w14:textId="77777777" w:rsidR="00133AC8" w:rsidRPr="003730B5" w:rsidRDefault="00133AC8" w:rsidP="008764C5">
            <w:pPr>
              <w:jc w:val="center"/>
              <w:rPr>
                <w:bCs/>
                <w:color w:val="000000"/>
                <w:sz w:val="20"/>
              </w:rPr>
            </w:pPr>
            <w:r w:rsidRPr="003730B5">
              <w:rPr>
                <w:bCs/>
                <w:color w:val="000000"/>
                <w:sz w:val="20"/>
              </w:rPr>
              <w:t>8 318</w:t>
            </w:r>
          </w:p>
        </w:tc>
        <w:tc>
          <w:tcPr>
            <w:tcW w:w="1251" w:type="pct"/>
            <w:noWrap/>
            <w:vAlign w:val="bottom"/>
            <w:hideMark/>
          </w:tcPr>
          <w:p w14:paraId="4CD19BD2" w14:textId="77777777" w:rsidR="00133AC8" w:rsidRPr="003730B5" w:rsidRDefault="00133AC8" w:rsidP="008764C5">
            <w:pPr>
              <w:jc w:val="center"/>
              <w:rPr>
                <w:bCs/>
                <w:color w:val="000000"/>
                <w:sz w:val="20"/>
              </w:rPr>
            </w:pPr>
            <w:r w:rsidRPr="003730B5">
              <w:rPr>
                <w:bCs/>
                <w:color w:val="000000"/>
                <w:sz w:val="20"/>
              </w:rPr>
              <w:t>36 770</w:t>
            </w:r>
          </w:p>
        </w:tc>
        <w:tc>
          <w:tcPr>
            <w:tcW w:w="1213" w:type="pct"/>
            <w:noWrap/>
            <w:vAlign w:val="center"/>
            <w:hideMark/>
          </w:tcPr>
          <w:p w14:paraId="2053A46D" w14:textId="77777777" w:rsidR="00133AC8" w:rsidRPr="003730B5" w:rsidRDefault="00133AC8" w:rsidP="008764C5">
            <w:pPr>
              <w:jc w:val="center"/>
              <w:rPr>
                <w:bCs/>
                <w:color w:val="000000"/>
                <w:sz w:val="20"/>
              </w:rPr>
            </w:pPr>
            <w:r w:rsidRPr="003730B5">
              <w:rPr>
                <w:bCs/>
                <w:color w:val="000000"/>
                <w:sz w:val="20"/>
              </w:rPr>
              <w:t>22,6</w:t>
            </w:r>
          </w:p>
        </w:tc>
      </w:tr>
      <w:tr w:rsidR="00133AC8" w:rsidRPr="003730B5" w14:paraId="709E9B43" w14:textId="77777777" w:rsidTr="008764C5">
        <w:trPr>
          <w:trHeight w:val="300"/>
        </w:trPr>
        <w:tc>
          <w:tcPr>
            <w:tcW w:w="1284" w:type="pct"/>
            <w:noWrap/>
            <w:vAlign w:val="bottom"/>
            <w:hideMark/>
          </w:tcPr>
          <w:p w14:paraId="462C9FF9" w14:textId="77777777" w:rsidR="00133AC8" w:rsidRPr="003730B5" w:rsidRDefault="00133AC8" w:rsidP="008764C5">
            <w:pPr>
              <w:rPr>
                <w:bCs/>
                <w:color w:val="000000"/>
                <w:sz w:val="20"/>
              </w:rPr>
            </w:pPr>
            <w:r w:rsidRPr="003730B5">
              <w:rPr>
                <w:bCs/>
                <w:color w:val="000000"/>
                <w:sz w:val="20"/>
              </w:rPr>
              <w:t>Karlovarský kraj</w:t>
            </w:r>
          </w:p>
        </w:tc>
        <w:tc>
          <w:tcPr>
            <w:tcW w:w="1252" w:type="pct"/>
            <w:noWrap/>
            <w:vAlign w:val="center"/>
            <w:hideMark/>
          </w:tcPr>
          <w:p w14:paraId="3901F22B" w14:textId="77777777" w:rsidR="00133AC8" w:rsidRPr="003730B5" w:rsidRDefault="00133AC8" w:rsidP="008764C5">
            <w:pPr>
              <w:jc w:val="center"/>
              <w:rPr>
                <w:bCs/>
                <w:color w:val="000000"/>
                <w:sz w:val="20"/>
              </w:rPr>
            </w:pPr>
            <w:r w:rsidRPr="003730B5">
              <w:rPr>
                <w:bCs/>
                <w:color w:val="000000"/>
                <w:sz w:val="20"/>
              </w:rPr>
              <w:t>5 863</w:t>
            </w:r>
          </w:p>
        </w:tc>
        <w:tc>
          <w:tcPr>
            <w:tcW w:w="1251" w:type="pct"/>
            <w:noWrap/>
            <w:vAlign w:val="bottom"/>
            <w:hideMark/>
          </w:tcPr>
          <w:p w14:paraId="1AB425E1" w14:textId="77777777" w:rsidR="00133AC8" w:rsidRPr="003730B5" w:rsidRDefault="00133AC8" w:rsidP="008764C5">
            <w:pPr>
              <w:jc w:val="center"/>
              <w:rPr>
                <w:bCs/>
                <w:color w:val="000000"/>
                <w:sz w:val="20"/>
              </w:rPr>
            </w:pPr>
            <w:r w:rsidRPr="003730B5">
              <w:rPr>
                <w:bCs/>
                <w:color w:val="000000"/>
                <w:sz w:val="20"/>
              </w:rPr>
              <w:t>13 947</w:t>
            </w:r>
          </w:p>
        </w:tc>
        <w:tc>
          <w:tcPr>
            <w:tcW w:w="1213" w:type="pct"/>
            <w:noWrap/>
            <w:vAlign w:val="center"/>
            <w:hideMark/>
          </w:tcPr>
          <w:p w14:paraId="0C1DDC71" w14:textId="77777777" w:rsidR="00133AC8" w:rsidRPr="003730B5" w:rsidRDefault="00133AC8" w:rsidP="008764C5">
            <w:pPr>
              <w:jc w:val="center"/>
              <w:rPr>
                <w:bCs/>
                <w:color w:val="000000"/>
                <w:sz w:val="20"/>
              </w:rPr>
            </w:pPr>
            <w:r w:rsidRPr="003730B5">
              <w:rPr>
                <w:bCs/>
                <w:color w:val="000000"/>
                <w:sz w:val="20"/>
              </w:rPr>
              <w:t>42,0</w:t>
            </w:r>
          </w:p>
        </w:tc>
      </w:tr>
      <w:tr w:rsidR="00133AC8" w:rsidRPr="003730B5" w14:paraId="4B7B7A14" w14:textId="77777777" w:rsidTr="008764C5">
        <w:trPr>
          <w:trHeight w:val="300"/>
        </w:trPr>
        <w:tc>
          <w:tcPr>
            <w:tcW w:w="1284" w:type="pct"/>
            <w:noWrap/>
            <w:vAlign w:val="bottom"/>
            <w:hideMark/>
          </w:tcPr>
          <w:p w14:paraId="0FB74CBC" w14:textId="77777777" w:rsidR="00133AC8" w:rsidRPr="003730B5" w:rsidRDefault="00133AC8" w:rsidP="008764C5">
            <w:pPr>
              <w:rPr>
                <w:bCs/>
                <w:color w:val="000000"/>
                <w:sz w:val="20"/>
              </w:rPr>
            </w:pPr>
            <w:r w:rsidRPr="003730B5">
              <w:rPr>
                <w:bCs/>
                <w:color w:val="000000"/>
                <w:sz w:val="20"/>
              </w:rPr>
              <w:t>Královéhradecký kraj</w:t>
            </w:r>
          </w:p>
        </w:tc>
        <w:tc>
          <w:tcPr>
            <w:tcW w:w="1252" w:type="pct"/>
            <w:noWrap/>
            <w:vAlign w:val="center"/>
            <w:hideMark/>
          </w:tcPr>
          <w:p w14:paraId="06077149" w14:textId="77777777" w:rsidR="00133AC8" w:rsidRPr="003730B5" w:rsidRDefault="00133AC8" w:rsidP="008764C5">
            <w:pPr>
              <w:jc w:val="center"/>
              <w:rPr>
                <w:bCs/>
                <w:color w:val="000000"/>
                <w:sz w:val="20"/>
              </w:rPr>
            </w:pPr>
            <w:r w:rsidRPr="003730B5">
              <w:rPr>
                <w:bCs/>
                <w:color w:val="000000"/>
                <w:sz w:val="20"/>
              </w:rPr>
              <w:t>9 655</w:t>
            </w:r>
          </w:p>
        </w:tc>
        <w:tc>
          <w:tcPr>
            <w:tcW w:w="1251" w:type="pct"/>
            <w:noWrap/>
            <w:vAlign w:val="bottom"/>
            <w:hideMark/>
          </w:tcPr>
          <w:p w14:paraId="6691BEB5" w14:textId="77777777" w:rsidR="00133AC8" w:rsidRPr="003730B5" w:rsidRDefault="00133AC8" w:rsidP="008764C5">
            <w:pPr>
              <w:jc w:val="center"/>
              <w:rPr>
                <w:bCs/>
                <w:color w:val="000000"/>
                <w:sz w:val="20"/>
              </w:rPr>
            </w:pPr>
            <w:r w:rsidRPr="003730B5">
              <w:rPr>
                <w:bCs/>
                <w:color w:val="000000"/>
                <w:sz w:val="20"/>
              </w:rPr>
              <w:t>17 168</w:t>
            </w:r>
          </w:p>
        </w:tc>
        <w:tc>
          <w:tcPr>
            <w:tcW w:w="1213" w:type="pct"/>
            <w:noWrap/>
            <w:vAlign w:val="center"/>
            <w:hideMark/>
          </w:tcPr>
          <w:p w14:paraId="004E00A5" w14:textId="77777777" w:rsidR="00133AC8" w:rsidRPr="003730B5" w:rsidRDefault="00133AC8" w:rsidP="008764C5">
            <w:pPr>
              <w:jc w:val="center"/>
              <w:rPr>
                <w:bCs/>
                <w:color w:val="000000"/>
                <w:sz w:val="20"/>
              </w:rPr>
            </w:pPr>
            <w:r w:rsidRPr="003730B5">
              <w:rPr>
                <w:bCs/>
                <w:color w:val="000000"/>
                <w:sz w:val="20"/>
              </w:rPr>
              <w:t>56,2</w:t>
            </w:r>
          </w:p>
        </w:tc>
      </w:tr>
      <w:tr w:rsidR="00133AC8" w:rsidRPr="003730B5" w14:paraId="3173272F" w14:textId="77777777" w:rsidTr="008764C5">
        <w:trPr>
          <w:trHeight w:val="300"/>
        </w:trPr>
        <w:tc>
          <w:tcPr>
            <w:tcW w:w="1284" w:type="pct"/>
            <w:noWrap/>
            <w:vAlign w:val="bottom"/>
            <w:hideMark/>
          </w:tcPr>
          <w:p w14:paraId="5B073DB0" w14:textId="77777777" w:rsidR="00133AC8" w:rsidRPr="003730B5" w:rsidRDefault="00133AC8" w:rsidP="008764C5">
            <w:pPr>
              <w:rPr>
                <w:bCs/>
                <w:color w:val="000000"/>
                <w:sz w:val="20"/>
              </w:rPr>
            </w:pPr>
            <w:r w:rsidRPr="003730B5">
              <w:rPr>
                <w:bCs/>
                <w:color w:val="000000"/>
                <w:sz w:val="20"/>
              </w:rPr>
              <w:t>Liberecký kraj</w:t>
            </w:r>
          </w:p>
        </w:tc>
        <w:tc>
          <w:tcPr>
            <w:tcW w:w="1252" w:type="pct"/>
            <w:noWrap/>
            <w:vAlign w:val="center"/>
            <w:hideMark/>
          </w:tcPr>
          <w:p w14:paraId="3FD66ACB" w14:textId="77777777" w:rsidR="00133AC8" w:rsidRPr="003730B5" w:rsidRDefault="00133AC8" w:rsidP="008764C5">
            <w:pPr>
              <w:jc w:val="center"/>
              <w:rPr>
                <w:bCs/>
                <w:color w:val="000000"/>
                <w:sz w:val="20"/>
              </w:rPr>
            </w:pPr>
            <w:r w:rsidRPr="003730B5">
              <w:rPr>
                <w:bCs/>
                <w:color w:val="000000"/>
                <w:sz w:val="20"/>
              </w:rPr>
              <w:t>4 489</w:t>
            </w:r>
          </w:p>
        </w:tc>
        <w:tc>
          <w:tcPr>
            <w:tcW w:w="1251" w:type="pct"/>
            <w:noWrap/>
            <w:vAlign w:val="bottom"/>
            <w:hideMark/>
          </w:tcPr>
          <w:p w14:paraId="1FCBD021" w14:textId="77777777" w:rsidR="00133AC8" w:rsidRPr="003730B5" w:rsidRDefault="00133AC8" w:rsidP="008764C5">
            <w:pPr>
              <w:jc w:val="center"/>
              <w:rPr>
                <w:bCs/>
                <w:color w:val="000000"/>
                <w:sz w:val="20"/>
              </w:rPr>
            </w:pPr>
            <w:r w:rsidRPr="003730B5">
              <w:rPr>
                <w:bCs/>
                <w:color w:val="000000"/>
                <w:sz w:val="20"/>
              </w:rPr>
              <w:t>15 772</w:t>
            </w:r>
          </w:p>
        </w:tc>
        <w:tc>
          <w:tcPr>
            <w:tcW w:w="1213" w:type="pct"/>
            <w:noWrap/>
            <w:vAlign w:val="center"/>
            <w:hideMark/>
          </w:tcPr>
          <w:p w14:paraId="68FC486B" w14:textId="77777777" w:rsidR="00133AC8" w:rsidRPr="003730B5" w:rsidRDefault="00133AC8" w:rsidP="008764C5">
            <w:pPr>
              <w:jc w:val="center"/>
              <w:rPr>
                <w:bCs/>
                <w:color w:val="000000"/>
                <w:sz w:val="20"/>
              </w:rPr>
            </w:pPr>
            <w:r w:rsidRPr="003730B5">
              <w:rPr>
                <w:bCs/>
                <w:color w:val="000000"/>
                <w:sz w:val="20"/>
              </w:rPr>
              <w:t>28,5</w:t>
            </w:r>
          </w:p>
        </w:tc>
      </w:tr>
      <w:tr w:rsidR="00133AC8" w:rsidRPr="003730B5" w14:paraId="1639D806" w14:textId="77777777" w:rsidTr="008764C5">
        <w:trPr>
          <w:trHeight w:val="300"/>
        </w:trPr>
        <w:tc>
          <w:tcPr>
            <w:tcW w:w="1284" w:type="pct"/>
            <w:noWrap/>
            <w:vAlign w:val="bottom"/>
            <w:hideMark/>
          </w:tcPr>
          <w:p w14:paraId="29B308A6" w14:textId="77777777" w:rsidR="00133AC8" w:rsidRPr="003730B5" w:rsidRDefault="00133AC8" w:rsidP="008764C5">
            <w:pPr>
              <w:rPr>
                <w:bCs/>
                <w:color w:val="000000"/>
                <w:sz w:val="20"/>
              </w:rPr>
            </w:pPr>
            <w:r w:rsidRPr="003730B5">
              <w:rPr>
                <w:bCs/>
                <w:color w:val="000000"/>
                <w:sz w:val="20"/>
              </w:rPr>
              <w:t>Moravskoslezský kraj</w:t>
            </w:r>
          </w:p>
        </w:tc>
        <w:tc>
          <w:tcPr>
            <w:tcW w:w="1252" w:type="pct"/>
            <w:noWrap/>
            <w:vAlign w:val="center"/>
            <w:hideMark/>
          </w:tcPr>
          <w:p w14:paraId="545F8239" w14:textId="77777777" w:rsidR="00133AC8" w:rsidRPr="003730B5" w:rsidRDefault="00133AC8" w:rsidP="008764C5">
            <w:pPr>
              <w:jc w:val="center"/>
              <w:rPr>
                <w:bCs/>
                <w:color w:val="000000"/>
                <w:sz w:val="20"/>
              </w:rPr>
            </w:pPr>
            <w:r w:rsidRPr="003730B5">
              <w:rPr>
                <w:bCs/>
                <w:color w:val="000000"/>
                <w:sz w:val="20"/>
              </w:rPr>
              <w:t>15 523</w:t>
            </w:r>
          </w:p>
        </w:tc>
        <w:tc>
          <w:tcPr>
            <w:tcW w:w="1251" w:type="pct"/>
            <w:noWrap/>
            <w:vAlign w:val="bottom"/>
            <w:hideMark/>
          </w:tcPr>
          <w:p w14:paraId="6F13AE34" w14:textId="77777777" w:rsidR="00133AC8" w:rsidRPr="003730B5" w:rsidRDefault="00133AC8" w:rsidP="008764C5">
            <w:pPr>
              <w:jc w:val="center"/>
              <w:rPr>
                <w:bCs/>
                <w:color w:val="000000"/>
                <w:sz w:val="20"/>
              </w:rPr>
            </w:pPr>
            <w:r w:rsidRPr="003730B5">
              <w:rPr>
                <w:bCs/>
                <w:color w:val="000000"/>
                <w:sz w:val="20"/>
              </w:rPr>
              <w:t>38 295</w:t>
            </w:r>
          </w:p>
        </w:tc>
        <w:tc>
          <w:tcPr>
            <w:tcW w:w="1213" w:type="pct"/>
            <w:noWrap/>
            <w:vAlign w:val="center"/>
            <w:hideMark/>
          </w:tcPr>
          <w:p w14:paraId="610EF780" w14:textId="77777777" w:rsidR="00133AC8" w:rsidRPr="003730B5" w:rsidRDefault="00133AC8" w:rsidP="008764C5">
            <w:pPr>
              <w:jc w:val="center"/>
              <w:rPr>
                <w:bCs/>
                <w:color w:val="000000"/>
                <w:sz w:val="20"/>
              </w:rPr>
            </w:pPr>
            <w:r w:rsidRPr="003730B5">
              <w:rPr>
                <w:bCs/>
                <w:color w:val="000000"/>
                <w:sz w:val="20"/>
              </w:rPr>
              <w:t>40,5</w:t>
            </w:r>
          </w:p>
        </w:tc>
      </w:tr>
      <w:tr w:rsidR="00133AC8" w:rsidRPr="003730B5" w14:paraId="46ABD2BA" w14:textId="77777777" w:rsidTr="008764C5">
        <w:trPr>
          <w:trHeight w:val="300"/>
        </w:trPr>
        <w:tc>
          <w:tcPr>
            <w:tcW w:w="1284" w:type="pct"/>
            <w:noWrap/>
            <w:vAlign w:val="bottom"/>
            <w:hideMark/>
          </w:tcPr>
          <w:p w14:paraId="44210E95" w14:textId="77777777" w:rsidR="00133AC8" w:rsidRPr="003730B5" w:rsidRDefault="00133AC8" w:rsidP="008764C5">
            <w:pPr>
              <w:rPr>
                <w:bCs/>
                <w:color w:val="000000"/>
                <w:sz w:val="20"/>
              </w:rPr>
            </w:pPr>
            <w:r w:rsidRPr="003730B5">
              <w:rPr>
                <w:bCs/>
                <w:color w:val="000000"/>
                <w:sz w:val="20"/>
              </w:rPr>
              <w:t>Olomoucký kraj</w:t>
            </w:r>
          </w:p>
        </w:tc>
        <w:tc>
          <w:tcPr>
            <w:tcW w:w="1252" w:type="pct"/>
            <w:noWrap/>
            <w:vAlign w:val="center"/>
            <w:hideMark/>
          </w:tcPr>
          <w:p w14:paraId="43395101" w14:textId="77777777" w:rsidR="00133AC8" w:rsidRPr="003730B5" w:rsidRDefault="00133AC8" w:rsidP="008764C5">
            <w:pPr>
              <w:jc w:val="center"/>
              <w:rPr>
                <w:bCs/>
                <w:color w:val="000000"/>
                <w:sz w:val="20"/>
              </w:rPr>
            </w:pPr>
            <w:r w:rsidRPr="003730B5">
              <w:rPr>
                <w:bCs/>
                <w:color w:val="000000"/>
                <w:sz w:val="20"/>
              </w:rPr>
              <w:t>5 196</w:t>
            </w:r>
          </w:p>
        </w:tc>
        <w:tc>
          <w:tcPr>
            <w:tcW w:w="1251" w:type="pct"/>
            <w:noWrap/>
            <w:vAlign w:val="bottom"/>
            <w:hideMark/>
          </w:tcPr>
          <w:p w14:paraId="08E57C44" w14:textId="77777777" w:rsidR="00133AC8" w:rsidRPr="003730B5" w:rsidRDefault="00133AC8" w:rsidP="008764C5">
            <w:pPr>
              <w:jc w:val="center"/>
              <w:rPr>
                <w:bCs/>
                <w:color w:val="000000"/>
                <w:sz w:val="20"/>
              </w:rPr>
            </w:pPr>
            <w:r w:rsidRPr="003730B5">
              <w:rPr>
                <w:bCs/>
                <w:color w:val="000000"/>
                <w:sz w:val="20"/>
              </w:rPr>
              <w:t>20 865</w:t>
            </w:r>
          </w:p>
        </w:tc>
        <w:tc>
          <w:tcPr>
            <w:tcW w:w="1213" w:type="pct"/>
            <w:noWrap/>
            <w:vAlign w:val="center"/>
            <w:hideMark/>
          </w:tcPr>
          <w:p w14:paraId="66DCFB91" w14:textId="77777777" w:rsidR="00133AC8" w:rsidRPr="003730B5" w:rsidRDefault="00133AC8" w:rsidP="008764C5">
            <w:pPr>
              <w:jc w:val="center"/>
              <w:rPr>
                <w:bCs/>
                <w:color w:val="000000"/>
                <w:sz w:val="20"/>
              </w:rPr>
            </w:pPr>
            <w:r w:rsidRPr="003730B5">
              <w:rPr>
                <w:bCs/>
                <w:color w:val="000000"/>
                <w:sz w:val="20"/>
              </w:rPr>
              <w:t>24,9</w:t>
            </w:r>
          </w:p>
        </w:tc>
      </w:tr>
      <w:tr w:rsidR="00133AC8" w:rsidRPr="003730B5" w14:paraId="3EC3F437" w14:textId="77777777" w:rsidTr="008764C5">
        <w:trPr>
          <w:trHeight w:val="300"/>
        </w:trPr>
        <w:tc>
          <w:tcPr>
            <w:tcW w:w="1284" w:type="pct"/>
            <w:noWrap/>
            <w:vAlign w:val="bottom"/>
            <w:hideMark/>
          </w:tcPr>
          <w:p w14:paraId="48BFF65F" w14:textId="77777777" w:rsidR="00133AC8" w:rsidRPr="003730B5" w:rsidRDefault="00133AC8" w:rsidP="008764C5">
            <w:pPr>
              <w:rPr>
                <w:bCs/>
                <w:color w:val="000000"/>
                <w:sz w:val="20"/>
              </w:rPr>
            </w:pPr>
            <w:r w:rsidRPr="003730B5">
              <w:rPr>
                <w:bCs/>
                <w:color w:val="000000"/>
                <w:sz w:val="20"/>
              </w:rPr>
              <w:t>Pardubický kraj</w:t>
            </w:r>
          </w:p>
        </w:tc>
        <w:tc>
          <w:tcPr>
            <w:tcW w:w="1252" w:type="pct"/>
            <w:noWrap/>
            <w:vAlign w:val="center"/>
            <w:hideMark/>
          </w:tcPr>
          <w:p w14:paraId="075B7B53" w14:textId="77777777" w:rsidR="00133AC8" w:rsidRPr="003730B5" w:rsidRDefault="00133AC8" w:rsidP="008764C5">
            <w:pPr>
              <w:jc w:val="center"/>
              <w:rPr>
                <w:bCs/>
                <w:color w:val="000000"/>
                <w:sz w:val="20"/>
              </w:rPr>
            </w:pPr>
            <w:r w:rsidRPr="003730B5">
              <w:rPr>
                <w:bCs/>
                <w:color w:val="000000"/>
                <w:sz w:val="20"/>
              </w:rPr>
              <w:t>3 899</w:t>
            </w:r>
          </w:p>
        </w:tc>
        <w:tc>
          <w:tcPr>
            <w:tcW w:w="1251" w:type="pct"/>
            <w:noWrap/>
            <w:vAlign w:val="bottom"/>
            <w:hideMark/>
          </w:tcPr>
          <w:p w14:paraId="5B96C657" w14:textId="77777777" w:rsidR="00133AC8" w:rsidRPr="003730B5" w:rsidRDefault="00133AC8" w:rsidP="008764C5">
            <w:pPr>
              <w:jc w:val="center"/>
              <w:rPr>
                <w:bCs/>
                <w:color w:val="000000"/>
                <w:sz w:val="20"/>
              </w:rPr>
            </w:pPr>
            <w:r w:rsidRPr="003730B5">
              <w:rPr>
                <w:bCs/>
                <w:color w:val="000000"/>
                <w:sz w:val="20"/>
              </w:rPr>
              <w:t>14 421</w:t>
            </w:r>
          </w:p>
        </w:tc>
        <w:tc>
          <w:tcPr>
            <w:tcW w:w="1213" w:type="pct"/>
            <w:noWrap/>
            <w:vAlign w:val="center"/>
            <w:hideMark/>
          </w:tcPr>
          <w:p w14:paraId="4243D15F" w14:textId="77777777" w:rsidR="00133AC8" w:rsidRPr="003730B5" w:rsidRDefault="00133AC8" w:rsidP="008764C5">
            <w:pPr>
              <w:jc w:val="center"/>
              <w:rPr>
                <w:bCs/>
                <w:color w:val="000000"/>
                <w:sz w:val="20"/>
              </w:rPr>
            </w:pPr>
            <w:r w:rsidRPr="003730B5">
              <w:rPr>
                <w:bCs/>
                <w:color w:val="000000"/>
                <w:sz w:val="20"/>
              </w:rPr>
              <w:t>27,0</w:t>
            </w:r>
          </w:p>
        </w:tc>
      </w:tr>
      <w:tr w:rsidR="00133AC8" w:rsidRPr="003730B5" w14:paraId="5A0AC61D" w14:textId="77777777" w:rsidTr="008764C5">
        <w:trPr>
          <w:trHeight w:val="300"/>
        </w:trPr>
        <w:tc>
          <w:tcPr>
            <w:tcW w:w="1284" w:type="pct"/>
            <w:noWrap/>
            <w:vAlign w:val="bottom"/>
            <w:hideMark/>
          </w:tcPr>
          <w:p w14:paraId="7E7CBF7D" w14:textId="77777777" w:rsidR="00133AC8" w:rsidRPr="003730B5" w:rsidRDefault="00133AC8" w:rsidP="008764C5">
            <w:pPr>
              <w:rPr>
                <w:bCs/>
                <w:color w:val="000000"/>
                <w:sz w:val="20"/>
              </w:rPr>
            </w:pPr>
            <w:r w:rsidRPr="003730B5">
              <w:rPr>
                <w:bCs/>
                <w:color w:val="000000"/>
                <w:sz w:val="20"/>
              </w:rPr>
              <w:t>Plzeňský kraj</w:t>
            </w:r>
          </w:p>
        </w:tc>
        <w:tc>
          <w:tcPr>
            <w:tcW w:w="1252" w:type="pct"/>
            <w:noWrap/>
            <w:vAlign w:val="center"/>
            <w:hideMark/>
          </w:tcPr>
          <w:p w14:paraId="12CB12A1" w14:textId="77777777" w:rsidR="00133AC8" w:rsidRPr="003730B5" w:rsidRDefault="00133AC8" w:rsidP="008764C5">
            <w:pPr>
              <w:jc w:val="center"/>
              <w:rPr>
                <w:bCs/>
                <w:color w:val="000000"/>
                <w:sz w:val="20"/>
              </w:rPr>
            </w:pPr>
            <w:r w:rsidRPr="003730B5">
              <w:rPr>
                <w:bCs/>
                <w:color w:val="000000"/>
                <w:sz w:val="20"/>
              </w:rPr>
              <w:t>5 230</w:t>
            </w:r>
          </w:p>
        </w:tc>
        <w:tc>
          <w:tcPr>
            <w:tcW w:w="1251" w:type="pct"/>
            <w:noWrap/>
            <w:vAlign w:val="bottom"/>
            <w:hideMark/>
          </w:tcPr>
          <w:p w14:paraId="1396537A" w14:textId="77777777" w:rsidR="00133AC8" w:rsidRPr="003730B5" w:rsidRDefault="00133AC8" w:rsidP="008764C5">
            <w:pPr>
              <w:jc w:val="center"/>
              <w:rPr>
                <w:bCs/>
                <w:color w:val="000000"/>
                <w:sz w:val="20"/>
              </w:rPr>
            </w:pPr>
            <w:r w:rsidRPr="003730B5">
              <w:rPr>
                <w:bCs/>
                <w:color w:val="000000"/>
                <w:sz w:val="20"/>
              </w:rPr>
              <w:t>19 837</w:t>
            </w:r>
          </w:p>
        </w:tc>
        <w:tc>
          <w:tcPr>
            <w:tcW w:w="1213" w:type="pct"/>
            <w:noWrap/>
            <w:vAlign w:val="center"/>
            <w:hideMark/>
          </w:tcPr>
          <w:p w14:paraId="090D3083" w14:textId="77777777" w:rsidR="00133AC8" w:rsidRPr="003730B5" w:rsidRDefault="00133AC8" w:rsidP="008764C5">
            <w:pPr>
              <w:jc w:val="center"/>
              <w:rPr>
                <w:bCs/>
                <w:color w:val="000000"/>
                <w:sz w:val="20"/>
              </w:rPr>
            </w:pPr>
            <w:r w:rsidRPr="003730B5">
              <w:rPr>
                <w:bCs/>
                <w:color w:val="000000"/>
                <w:sz w:val="20"/>
              </w:rPr>
              <w:t>26,4</w:t>
            </w:r>
          </w:p>
        </w:tc>
      </w:tr>
      <w:tr w:rsidR="00133AC8" w:rsidRPr="003730B5" w14:paraId="5A328A6F" w14:textId="77777777" w:rsidTr="008764C5">
        <w:trPr>
          <w:trHeight w:val="300"/>
        </w:trPr>
        <w:tc>
          <w:tcPr>
            <w:tcW w:w="1284" w:type="pct"/>
            <w:noWrap/>
            <w:vAlign w:val="bottom"/>
            <w:hideMark/>
          </w:tcPr>
          <w:p w14:paraId="6A5F2D09" w14:textId="77777777" w:rsidR="00133AC8" w:rsidRPr="003730B5" w:rsidRDefault="00133AC8" w:rsidP="008764C5">
            <w:pPr>
              <w:rPr>
                <w:bCs/>
                <w:color w:val="000000"/>
                <w:sz w:val="20"/>
              </w:rPr>
            </w:pPr>
            <w:r w:rsidRPr="003730B5">
              <w:rPr>
                <w:bCs/>
                <w:color w:val="000000"/>
                <w:sz w:val="20"/>
              </w:rPr>
              <w:t>Středočeský kraj</w:t>
            </w:r>
          </w:p>
        </w:tc>
        <w:tc>
          <w:tcPr>
            <w:tcW w:w="1252" w:type="pct"/>
            <w:noWrap/>
            <w:vAlign w:val="center"/>
            <w:hideMark/>
          </w:tcPr>
          <w:p w14:paraId="604F9EB0" w14:textId="77777777" w:rsidR="00133AC8" w:rsidRPr="003730B5" w:rsidRDefault="00133AC8" w:rsidP="008764C5">
            <w:pPr>
              <w:jc w:val="center"/>
              <w:rPr>
                <w:bCs/>
                <w:color w:val="000000"/>
                <w:sz w:val="20"/>
              </w:rPr>
            </w:pPr>
            <w:r w:rsidRPr="003730B5">
              <w:rPr>
                <w:bCs/>
                <w:color w:val="000000"/>
                <w:sz w:val="20"/>
              </w:rPr>
              <w:t>11 377</w:t>
            </w:r>
          </w:p>
        </w:tc>
        <w:tc>
          <w:tcPr>
            <w:tcW w:w="1251" w:type="pct"/>
            <w:noWrap/>
            <w:vAlign w:val="bottom"/>
            <w:hideMark/>
          </w:tcPr>
          <w:p w14:paraId="6987BFC5" w14:textId="77777777" w:rsidR="00133AC8" w:rsidRPr="003730B5" w:rsidRDefault="00133AC8" w:rsidP="008764C5">
            <w:pPr>
              <w:jc w:val="center"/>
              <w:rPr>
                <w:bCs/>
                <w:color w:val="000000"/>
                <w:sz w:val="20"/>
              </w:rPr>
            </w:pPr>
            <w:r w:rsidRPr="003730B5">
              <w:rPr>
                <w:bCs/>
                <w:color w:val="000000"/>
                <w:sz w:val="20"/>
              </w:rPr>
              <w:t>39 590</w:t>
            </w:r>
          </w:p>
        </w:tc>
        <w:tc>
          <w:tcPr>
            <w:tcW w:w="1213" w:type="pct"/>
            <w:noWrap/>
            <w:vAlign w:val="center"/>
            <w:hideMark/>
          </w:tcPr>
          <w:p w14:paraId="17D4CFBF" w14:textId="77777777" w:rsidR="00133AC8" w:rsidRPr="003730B5" w:rsidRDefault="00133AC8" w:rsidP="008764C5">
            <w:pPr>
              <w:jc w:val="center"/>
              <w:rPr>
                <w:bCs/>
                <w:color w:val="000000"/>
                <w:sz w:val="20"/>
              </w:rPr>
            </w:pPr>
            <w:r w:rsidRPr="003730B5">
              <w:rPr>
                <w:bCs/>
                <w:color w:val="000000"/>
                <w:sz w:val="20"/>
              </w:rPr>
              <w:t>28,7</w:t>
            </w:r>
          </w:p>
        </w:tc>
      </w:tr>
      <w:tr w:rsidR="00133AC8" w:rsidRPr="003730B5" w14:paraId="5206FFC4" w14:textId="77777777" w:rsidTr="008764C5">
        <w:trPr>
          <w:trHeight w:val="300"/>
        </w:trPr>
        <w:tc>
          <w:tcPr>
            <w:tcW w:w="1284" w:type="pct"/>
            <w:noWrap/>
            <w:vAlign w:val="bottom"/>
            <w:hideMark/>
          </w:tcPr>
          <w:p w14:paraId="5FF59911" w14:textId="77777777" w:rsidR="00133AC8" w:rsidRPr="003730B5" w:rsidRDefault="00133AC8" w:rsidP="008764C5">
            <w:pPr>
              <w:rPr>
                <w:bCs/>
                <w:color w:val="000000"/>
                <w:sz w:val="20"/>
              </w:rPr>
            </w:pPr>
            <w:r w:rsidRPr="003730B5">
              <w:rPr>
                <w:bCs/>
                <w:color w:val="000000"/>
                <w:sz w:val="20"/>
              </w:rPr>
              <w:t>Ústecký kraj</w:t>
            </w:r>
          </w:p>
        </w:tc>
        <w:tc>
          <w:tcPr>
            <w:tcW w:w="1252" w:type="pct"/>
            <w:noWrap/>
            <w:vAlign w:val="center"/>
            <w:hideMark/>
          </w:tcPr>
          <w:p w14:paraId="6BFE0BB9" w14:textId="77777777" w:rsidR="00133AC8" w:rsidRPr="003730B5" w:rsidRDefault="00133AC8" w:rsidP="008764C5">
            <w:pPr>
              <w:jc w:val="center"/>
              <w:rPr>
                <w:bCs/>
                <w:color w:val="000000"/>
                <w:sz w:val="20"/>
              </w:rPr>
            </w:pPr>
            <w:r w:rsidRPr="003730B5">
              <w:rPr>
                <w:bCs/>
                <w:color w:val="000000"/>
                <w:sz w:val="20"/>
              </w:rPr>
              <w:t>12 172</w:t>
            </w:r>
          </w:p>
        </w:tc>
        <w:tc>
          <w:tcPr>
            <w:tcW w:w="1251" w:type="pct"/>
            <w:noWrap/>
            <w:vAlign w:val="bottom"/>
            <w:hideMark/>
          </w:tcPr>
          <w:p w14:paraId="0C149D4A" w14:textId="77777777" w:rsidR="00133AC8" w:rsidRPr="003730B5" w:rsidRDefault="00133AC8" w:rsidP="008764C5">
            <w:pPr>
              <w:jc w:val="center"/>
              <w:rPr>
                <w:bCs/>
                <w:color w:val="000000"/>
                <w:sz w:val="20"/>
              </w:rPr>
            </w:pPr>
            <w:r w:rsidRPr="003730B5">
              <w:rPr>
                <w:bCs/>
                <w:color w:val="000000"/>
                <w:sz w:val="20"/>
              </w:rPr>
              <w:t>29 371</w:t>
            </w:r>
          </w:p>
        </w:tc>
        <w:tc>
          <w:tcPr>
            <w:tcW w:w="1213" w:type="pct"/>
            <w:noWrap/>
            <w:vAlign w:val="center"/>
            <w:hideMark/>
          </w:tcPr>
          <w:p w14:paraId="0DE2D4B6" w14:textId="77777777" w:rsidR="00133AC8" w:rsidRPr="003730B5" w:rsidRDefault="00133AC8" w:rsidP="008764C5">
            <w:pPr>
              <w:jc w:val="center"/>
              <w:rPr>
                <w:bCs/>
                <w:color w:val="000000"/>
                <w:sz w:val="20"/>
              </w:rPr>
            </w:pPr>
            <w:r w:rsidRPr="003730B5">
              <w:rPr>
                <w:bCs/>
                <w:color w:val="000000"/>
                <w:sz w:val="20"/>
              </w:rPr>
              <w:t>41,4</w:t>
            </w:r>
          </w:p>
        </w:tc>
      </w:tr>
      <w:tr w:rsidR="00133AC8" w:rsidRPr="003730B5" w14:paraId="7582C2CA" w14:textId="77777777" w:rsidTr="008764C5">
        <w:trPr>
          <w:trHeight w:val="300"/>
        </w:trPr>
        <w:tc>
          <w:tcPr>
            <w:tcW w:w="1284" w:type="pct"/>
            <w:noWrap/>
            <w:vAlign w:val="bottom"/>
            <w:hideMark/>
          </w:tcPr>
          <w:p w14:paraId="718EDE23" w14:textId="77777777" w:rsidR="00133AC8" w:rsidRPr="003730B5" w:rsidRDefault="00133AC8" w:rsidP="008764C5">
            <w:pPr>
              <w:rPr>
                <w:bCs/>
                <w:color w:val="000000"/>
                <w:sz w:val="20"/>
              </w:rPr>
            </w:pPr>
            <w:r w:rsidRPr="003730B5">
              <w:rPr>
                <w:bCs/>
                <w:color w:val="000000"/>
                <w:sz w:val="20"/>
              </w:rPr>
              <w:t>Kraj Vysočina</w:t>
            </w:r>
          </w:p>
        </w:tc>
        <w:tc>
          <w:tcPr>
            <w:tcW w:w="1252" w:type="pct"/>
            <w:noWrap/>
            <w:vAlign w:val="center"/>
            <w:hideMark/>
          </w:tcPr>
          <w:p w14:paraId="10ECE00D" w14:textId="77777777" w:rsidR="00133AC8" w:rsidRPr="003730B5" w:rsidRDefault="00133AC8" w:rsidP="008764C5">
            <w:pPr>
              <w:jc w:val="center"/>
              <w:rPr>
                <w:bCs/>
                <w:color w:val="000000"/>
                <w:sz w:val="20"/>
              </w:rPr>
            </w:pPr>
            <w:r w:rsidRPr="003730B5">
              <w:rPr>
                <w:bCs/>
                <w:color w:val="000000"/>
                <w:sz w:val="20"/>
              </w:rPr>
              <w:t>4 762</w:t>
            </w:r>
          </w:p>
        </w:tc>
        <w:tc>
          <w:tcPr>
            <w:tcW w:w="1251" w:type="pct"/>
            <w:noWrap/>
            <w:vAlign w:val="bottom"/>
            <w:hideMark/>
          </w:tcPr>
          <w:p w14:paraId="6A5C0599" w14:textId="77777777" w:rsidR="00133AC8" w:rsidRPr="003730B5" w:rsidRDefault="00133AC8" w:rsidP="008764C5">
            <w:pPr>
              <w:jc w:val="center"/>
              <w:rPr>
                <w:bCs/>
                <w:color w:val="000000"/>
                <w:sz w:val="20"/>
              </w:rPr>
            </w:pPr>
            <w:r w:rsidRPr="003730B5">
              <w:rPr>
                <w:bCs/>
                <w:color w:val="000000"/>
                <w:sz w:val="20"/>
              </w:rPr>
              <w:t>18 002</w:t>
            </w:r>
          </w:p>
        </w:tc>
        <w:tc>
          <w:tcPr>
            <w:tcW w:w="1213" w:type="pct"/>
            <w:noWrap/>
            <w:vAlign w:val="center"/>
            <w:hideMark/>
          </w:tcPr>
          <w:p w14:paraId="674FA53B" w14:textId="77777777" w:rsidR="00133AC8" w:rsidRPr="003730B5" w:rsidRDefault="00133AC8" w:rsidP="008764C5">
            <w:pPr>
              <w:jc w:val="center"/>
              <w:rPr>
                <w:bCs/>
                <w:color w:val="000000"/>
                <w:sz w:val="20"/>
              </w:rPr>
            </w:pPr>
            <w:r w:rsidRPr="003730B5">
              <w:rPr>
                <w:bCs/>
                <w:color w:val="000000"/>
                <w:sz w:val="20"/>
              </w:rPr>
              <w:t>26,5</w:t>
            </w:r>
          </w:p>
        </w:tc>
      </w:tr>
      <w:tr w:rsidR="00133AC8" w:rsidRPr="003730B5" w14:paraId="656EC4F2" w14:textId="77777777" w:rsidTr="008764C5">
        <w:trPr>
          <w:trHeight w:val="300"/>
        </w:trPr>
        <w:tc>
          <w:tcPr>
            <w:tcW w:w="1284" w:type="pct"/>
            <w:noWrap/>
            <w:vAlign w:val="bottom"/>
            <w:hideMark/>
          </w:tcPr>
          <w:p w14:paraId="3477B0FA" w14:textId="77777777" w:rsidR="00133AC8" w:rsidRPr="003730B5" w:rsidRDefault="00133AC8" w:rsidP="008764C5">
            <w:pPr>
              <w:rPr>
                <w:bCs/>
                <w:color w:val="000000"/>
                <w:sz w:val="20"/>
              </w:rPr>
            </w:pPr>
            <w:r w:rsidRPr="003730B5">
              <w:rPr>
                <w:bCs/>
                <w:color w:val="000000"/>
                <w:sz w:val="20"/>
              </w:rPr>
              <w:t>Zlínský kraj</w:t>
            </w:r>
          </w:p>
        </w:tc>
        <w:tc>
          <w:tcPr>
            <w:tcW w:w="1252" w:type="pct"/>
            <w:noWrap/>
            <w:vAlign w:val="center"/>
            <w:hideMark/>
          </w:tcPr>
          <w:p w14:paraId="6ECD2861" w14:textId="77777777" w:rsidR="00133AC8" w:rsidRPr="003730B5" w:rsidRDefault="00133AC8" w:rsidP="008764C5">
            <w:pPr>
              <w:jc w:val="center"/>
              <w:rPr>
                <w:bCs/>
                <w:color w:val="000000"/>
                <w:sz w:val="20"/>
              </w:rPr>
            </w:pPr>
            <w:r w:rsidRPr="003730B5">
              <w:rPr>
                <w:bCs/>
                <w:color w:val="000000"/>
                <w:sz w:val="20"/>
              </w:rPr>
              <w:t>2 385</w:t>
            </w:r>
          </w:p>
        </w:tc>
        <w:tc>
          <w:tcPr>
            <w:tcW w:w="1251" w:type="pct"/>
            <w:noWrap/>
            <w:vAlign w:val="bottom"/>
            <w:hideMark/>
          </w:tcPr>
          <w:p w14:paraId="4F930EF8" w14:textId="77777777" w:rsidR="00133AC8" w:rsidRPr="003730B5" w:rsidRDefault="00133AC8" w:rsidP="008764C5">
            <w:pPr>
              <w:jc w:val="center"/>
              <w:rPr>
                <w:bCs/>
                <w:color w:val="000000"/>
                <w:sz w:val="20"/>
              </w:rPr>
            </w:pPr>
            <w:r w:rsidRPr="003730B5">
              <w:rPr>
                <w:bCs/>
                <w:color w:val="000000"/>
                <w:sz w:val="20"/>
              </w:rPr>
              <w:t>13 554</w:t>
            </w:r>
          </w:p>
        </w:tc>
        <w:tc>
          <w:tcPr>
            <w:tcW w:w="1213" w:type="pct"/>
            <w:noWrap/>
            <w:vAlign w:val="center"/>
            <w:hideMark/>
          </w:tcPr>
          <w:p w14:paraId="57B21224" w14:textId="77777777" w:rsidR="00133AC8" w:rsidRPr="003730B5" w:rsidRDefault="00133AC8" w:rsidP="008764C5">
            <w:pPr>
              <w:jc w:val="center"/>
              <w:rPr>
                <w:bCs/>
                <w:color w:val="000000"/>
                <w:sz w:val="20"/>
              </w:rPr>
            </w:pPr>
            <w:r w:rsidRPr="003730B5">
              <w:rPr>
                <w:bCs/>
                <w:color w:val="000000"/>
                <w:sz w:val="20"/>
              </w:rPr>
              <w:t>17,6</w:t>
            </w:r>
          </w:p>
        </w:tc>
      </w:tr>
      <w:tr w:rsidR="00133AC8" w:rsidRPr="003730B5" w14:paraId="5E099064" w14:textId="77777777" w:rsidTr="008764C5">
        <w:trPr>
          <w:trHeight w:val="315"/>
        </w:trPr>
        <w:tc>
          <w:tcPr>
            <w:tcW w:w="1284" w:type="pct"/>
            <w:shd w:val="clear" w:color="auto" w:fill="DEEAF6"/>
            <w:noWrap/>
            <w:vAlign w:val="bottom"/>
            <w:hideMark/>
          </w:tcPr>
          <w:p w14:paraId="658657E5" w14:textId="77777777" w:rsidR="00133AC8" w:rsidRPr="003730B5" w:rsidRDefault="00133AC8" w:rsidP="008764C5">
            <w:pPr>
              <w:rPr>
                <w:bCs/>
                <w:color w:val="000000"/>
                <w:sz w:val="20"/>
              </w:rPr>
            </w:pPr>
            <w:r w:rsidRPr="003730B5">
              <w:rPr>
                <w:bCs/>
                <w:color w:val="000000"/>
                <w:sz w:val="20"/>
              </w:rPr>
              <w:t>Celkový součet</w:t>
            </w:r>
          </w:p>
        </w:tc>
        <w:tc>
          <w:tcPr>
            <w:tcW w:w="1252" w:type="pct"/>
            <w:shd w:val="clear" w:color="auto" w:fill="DEEAF6"/>
            <w:noWrap/>
            <w:vAlign w:val="center"/>
            <w:hideMark/>
          </w:tcPr>
          <w:p w14:paraId="6DE6E02E" w14:textId="77777777" w:rsidR="00133AC8" w:rsidRPr="003730B5" w:rsidRDefault="00133AC8" w:rsidP="008764C5">
            <w:pPr>
              <w:jc w:val="center"/>
              <w:rPr>
                <w:bCs/>
                <w:color w:val="000000"/>
                <w:sz w:val="20"/>
              </w:rPr>
            </w:pPr>
            <w:r w:rsidRPr="003730B5">
              <w:rPr>
                <w:bCs/>
                <w:color w:val="000000"/>
                <w:sz w:val="20"/>
              </w:rPr>
              <w:t>108 405</w:t>
            </w:r>
          </w:p>
        </w:tc>
        <w:tc>
          <w:tcPr>
            <w:tcW w:w="1251" w:type="pct"/>
            <w:shd w:val="clear" w:color="auto" w:fill="DEEAF6"/>
            <w:noWrap/>
            <w:vAlign w:val="center"/>
            <w:hideMark/>
          </w:tcPr>
          <w:p w14:paraId="4D332571" w14:textId="77777777" w:rsidR="00133AC8" w:rsidRPr="003730B5" w:rsidRDefault="00133AC8" w:rsidP="008764C5">
            <w:pPr>
              <w:jc w:val="center"/>
              <w:rPr>
                <w:bCs/>
                <w:color w:val="000000"/>
                <w:sz w:val="20"/>
              </w:rPr>
            </w:pPr>
            <w:r w:rsidRPr="003730B5">
              <w:rPr>
                <w:bCs/>
                <w:color w:val="000000"/>
                <w:sz w:val="20"/>
              </w:rPr>
              <w:t>365 071</w:t>
            </w:r>
          </w:p>
        </w:tc>
        <w:tc>
          <w:tcPr>
            <w:tcW w:w="1213" w:type="pct"/>
            <w:shd w:val="clear" w:color="auto" w:fill="DEEAF6"/>
            <w:noWrap/>
            <w:vAlign w:val="center"/>
            <w:hideMark/>
          </w:tcPr>
          <w:p w14:paraId="3E304D12" w14:textId="77777777" w:rsidR="00133AC8" w:rsidRPr="003730B5" w:rsidRDefault="00133AC8" w:rsidP="008764C5">
            <w:pPr>
              <w:jc w:val="center"/>
              <w:rPr>
                <w:bCs/>
                <w:color w:val="000000"/>
                <w:sz w:val="20"/>
              </w:rPr>
            </w:pPr>
            <w:r w:rsidRPr="003730B5">
              <w:rPr>
                <w:bCs/>
                <w:color w:val="000000"/>
                <w:sz w:val="20"/>
              </w:rPr>
              <w:t> 29,7</w:t>
            </w:r>
          </w:p>
        </w:tc>
      </w:tr>
    </w:tbl>
    <w:p w14:paraId="2FF538E7" w14:textId="1C0A07B5" w:rsidR="00133AC8" w:rsidRPr="003730B5" w:rsidRDefault="00133AC8" w:rsidP="00133AC8">
      <w:pPr>
        <w:widowControl w:val="0"/>
        <w:autoSpaceDE w:val="0"/>
        <w:autoSpaceDN w:val="0"/>
        <w:adjustRightInd w:val="0"/>
        <w:spacing w:before="120" w:after="120"/>
        <w:rPr>
          <w:bCs/>
          <w:szCs w:val="24"/>
        </w:rPr>
      </w:pPr>
      <w:r w:rsidRPr="003730B5">
        <w:rPr>
          <w:bCs/>
          <w:szCs w:val="24"/>
        </w:rPr>
        <w:t xml:space="preserve">Kromě justičních pohledávek vymáhaných soudy, státními zastupitelstvími a Vězeňskou službou vznikají v resortu justice pohledávky z pokut za přestupky ukládaných Ministerstvem spravedlnosti jako správním orgánem v souvislosti s výkonem právnických a dalších souvisejících profesí. Jde o pokuty podle zákona č. 358/1992 Sb., o notářích a jejich činnosti (notářský řád), </w:t>
      </w:r>
      <w:r w:rsidR="000C744B" w:rsidRPr="003730B5">
        <w:rPr>
          <w:bCs/>
          <w:szCs w:val="24"/>
        </w:rPr>
        <w:t xml:space="preserve">ve znění pozdějších předpisů, </w:t>
      </w:r>
      <w:r w:rsidRPr="003730B5">
        <w:rPr>
          <w:bCs/>
          <w:szCs w:val="24"/>
        </w:rPr>
        <w:t xml:space="preserve">zákona č. 85/1996 Sb., o advokacii, </w:t>
      </w:r>
      <w:r w:rsidR="000C744B" w:rsidRPr="003730B5">
        <w:rPr>
          <w:bCs/>
          <w:szCs w:val="24"/>
        </w:rPr>
        <w:t>ve znění pozdějších předpisů,</w:t>
      </w:r>
      <w:r w:rsidR="000C744B" w:rsidRPr="003730B5" w:rsidDel="00BA5C9A">
        <w:rPr>
          <w:bCs/>
          <w:szCs w:val="24"/>
        </w:rPr>
        <w:t xml:space="preserve"> </w:t>
      </w:r>
      <w:r w:rsidRPr="003730B5">
        <w:rPr>
          <w:bCs/>
          <w:szCs w:val="24"/>
        </w:rPr>
        <w:t>insolvenční</w:t>
      </w:r>
      <w:r w:rsidR="00BA5C9A" w:rsidRPr="003730B5">
        <w:rPr>
          <w:bCs/>
          <w:szCs w:val="24"/>
        </w:rPr>
        <w:t>ho</w:t>
      </w:r>
      <w:r w:rsidRPr="003730B5">
        <w:rPr>
          <w:bCs/>
          <w:szCs w:val="24"/>
        </w:rPr>
        <w:t xml:space="preserve"> zákon</w:t>
      </w:r>
      <w:r w:rsidR="00BA5C9A" w:rsidRPr="003730B5">
        <w:rPr>
          <w:bCs/>
          <w:szCs w:val="24"/>
        </w:rPr>
        <w:t>a</w:t>
      </w:r>
      <w:r w:rsidRPr="003730B5">
        <w:rPr>
          <w:bCs/>
          <w:szCs w:val="24"/>
        </w:rPr>
        <w:t xml:space="preserve">, zákona o insolvenčních správcích, zákona č. 354/2019 Sb., o soudních tlumočnících a překladatelích, </w:t>
      </w:r>
      <w:r w:rsidR="000C744B" w:rsidRPr="003730B5">
        <w:rPr>
          <w:bCs/>
          <w:szCs w:val="24"/>
        </w:rPr>
        <w:t xml:space="preserve">ve znění pozdějších předpisů, </w:t>
      </w:r>
      <w:r w:rsidRPr="003730B5">
        <w:rPr>
          <w:bCs/>
          <w:szCs w:val="24"/>
        </w:rPr>
        <w:t>a zákona č. 254/2019 Sb., o znalcích, znaleckých kancelářích a znaleckých ústavech</w:t>
      </w:r>
      <w:r w:rsidR="000C744B" w:rsidRPr="003730B5">
        <w:rPr>
          <w:bCs/>
          <w:szCs w:val="24"/>
        </w:rPr>
        <w:t>, ve znění pozdějších předpisů</w:t>
      </w:r>
      <w:r w:rsidRPr="003730B5">
        <w:rPr>
          <w:bCs/>
          <w:szCs w:val="24"/>
        </w:rPr>
        <w:t xml:space="preserve">. Pokuty za přestupky má Ministerstvo spravedlnosti ukládat také podle </w:t>
      </w:r>
      <w:r w:rsidRPr="003730B5">
        <w:rPr>
          <w:bCs/>
          <w:szCs w:val="24"/>
        </w:rPr>
        <w:lastRenderedPageBreak/>
        <w:t>návrhu zákona o preventivní restrukturalizaci, který je projednáván jako sněmovní tisk 371 v 9. volebním období.</w:t>
      </w:r>
    </w:p>
    <w:p w14:paraId="6D94B0F6" w14:textId="617F0C7D" w:rsidR="00133AC8" w:rsidRPr="003730B5" w:rsidRDefault="00133AC8" w:rsidP="00133AC8">
      <w:pPr>
        <w:widowControl w:val="0"/>
        <w:autoSpaceDE w:val="0"/>
        <w:autoSpaceDN w:val="0"/>
        <w:adjustRightInd w:val="0"/>
        <w:spacing w:after="120"/>
        <w:rPr>
          <w:bCs/>
          <w:szCs w:val="24"/>
        </w:rPr>
      </w:pPr>
      <w:r w:rsidRPr="003730B5">
        <w:rPr>
          <w:bCs/>
          <w:szCs w:val="24"/>
        </w:rPr>
        <w:t>Pro exekuci, vybírání a evidenci pokut ukládaných Ministerstvem spravedlnosti jako správním orgánem se podle § 106 odst. 3 zákona č. 500/2004 Sb., správní řád</w:t>
      </w:r>
      <w:r w:rsidR="000C744B" w:rsidRPr="003730B5">
        <w:rPr>
          <w:bCs/>
          <w:szCs w:val="24"/>
        </w:rPr>
        <w:t xml:space="preserve">, ve znění pozdějších předpisů (dále </w:t>
      </w:r>
      <w:r w:rsidR="00C83506" w:rsidRPr="003730B5">
        <w:rPr>
          <w:bCs/>
          <w:szCs w:val="24"/>
        </w:rPr>
        <w:t>též</w:t>
      </w:r>
      <w:r w:rsidR="000C744B" w:rsidRPr="003730B5">
        <w:rPr>
          <w:bCs/>
          <w:szCs w:val="24"/>
        </w:rPr>
        <w:t xml:space="preserve"> „správní řád“)</w:t>
      </w:r>
      <w:r w:rsidRPr="003730B5">
        <w:rPr>
          <w:bCs/>
          <w:szCs w:val="24"/>
        </w:rPr>
        <w:t xml:space="preserve">, uplatní postup pro správu daní. Podle § 8 odst. 2 zákona o Celní správě České republiky, platí, že celní úřad je obecným správcem daně podle správního řádu a vykonává správu placení peněžitých plnění v rámci dělené správy, která jsou příjmem státního rozpočtu, státních fondů nebo rozpočtů územních samosprávných celků. Obecný správce daně, tedy celní úřad, je zásadně exekučním správním orgánem při exekuci na peněžitá plnění podle § 106 odst. 1 správního řádu. </w:t>
      </w:r>
    </w:p>
    <w:p w14:paraId="7C55AC4C" w14:textId="77777777" w:rsidR="00133AC8" w:rsidRPr="003730B5" w:rsidRDefault="00133AC8" w:rsidP="00133AC8">
      <w:pPr>
        <w:widowControl w:val="0"/>
        <w:autoSpaceDE w:val="0"/>
        <w:autoSpaceDN w:val="0"/>
        <w:adjustRightInd w:val="0"/>
        <w:spacing w:after="120"/>
        <w:rPr>
          <w:bCs/>
          <w:szCs w:val="24"/>
        </w:rPr>
      </w:pPr>
      <w:r w:rsidRPr="003730B5">
        <w:rPr>
          <w:bCs/>
          <w:szCs w:val="24"/>
        </w:rPr>
        <w:t xml:space="preserve">Orgány Celní správy České republiky prostřednictvím celních úřadů jako obecných správců daně již v současnosti vymáhají pokuty za přestupky ukládané Ministerstvem spravedlnosti podle notářského řádu, zákona o advokacii, zákona o soudních tlumočnících a překladatelích a zákona o znalcích, znaleckých kancelářích a znaleckých ústavech. Insolvenční zákon, zákon o insolvenčních správcích a návrh zákona o preventivní restrukturalizaci naopak jako </w:t>
      </w:r>
      <w:r w:rsidRPr="003730B5">
        <w:rPr>
          <w:bCs/>
          <w:i/>
          <w:iCs/>
          <w:szCs w:val="24"/>
        </w:rPr>
        <w:t>lex specialis</w:t>
      </w:r>
      <w:r w:rsidRPr="003730B5">
        <w:rPr>
          <w:bCs/>
          <w:szCs w:val="24"/>
        </w:rPr>
        <w:t xml:space="preserve"> stanoví, že pokuty ukládané podle těchto zákonů vybírá a vymáhá Ministerstvo spravedlnosti. </w:t>
      </w:r>
    </w:p>
    <w:p w14:paraId="7DBFE534" w14:textId="77777777" w:rsidR="00133AC8" w:rsidRPr="003730B5" w:rsidRDefault="00133AC8" w:rsidP="00133AC8">
      <w:pPr>
        <w:widowControl w:val="0"/>
        <w:autoSpaceDE w:val="0"/>
        <w:autoSpaceDN w:val="0"/>
        <w:adjustRightInd w:val="0"/>
        <w:spacing w:after="120"/>
        <w:rPr>
          <w:bCs/>
          <w:szCs w:val="24"/>
        </w:rPr>
      </w:pPr>
      <w:r w:rsidRPr="003730B5">
        <w:rPr>
          <w:bCs/>
          <w:szCs w:val="24"/>
        </w:rPr>
        <w:t xml:space="preserve">V rámci zavedení příslušnosti celního úřadu k vymáhání justičních pohledávek, jejichž správa placení se řídí daňovým řádem, se navrhuje také sjednocení příslušnosti k vymáhání pokut ukládaných Ministerstvem spravedlnosti, tedy zavedení příslušnosti celního úřadu k vymáhání také těch pokut, které doposud vymáhá Ministerstvo spravedlnosti. </w:t>
      </w:r>
    </w:p>
    <w:p w14:paraId="45C8F6FF" w14:textId="620F058E" w:rsidR="00133AC8" w:rsidRPr="003730B5" w:rsidRDefault="00133AC8" w:rsidP="00133AC8">
      <w:pPr>
        <w:widowControl w:val="0"/>
        <w:autoSpaceDE w:val="0"/>
        <w:autoSpaceDN w:val="0"/>
        <w:adjustRightInd w:val="0"/>
        <w:spacing w:after="120"/>
        <w:rPr>
          <w:bCs/>
          <w:szCs w:val="24"/>
        </w:rPr>
      </w:pPr>
      <w:r w:rsidRPr="003730B5">
        <w:rPr>
          <w:bCs/>
          <w:szCs w:val="24"/>
        </w:rPr>
        <w:t xml:space="preserve">Není věcného důvodu pro stanovení odlišné příslušnosti k vymáhání pokut ukládaných Ministerstvem spravedlnosti za přestupky v souvislosti s výkonem jedné právnické profese a pokut ukládaných stejným správním orgánem v souvislosti s výkonem právnické profese jiné. Navrhuje se proto zavést kompetenční dělenou správu také pro pohledávky z pokut za přestupky podle insolvenčního zákona, zákona o insolvenčních správcích a návrhu zákona o preventivní restrukturalizaci, kdy Ministerstvo spravedlnosti zůstane příslušné k vybrání pokuty přijetím dobrovolné platby a k vymáhání </w:t>
      </w:r>
      <w:r w:rsidR="000C744B" w:rsidRPr="003730B5">
        <w:rPr>
          <w:bCs/>
          <w:szCs w:val="24"/>
        </w:rPr>
        <w:t xml:space="preserve">orgány </w:t>
      </w:r>
      <w:r w:rsidRPr="003730B5">
        <w:rPr>
          <w:bCs/>
          <w:szCs w:val="24"/>
        </w:rPr>
        <w:t xml:space="preserve">Celní správy České republiky dojde při nesplnění platební povinnosti. </w:t>
      </w:r>
    </w:p>
    <w:p w14:paraId="49B87F42" w14:textId="7554F2DF" w:rsidR="00133AC8" w:rsidRPr="003730B5" w:rsidRDefault="00133AC8" w:rsidP="00133AC8">
      <w:pPr>
        <w:widowControl w:val="0"/>
        <w:autoSpaceDE w:val="0"/>
        <w:autoSpaceDN w:val="0"/>
        <w:adjustRightInd w:val="0"/>
        <w:spacing w:after="120"/>
        <w:rPr>
          <w:bCs/>
          <w:szCs w:val="24"/>
        </w:rPr>
      </w:pPr>
      <w:r w:rsidRPr="003730B5">
        <w:rPr>
          <w:bCs/>
          <w:szCs w:val="24"/>
        </w:rPr>
        <w:t xml:space="preserve">K 31. 12. 2022 činil objem daňových pohledávek Ministerstva spravedlnosti, které by byly předávány </w:t>
      </w:r>
      <w:r w:rsidR="000C744B" w:rsidRPr="003730B5">
        <w:rPr>
          <w:bCs/>
          <w:szCs w:val="24"/>
        </w:rPr>
        <w:t xml:space="preserve">orgánům </w:t>
      </w:r>
      <w:r w:rsidRPr="003730B5">
        <w:rPr>
          <w:bCs/>
          <w:szCs w:val="24"/>
        </w:rPr>
        <w:t>Celní správy České republiky k vymáhání, 3 654 990 Kč. Ve srovnání s daňovými justičními pohledávkami jde o v zásadě zanedbatelný objem.</w:t>
      </w:r>
    </w:p>
    <w:p w14:paraId="45F6F306" w14:textId="77777777" w:rsidR="00133AC8" w:rsidRPr="003730B5" w:rsidRDefault="00133AC8" w:rsidP="00133AC8">
      <w:pPr>
        <w:widowControl w:val="0"/>
        <w:autoSpaceDE w:val="0"/>
        <w:autoSpaceDN w:val="0"/>
        <w:adjustRightInd w:val="0"/>
        <w:spacing w:after="120"/>
      </w:pPr>
      <w:r w:rsidRPr="003730B5">
        <w:t>Na straně státního rozpočtu tak dojde díky zefektivnění k úspoře v podobě personálních a souvisejících nákladů v rezortu Ministerstva spravedlnosti při současném dílčím navýšení personálních a souvisejících nákladů v rezortu Ministerstva financí, pod které orgány Celní správy České republiky spadají.</w:t>
      </w:r>
    </w:p>
    <w:p w14:paraId="2DD6042C" w14:textId="2BA187B4" w:rsidR="00133AC8" w:rsidRPr="003730B5" w:rsidRDefault="00133AC8" w:rsidP="00133AC8">
      <w:pPr>
        <w:widowControl w:val="0"/>
        <w:spacing w:after="120"/>
        <w:outlineLvl w:val="2"/>
        <w:rPr>
          <w:b/>
        </w:rPr>
      </w:pPr>
      <w:r w:rsidRPr="003730B5">
        <w:rPr>
          <w:b/>
        </w:rPr>
        <w:t>K čl. </w:t>
      </w:r>
      <w:r w:rsidR="00B16ED6" w:rsidRPr="003730B5">
        <w:rPr>
          <w:b/>
        </w:rPr>
        <w:t>I</w:t>
      </w:r>
    </w:p>
    <w:p w14:paraId="066AE168" w14:textId="56EFF6A9" w:rsidR="00133AC8" w:rsidRPr="003730B5" w:rsidRDefault="00874289" w:rsidP="00A24C00">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xml:space="preserve">K bodu 1 </w:t>
      </w:r>
      <w:r w:rsidR="00133AC8" w:rsidRPr="003730B5">
        <w:rPr>
          <w:rFonts w:ascii="Times New Roman" w:hAnsi="Times New Roman"/>
          <w:color w:val="auto"/>
          <w:sz w:val="24"/>
          <w:szCs w:val="24"/>
        </w:rPr>
        <w:t>(§ 12 odst. 2 písm. d) bod 3)</w:t>
      </w:r>
    </w:p>
    <w:p w14:paraId="4D5608F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rámci vymezení působnosti pověřených celních orgánů k prověřování skutečnosti, že došlo ke spáchání trestného činu, se navrhuje rozšíření této působnosti také na oblast daně z hazardních her. Pověřené celní orgány již v současnosti vykonávají tuto působnost ve vztahu k trestným činům spáchaným porušením zákona o hazardních hrách. Uvedené vychází ze skutečnosti, že orgány Celní správy České republiky vykonávají dozor nad oblastí legálního hazardu (od roku 2019 včetně online provozovaných her) a projednávají také související přestupky. Pověřené celní oprány mají následně pravomoc rovněž prověřovat podezření ze spáchání trestného činu neoprávněné provozování hazardní hry podle § 252 trestního zákoníku, </w:t>
      </w:r>
      <w:r w:rsidRPr="003730B5">
        <w:rPr>
          <w:rFonts w:ascii="Times New Roman" w:hAnsi="Times New Roman"/>
          <w:color w:val="auto"/>
          <w:sz w:val="24"/>
        </w:rPr>
        <w:lastRenderedPageBreak/>
        <w:t>a také trestného činu provozování nepoctivých her a sázek podle § 213 trestního zákoníku. Nicméně pověřené celní orgány nyní nemají kompetenci prověřovat podezření u trestných činů spojených s krácením či neodvedením daně z hazardních her, přestože disponují poznatky z této oblasti (v praxi dochází často k souběžnému a provázanému spáchání trestných činů z obou uvedených oblastí týkajících se problematiky hazardních her). Pouze částečná působnost pověřeného celního orgánu zde prověřování, zda došlo ke spáchání trestného činu, logicky komplikuje. Uvedená změna je rovněž koncepční v tom smyslu, že působnost pověřeného celního orgánu již v současnosti velkou část daňové oblasti zahrnuje (především oblasti spotřebních daní a daně z přidané hodnoty). Předmětná změna je výsledkem společného závěru mezirezortní pracovní skupiny tvořené zástupci Ministerstva vnitra, Ministerstva financí, Ministerstva spravedlnosti, Policie České republiky, Celní správy České republiky, Finanční správy České republiky a Nejvyššího státního zastupitelství. V případě nově rozšířené působnosti se bude jednat o sdílenou kompetenci s Policií České republiky, podobně jako u prověřování jiných daňových trestných činů, kde již pověřené celní orgány možností prověřovat podezření na jejich spáchání disponují. Rozšíření působnosti nezakládá potřebu nových systemizovaných míst v rámci Celní správy České republiky.</w:t>
      </w:r>
    </w:p>
    <w:p w14:paraId="78A25EFD" w14:textId="62E12C3C" w:rsidR="00133AC8" w:rsidRPr="003730B5" w:rsidRDefault="00874289" w:rsidP="00A24C00">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2</w:t>
      </w:r>
      <w:r w:rsidR="00133AC8" w:rsidRPr="003730B5">
        <w:rPr>
          <w:rFonts w:ascii="Times New Roman" w:hAnsi="Times New Roman"/>
          <w:color w:val="auto"/>
          <w:sz w:val="24"/>
          <w:szCs w:val="24"/>
        </w:rPr>
        <w:t> (§ 156)</w:t>
      </w:r>
    </w:p>
    <w:p w14:paraId="082314C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Dochází k vypuštění možnosti platby peněžitého plnění kolkovými známkami podle daňového řádu. V podrobnostech lze odkázat na odůvodnění novely daňového řádu.</w:t>
      </w:r>
    </w:p>
    <w:p w14:paraId="44E03244" w14:textId="1EE82127" w:rsidR="00133AC8" w:rsidRPr="003730B5" w:rsidRDefault="00874289" w:rsidP="00A24C00">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3</w:t>
      </w:r>
      <w:r w:rsidR="00133AC8" w:rsidRPr="003730B5">
        <w:rPr>
          <w:rFonts w:ascii="Times New Roman" w:hAnsi="Times New Roman"/>
          <w:color w:val="auto"/>
          <w:sz w:val="24"/>
          <w:szCs w:val="24"/>
        </w:rPr>
        <w:t> (§ 343 odst. 4)</w:t>
      </w:r>
    </w:p>
    <w:p w14:paraId="67F521B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Při správě placení peněžitého trestu se postupuje podle daňového řádu. Trestní řád však upravuje odklad výkonu tohoto trestu i možnosti jeho rozložení do splátek. Navrhuje se tedy výslovně vyloučit aplikaci ustanovení o posečkání daně a rozložení její úhrady na splátky, což jsou instituty plnící obdobný účel. Není žádoucí umožnit odklad či rozložení peněžitého trestu jak podle trestního řádu, tak podle daňového řádu, neboť tím by docházelo k oslabování účinku peněžitého trestu jako sankce.</w:t>
      </w:r>
    </w:p>
    <w:p w14:paraId="421C0AA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souladu s obecnou částí důvodové zprávy se zároveň stanovuje, že k vymáhání peněžitého trestu bude napříště příslušný celní úřad.</w:t>
      </w:r>
    </w:p>
    <w:p w14:paraId="48D09A74" w14:textId="1BD2FA36" w:rsidR="00133AC8" w:rsidRPr="003730B5" w:rsidRDefault="00874289" w:rsidP="00A24C00">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4</w:t>
      </w:r>
      <w:r w:rsidR="00133AC8" w:rsidRPr="003730B5">
        <w:rPr>
          <w:rFonts w:ascii="Times New Roman" w:hAnsi="Times New Roman"/>
          <w:color w:val="auto"/>
          <w:sz w:val="24"/>
          <w:szCs w:val="24"/>
        </w:rPr>
        <w:t> (§ 343a)</w:t>
      </w:r>
    </w:p>
    <w:p w14:paraId="05C2376D" w14:textId="427AD8CD"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Stanovuje se povinnost vzájemné výměny informací nezbytných pro výkon uloženého peněžitého trestu mezi soudy a celními úřady. Skutečnostmi podstatnými pro placení peněžitého trestu mohou být i jiné skutečnosti než skutečnosti v zákoně pouze demonstrativně uvedené – jsou jimi např. informace o uložené milosti, amnestii, informace o zaslání rozhodnutí soudu do jiného členského státu za účelem jeho uznání a výkonu podle § 276 </w:t>
      </w:r>
      <w:r w:rsidR="00C75037"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C75037" w:rsidRPr="003730B5">
        <w:rPr>
          <w:rFonts w:ascii="Times New Roman" w:hAnsi="Times New Roman"/>
          <w:color w:val="auto"/>
          <w:sz w:val="24"/>
        </w:rPr>
        <w:t>mezinárodní justiční spolupráci ve věcech trestních</w:t>
      </w:r>
      <w:r w:rsidRPr="003730B5">
        <w:rPr>
          <w:rFonts w:ascii="Times New Roman" w:hAnsi="Times New Roman"/>
          <w:color w:val="auto"/>
          <w:sz w:val="24"/>
        </w:rPr>
        <w:t>, rozhodnutí o nahrazení peněžitého opatření obecně prospěšnou činností v rámci probačního programu podle § 27 odst. 5 zákona č. 218/2003 Sb., o soudnictví ve věcech mládeže,</w:t>
      </w:r>
      <w:r w:rsidR="00C1054C" w:rsidRPr="003730B5">
        <w:rPr>
          <w:rFonts w:ascii="Times New Roman" w:hAnsi="Times New Roman"/>
          <w:color w:val="auto"/>
          <w:sz w:val="24"/>
        </w:rPr>
        <w:t xml:space="preserve"> ve znění pozdějších předpisů,</w:t>
      </w:r>
      <w:r w:rsidRPr="003730B5">
        <w:rPr>
          <w:rFonts w:ascii="Times New Roman" w:hAnsi="Times New Roman"/>
          <w:color w:val="auto"/>
          <w:sz w:val="24"/>
        </w:rPr>
        <w:t xml:space="preserve"> apod. Informační toky směrem k soudům jsou pak nezbytné pro možné reakce soudu v rámci vykonávacího řízení (tato obligatorní informační povinnost tedy představuje určitou věcně odůvodnitelnou odchylku od obecného ustanovení § 162 odst. 4 daňového řádu). Ustanovení § 162 odst. 4 daňového řádu, podle kterého celní úřad poskytne na dožádání soudu, který uložil peněžitý trest, informace o jeho placení, tím není dotčeno a uplatní se i vedle § 343a odst. 3 tr</w:t>
      </w:r>
      <w:r w:rsidR="00C75037" w:rsidRPr="003730B5">
        <w:rPr>
          <w:rFonts w:ascii="Times New Roman" w:hAnsi="Times New Roman"/>
          <w:color w:val="auto"/>
          <w:sz w:val="24"/>
        </w:rPr>
        <w:t>estního</w:t>
      </w:r>
      <w:r w:rsidRPr="003730B5">
        <w:rPr>
          <w:rFonts w:ascii="Times New Roman" w:hAnsi="Times New Roman"/>
          <w:color w:val="auto"/>
          <w:sz w:val="24"/>
        </w:rPr>
        <w:t xml:space="preserve"> ř</w:t>
      </w:r>
      <w:r w:rsidR="00C75037" w:rsidRPr="003730B5">
        <w:rPr>
          <w:rFonts w:ascii="Times New Roman" w:hAnsi="Times New Roman"/>
          <w:color w:val="auto"/>
          <w:sz w:val="24"/>
        </w:rPr>
        <w:t>ádu</w:t>
      </w:r>
      <w:r w:rsidRPr="003730B5">
        <w:rPr>
          <w:rFonts w:ascii="Times New Roman" w:hAnsi="Times New Roman"/>
          <w:color w:val="auto"/>
          <w:sz w:val="24"/>
        </w:rPr>
        <w:t>.</w:t>
      </w:r>
    </w:p>
    <w:p w14:paraId="06D4F790" w14:textId="434C7454" w:rsidR="00133AC8" w:rsidRPr="003730B5" w:rsidRDefault="00874289" w:rsidP="00A24C00">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5</w:t>
      </w:r>
      <w:r w:rsidR="00133AC8" w:rsidRPr="003730B5">
        <w:rPr>
          <w:rFonts w:ascii="Times New Roman" w:hAnsi="Times New Roman"/>
          <w:color w:val="auto"/>
          <w:sz w:val="24"/>
          <w:szCs w:val="24"/>
        </w:rPr>
        <w:t> (§ 361)</w:t>
      </w:r>
    </w:p>
    <w:p w14:paraId="332A142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souladu s obecnou částí důvodové zprávy se stanovuje, že k vymáhání pořádkových pokut bude napříště příslušný celní úřad.</w:t>
      </w:r>
    </w:p>
    <w:p w14:paraId="7054B30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S ohledem na § 1 odst. 2 zákona č. 418/2011 Sb., o trestní odpovědnosti právnických osob a řízení proti nim, bude celní úřad příslušné také k vymáhání pořádkových pokut podle § 36 odst. 2 a § 41 odst. 2 uvedeného zákona.</w:t>
      </w:r>
    </w:p>
    <w:p w14:paraId="7C65D61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 1 odst. 8 zákona č. 279/2003 Sb., o výkonu zajištění majetku a věcí v trestním řízení a o změně některých zákonů, bud celní úřad příslušný také k vymáhání pořádkových pokut podle § 10 odst. 6 uvedeného zákona.</w:t>
      </w:r>
    </w:p>
    <w:p w14:paraId="69D3C8A9" w14:textId="10796F2C" w:rsidR="00133AC8" w:rsidRPr="003730B5" w:rsidRDefault="00874289" w:rsidP="00A24C00">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6</w:t>
      </w:r>
      <w:r w:rsidR="00133AC8" w:rsidRPr="003730B5">
        <w:rPr>
          <w:rFonts w:ascii="Times New Roman" w:hAnsi="Times New Roman"/>
          <w:color w:val="auto"/>
          <w:sz w:val="24"/>
          <w:szCs w:val="24"/>
        </w:rPr>
        <w:t> (§ 361a odst. 2 a 3)</w:t>
      </w:r>
    </w:p>
    <w:p w14:paraId="7CC5E929" w14:textId="7C1D20E6"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souladu s obecnou částí důvodové zprávy se navrhuje zavedení kompetenční dělené správy i u dalších pohledávek trestního řízení. Ve vztahu k nákladům spojeným s výkonem vazby a výkonem trestu odnětí svobody pak specifika upravuje zákon o výkonu trestu odnětí svobody a zákon o výkonu vazby.</w:t>
      </w:r>
    </w:p>
    <w:p w14:paraId="4F8ECE11" w14:textId="0484016F"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případě pohledávek na náklady trestního řízení – shodně jako v případě peněžitého trestu – před vlastním předáním dojde k využití peněžní záruky podle § 73a odst. 6 tr</w:t>
      </w:r>
      <w:r w:rsidR="00F842C9" w:rsidRPr="003730B5">
        <w:rPr>
          <w:rFonts w:ascii="Times New Roman" w:hAnsi="Times New Roman"/>
          <w:color w:val="auto"/>
          <w:sz w:val="24"/>
        </w:rPr>
        <w:t>estního</w:t>
      </w:r>
      <w:r w:rsidRPr="003730B5">
        <w:rPr>
          <w:rFonts w:ascii="Times New Roman" w:hAnsi="Times New Roman"/>
          <w:color w:val="auto"/>
          <w:sz w:val="24"/>
        </w:rPr>
        <w:t xml:space="preserve"> ř</w:t>
      </w:r>
      <w:r w:rsidR="00F842C9" w:rsidRPr="003730B5">
        <w:rPr>
          <w:rFonts w:ascii="Times New Roman" w:hAnsi="Times New Roman"/>
          <w:color w:val="auto"/>
          <w:sz w:val="24"/>
        </w:rPr>
        <w:t>ádu</w:t>
      </w:r>
      <w:r w:rsidRPr="003730B5">
        <w:rPr>
          <w:rFonts w:ascii="Times New Roman" w:hAnsi="Times New Roman"/>
          <w:color w:val="auto"/>
          <w:sz w:val="24"/>
        </w:rPr>
        <w:t>.</w:t>
      </w:r>
    </w:p>
    <w:p w14:paraId="34844BE7" w14:textId="2EA7F1E5" w:rsidR="00133AC8" w:rsidRPr="003730B5" w:rsidRDefault="00133AC8" w:rsidP="00133AC8">
      <w:pPr>
        <w:widowControl w:val="0"/>
        <w:spacing w:before="240" w:after="120"/>
        <w:outlineLvl w:val="2"/>
        <w:rPr>
          <w:b/>
        </w:rPr>
      </w:pPr>
      <w:r w:rsidRPr="003730B5">
        <w:rPr>
          <w:b/>
        </w:rPr>
        <w:t>K čl. </w:t>
      </w:r>
      <w:r w:rsidR="00B16ED6" w:rsidRPr="003730B5">
        <w:rPr>
          <w:b/>
        </w:rPr>
        <w:t>II</w:t>
      </w:r>
      <w:r w:rsidRPr="003730B5">
        <w:rPr>
          <w:b/>
        </w:rPr>
        <w:t xml:space="preserve"> (Přechodná ustanovení)</w:t>
      </w:r>
    </w:p>
    <w:p w14:paraId="52609BB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K vymáhání pohledávek, jejichž správa placení se podle trestního řádu řídí daňovým řádem, bude celní úřad příslušný ode dne nabytí účinnosti tohoto zákona v případě těch pohledávek, které vzniknou ode dne nabytí účinnosti tohoto zákona.</w:t>
      </w:r>
    </w:p>
    <w:p w14:paraId="5F4250D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K vymáhání pohledávek, jejichž správa placení se podle trestního řádu řídí daňovým řádem, které vznikly přede dnem nabytí účinnosti tohoto zákona, ke dni nabytí účinnosti tohoto zákona se při jejich správě postupuje podle daňového řádu, nebyly však předány k vymáhání soudnímu exekutorovi, uplatněny v insolvenčním řízení nebo přihlášeny do veřejné dražby podle § 175 odst. 1 daňového řádu, bude celní úřad příslušný ode dne převzetí jejich vymáhání. Nebyla-li daňová exekuce pro takovou pohledávku ke dni nabytí účinnosti tohoto zákona nařízena vydáním exekučního příkazu, předá orgán, který je příslušný k jejímu vymáhání podle stávající právní úpravy, pohledávku k vymáhání celnímu úřadu bez zbytečného odkladu, nejpozději do 30. 6. 2024. Byla-li ke dni nabytí účinnosti tohoto zákona pro pohledávku nařízena daňová exekuce vydáním exekučního příkazu, postupují orgány příslušné k jejímu vymáhání podle stávající právní úpravy k jejímu vymožení. Pohledávky, které tímto postupem nebudou zcela vymoženy, předá orgán příslušný k jejich vymáhání podle stávající právní úpravy k vymáhání celnímu úřadu do 31. 12. 2024. </w:t>
      </w:r>
    </w:p>
    <w:p w14:paraId="0E23F2A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Příslušnost k vymáhání pohledávek, které vznikly přede dnem účinnosti tohoto zákona a byly předány k vymáhání soudnímu exekutorovi, uplatněny v insolvenčním řízení nebo přihlášeny do veřejné dražby podle § 175 odst. 1 daňového řádu, se z procesních důvodů nemění.</w:t>
      </w:r>
    </w:p>
    <w:p w14:paraId="14214432" w14:textId="7C36DA84"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Dále jsou stanovena přechodná ustanovení v souvislosti s vypuštěním možnosti platby peněžitého plnění kolkovými známkami podle daňového řádu. V pod</w:t>
      </w:r>
      <w:r w:rsidR="006203CD" w:rsidRPr="003730B5">
        <w:rPr>
          <w:rFonts w:ascii="Times New Roman" w:hAnsi="Times New Roman"/>
          <w:color w:val="auto"/>
          <w:sz w:val="24"/>
        </w:rPr>
        <w:t>r</w:t>
      </w:r>
      <w:r w:rsidRPr="003730B5">
        <w:rPr>
          <w:rFonts w:ascii="Times New Roman" w:hAnsi="Times New Roman"/>
          <w:color w:val="auto"/>
          <w:sz w:val="24"/>
        </w:rPr>
        <w:t>obnostech lze odkázat na odůvodnění novely daňového řádu.</w:t>
      </w:r>
    </w:p>
    <w:p w14:paraId="5B41DCDF" w14:textId="77777777" w:rsidR="00133AC8" w:rsidRPr="003730B5" w:rsidRDefault="00133AC8" w:rsidP="00133AC8">
      <w:pPr>
        <w:widowControl w:val="0"/>
        <w:spacing w:before="240" w:after="120"/>
        <w:outlineLvl w:val="1"/>
        <w:rPr>
          <w:b/>
          <w:sz w:val="28"/>
        </w:rPr>
      </w:pPr>
      <w:r w:rsidRPr="003730B5">
        <w:rPr>
          <w:b/>
          <w:sz w:val="28"/>
        </w:rPr>
        <w:t>K části druhé – Změna občanského soudního řádu</w:t>
      </w:r>
    </w:p>
    <w:p w14:paraId="08C3456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rámci této části je řešen převod kompetence k vymáhání tzv. justičních pohledávek na orgány Celní správy České republiky. V podrobnostech lze odkázat na odůvodnění novely trestního řádu.</w:t>
      </w:r>
    </w:p>
    <w:p w14:paraId="4649896F" w14:textId="37FE7F37" w:rsidR="00133AC8" w:rsidRPr="003730B5" w:rsidRDefault="00133AC8" w:rsidP="00133AC8">
      <w:pPr>
        <w:widowControl w:val="0"/>
        <w:spacing w:before="120" w:after="120"/>
        <w:outlineLvl w:val="2"/>
        <w:rPr>
          <w:b/>
        </w:rPr>
      </w:pPr>
      <w:r w:rsidRPr="003730B5">
        <w:rPr>
          <w:b/>
        </w:rPr>
        <w:t>K čl. </w:t>
      </w:r>
      <w:r w:rsidR="00B16ED6" w:rsidRPr="003730B5">
        <w:rPr>
          <w:b/>
        </w:rPr>
        <w:t>III</w:t>
      </w:r>
    </w:p>
    <w:p w14:paraId="0E2A3015" w14:textId="77777777" w:rsidR="00133AC8" w:rsidRPr="003730B5" w:rsidRDefault="00133AC8" w:rsidP="00133AC8">
      <w:pPr>
        <w:widowControl w:val="0"/>
        <w:spacing w:before="120" w:after="120"/>
        <w:outlineLvl w:val="3"/>
        <w:rPr>
          <w:b/>
        </w:rPr>
      </w:pPr>
      <w:r w:rsidRPr="003730B5">
        <w:rPr>
          <w:b/>
        </w:rPr>
        <w:t>K bodům 1 až 5 (§ 53 odst. 3 a 4, § 148 odst. 3 a 4, § 351 odst. 3)</w:t>
      </w:r>
    </w:p>
    <w:p w14:paraId="0383576C" w14:textId="0CDF0AA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souladu s obecnou částí důvodové zprávy se stanovuje, že k vymáhání pořádkových pokut </w:t>
      </w:r>
      <w:r w:rsidRPr="003730B5">
        <w:rPr>
          <w:rFonts w:ascii="Times New Roman" w:hAnsi="Times New Roman"/>
          <w:color w:val="auto"/>
          <w:sz w:val="24"/>
        </w:rPr>
        <w:lastRenderedPageBreak/>
        <w:t>ukládaných podle občanského soudního řádu, stejně tak jako pohledávek uvedených v § 148 odst. 1 a 2 </w:t>
      </w:r>
      <w:r w:rsidR="00C1054C" w:rsidRPr="003730B5">
        <w:rPr>
          <w:rFonts w:ascii="Times New Roman" w:hAnsi="Times New Roman"/>
          <w:color w:val="auto"/>
          <w:sz w:val="24"/>
        </w:rPr>
        <w:t>občanského soudního řádu</w:t>
      </w:r>
      <w:r w:rsidR="00C1054C" w:rsidRPr="003730B5" w:rsidDel="00C1054C">
        <w:rPr>
          <w:rFonts w:ascii="Times New Roman" w:hAnsi="Times New Roman"/>
          <w:color w:val="auto"/>
          <w:sz w:val="24"/>
        </w:rPr>
        <w:t xml:space="preserve"> </w:t>
      </w:r>
      <w:r w:rsidRPr="003730B5">
        <w:rPr>
          <w:rFonts w:ascii="Times New Roman" w:hAnsi="Times New Roman"/>
          <w:color w:val="auto"/>
          <w:sz w:val="24"/>
        </w:rPr>
        <w:t xml:space="preserve">a pokut ukládaných v rámci výkonu rozhodnutí podle § 351 </w:t>
      </w:r>
      <w:r w:rsidR="00C1054C" w:rsidRPr="003730B5">
        <w:rPr>
          <w:rFonts w:ascii="Times New Roman" w:hAnsi="Times New Roman"/>
          <w:color w:val="auto"/>
          <w:sz w:val="24"/>
        </w:rPr>
        <w:t>občanského soudního řádu</w:t>
      </w:r>
      <w:r w:rsidRPr="003730B5">
        <w:rPr>
          <w:rFonts w:ascii="Times New Roman" w:hAnsi="Times New Roman"/>
          <w:color w:val="auto"/>
          <w:sz w:val="24"/>
        </w:rPr>
        <w:t xml:space="preserve">, bude napříště příslušný celní úřad. V zájmu právní jistoty se navrhuje formulace vztahující výslovně režim daňového řádu na správu placení těchto pohledávek, tj. i na vybírání a evidenci pořádkových pokut (jde o tzv. procesní dělenou správu). </w:t>
      </w:r>
    </w:p>
    <w:p w14:paraId="60BD69C7" w14:textId="63A84FDB"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Stávající ustanovení § 148 odst. 3 </w:t>
      </w:r>
      <w:r w:rsidR="00C1054C" w:rsidRPr="003730B5">
        <w:rPr>
          <w:rFonts w:ascii="Times New Roman" w:hAnsi="Times New Roman"/>
          <w:color w:val="auto"/>
          <w:sz w:val="24"/>
        </w:rPr>
        <w:t>občanského soudního řádu</w:t>
      </w:r>
      <w:r w:rsidR="00C1054C" w:rsidRPr="003730B5" w:rsidDel="00C1054C">
        <w:rPr>
          <w:rFonts w:ascii="Times New Roman" w:hAnsi="Times New Roman"/>
          <w:color w:val="auto"/>
          <w:sz w:val="24"/>
        </w:rPr>
        <w:t xml:space="preserve"> </w:t>
      </w:r>
      <w:r w:rsidRPr="003730B5">
        <w:rPr>
          <w:rFonts w:ascii="Times New Roman" w:hAnsi="Times New Roman"/>
          <w:color w:val="auto"/>
          <w:sz w:val="24"/>
        </w:rPr>
        <w:t>o tom, že „u pohledávek státu vzniklých z důvodu práva na náhradu nákladů řízení vůči osobám uvedeným v odstavcích 1 a 2 ve výši státem placených nákladů řízení se úrok z prodlení nevyměřuje“, se navrhuje vypustit pro nadbytečnost, neboť skutečnost, že u těchto pohledávek se nepožadují úroky z prodlení, vyplývá z § 253 odst. 3 daňového řádu.</w:t>
      </w:r>
    </w:p>
    <w:p w14:paraId="5D8FE33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Stávající systém vymáhání pokut, které byly uloženy soudem při výkonu rozhodnutí provedením prací a výkonů, byl obdobný jako u jiných justičních pohledávek s tím rozdílem, že soud, resp. pověřený exekutor nepostupoval podle daňového řádu, ale podle ustanovení o výkonu rozhodnutí. Nově se přenáší vymáhání takto uložených pokut ze soudu na celní úřad. Soudy tedy i nadále budou oprávněny uvedené pokuty vybírat, vymáhání však bude vykonávat celní úřad. Spolupráce mezi oběma subjekty bude zajištěna prostřednictvím ustanovení o dělené správě – tudíž pokud soud kupř. pokutu promine, bude muset dát bez zbytečných průtahů celnímu úřadu na vědomí, že vymáhání se stalo již bezpředmětným. Pokud naopak bude soud zajímat, jak vymáhání pokračuje, bude mu celní úřad potřebnou informaci povinen sdělit.</w:t>
      </w:r>
    </w:p>
    <w:p w14:paraId="740B97DA" w14:textId="768792FF" w:rsidR="00133AC8" w:rsidRPr="003730B5" w:rsidRDefault="00133AC8" w:rsidP="00133AC8">
      <w:pPr>
        <w:widowControl w:val="0"/>
        <w:spacing w:before="240" w:after="120"/>
        <w:outlineLvl w:val="2"/>
        <w:rPr>
          <w:b/>
        </w:rPr>
      </w:pPr>
      <w:r w:rsidRPr="003730B5">
        <w:rPr>
          <w:b/>
        </w:rPr>
        <w:t>K čl. </w:t>
      </w:r>
      <w:r w:rsidR="00B16ED6" w:rsidRPr="003730B5">
        <w:rPr>
          <w:b/>
        </w:rPr>
        <w:t>IV</w:t>
      </w:r>
      <w:r w:rsidRPr="003730B5">
        <w:rPr>
          <w:b/>
        </w:rPr>
        <w:t xml:space="preserve"> (Přechodná ustanovení)</w:t>
      </w:r>
    </w:p>
    <w:p w14:paraId="7BCD8A37" w14:textId="4B0C5E53"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Procesní režim pokut podle § 351 </w:t>
      </w:r>
      <w:r w:rsidR="00C1054C" w:rsidRPr="003730B5">
        <w:rPr>
          <w:rFonts w:ascii="Times New Roman" w:hAnsi="Times New Roman"/>
          <w:color w:val="auto"/>
          <w:sz w:val="24"/>
        </w:rPr>
        <w:t>občanského soudního řádu</w:t>
      </w:r>
      <w:r w:rsidRPr="003730B5">
        <w:rPr>
          <w:rFonts w:ascii="Times New Roman" w:hAnsi="Times New Roman"/>
          <w:color w:val="auto"/>
          <w:sz w:val="24"/>
        </w:rPr>
        <w:t>, které vznikly přede dnem nabytí účinnosti tohoto zákona, se nemění; daňový řád se bude vztahovat až na ty, které vznikly ode dne nabytí účinnosti tohoto zákona. S ohledem na odlišnost procesního režimu se nemění ani příslušnost k vymáhání těchto pokut, které vznikly přede dnem nabytí účinnosti tohoto zákona.</w:t>
      </w:r>
    </w:p>
    <w:p w14:paraId="173C6249" w14:textId="620F8F11"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K vymáhání pořádkových pokut ukládaných podle občanského soudního řádu, stejně tak jako pohledávek uvedených v § 148 odst. 1 a 2 </w:t>
      </w:r>
      <w:r w:rsidR="00C1054C" w:rsidRPr="003730B5">
        <w:rPr>
          <w:rFonts w:ascii="Times New Roman" w:hAnsi="Times New Roman"/>
          <w:color w:val="auto"/>
          <w:sz w:val="24"/>
        </w:rPr>
        <w:t>občanského soudního řádu</w:t>
      </w:r>
      <w:r w:rsidRPr="003730B5">
        <w:rPr>
          <w:rFonts w:ascii="Times New Roman" w:hAnsi="Times New Roman"/>
          <w:color w:val="auto"/>
          <w:sz w:val="24"/>
        </w:rPr>
        <w:t xml:space="preserve"> a pokut ukládaných v rámci výkonu rozhodnutí podle § 351 </w:t>
      </w:r>
      <w:r w:rsidR="00C1054C" w:rsidRPr="003730B5">
        <w:rPr>
          <w:rFonts w:ascii="Times New Roman" w:hAnsi="Times New Roman"/>
          <w:color w:val="auto"/>
          <w:sz w:val="24"/>
        </w:rPr>
        <w:t>občanského soudního řádu</w:t>
      </w:r>
      <w:r w:rsidRPr="003730B5">
        <w:rPr>
          <w:rFonts w:ascii="Times New Roman" w:hAnsi="Times New Roman"/>
          <w:color w:val="auto"/>
          <w:sz w:val="24"/>
        </w:rPr>
        <w:t>, bude celní úřad příslušný ode dne nabytí účinnosti tohoto zákona v případě těch pohledávek, které vzniknou ode dne nabytí účinnosti tohoto zákona.</w:t>
      </w:r>
    </w:p>
    <w:p w14:paraId="02933934" w14:textId="09F07365"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K vymáhání pořádkových pokut ukládaných podle občanského soudního řádu, stejně tak jako pohledávek uvedených v § 148 odst. 1 a 2 </w:t>
      </w:r>
      <w:r w:rsidR="00C1054C" w:rsidRPr="003730B5">
        <w:rPr>
          <w:rFonts w:ascii="Times New Roman" w:hAnsi="Times New Roman"/>
          <w:color w:val="auto"/>
          <w:sz w:val="24"/>
        </w:rPr>
        <w:t>občanského soudního řádu</w:t>
      </w:r>
      <w:r w:rsidRPr="003730B5">
        <w:rPr>
          <w:rFonts w:ascii="Times New Roman" w:hAnsi="Times New Roman"/>
          <w:color w:val="auto"/>
          <w:sz w:val="24"/>
        </w:rPr>
        <w:t xml:space="preserve">, které vznikly přede dnem nabytí účinnosti tohoto zákona, nebyly však předány k vymáhání soudnímu exekutorovi, uplatněny v insolvenčním řízení nebo přihlášeny do veřejné dražby podle § 175 odst. 1 daňového řádu, bude celní úřad příslušný ode dne převzetí jejich vymáhání. Nebyla-li daňová exekuce pro takovou pohledávku ke dni nabytí účinnosti tohoto zákona nařízena vydáním exekučního příkazu, předá orgán, který je příslušný k jejímu vymáhání podle stávající právní úpravy, pohledávku k vymáhání celnímu úřadu bez zbytečného odkladu, nejpozději do 30. 6. 2024. Byla-li ke dni nabytí účinnosti tohoto zákona pro pohledávku nařízena daňová exekuce vydáním exekučního příkazu, postupují orgány příslušné k jejímu vymáhání podle stávající právní úpravy k jejímu vymožení. Pohledávky, které tímto postupem nebudou zcela vymoženy, předá orgán příslušný k jejich vymáhání podle stávající právní úpravy k vymáhání celnímu úřadu do 31. 12. 2024. </w:t>
      </w:r>
    </w:p>
    <w:p w14:paraId="65063995" w14:textId="6887929A"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Příslušnost k vymáhání pořádkových pokut ukládaných podle občanského soudního řádu, stejně tak jako pohledávek uvedených v § 148 odst. 1 a 2 </w:t>
      </w:r>
      <w:r w:rsidR="00C1054C" w:rsidRPr="003730B5">
        <w:rPr>
          <w:rFonts w:ascii="Times New Roman" w:hAnsi="Times New Roman"/>
          <w:color w:val="auto"/>
          <w:sz w:val="24"/>
        </w:rPr>
        <w:t>občanského soudního řádu</w:t>
      </w:r>
      <w:r w:rsidRPr="003730B5">
        <w:rPr>
          <w:rFonts w:ascii="Times New Roman" w:hAnsi="Times New Roman"/>
          <w:color w:val="auto"/>
          <w:sz w:val="24"/>
        </w:rPr>
        <w:t xml:space="preserve">, které vznikly přede dnem účinnosti tohoto zákona a byly předány k vymáhání soudnímu exekutorovi, uplatněny v insolvenčním řízení nebo přihlášeny do veřejné dražby podle § 175 odst. </w:t>
      </w:r>
      <w:r w:rsidRPr="003730B5">
        <w:rPr>
          <w:rFonts w:ascii="Times New Roman" w:hAnsi="Times New Roman"/>
          <w:color w:val="auto"/>
          <w:sz w:val="24"/>
        </w:rPr>
        <w:lastRenderedPageBreak/>
        <w:t>1 daňového řádu, se z procesních důvodů nemění.</w:t>
      </w:r>
    </w:p>
    <w:p w14:paraId="3ADC0417" w14:textId="77777777" w:rsidR="00133AC8" w:rsidRPr="003730B5" w:rsidRDefault="00133AC8" w:rsidP="00133AC8">
      <w:pPr>
        <w:widowControl w:val="0"/>
        <w:spacing w:before="240" w:after="120"/>
        <w:outlineLvl w:val="1"/>
        <w:rPr>
          <w:b/>
          <w:sz w:val="28"/>
        </w:rPr>
      </w:pPr>
      <w:r w:rsidRPr="003730B5">
        <w:rPr>
          <w:b/>
          <w:sz w:val="28"/>
        </w:rPr>
        <w:t>K části třetí – Změna horního zákona</w:t>
      </w:r>
    </w:p>
    <w:p w14:paraId="2595B39C" w14:textId="2FE0D284" w:rsidR="00133AC8" w:rsidRPr="003730B5" w:rsidRDefault="00133AC8" w:rsidP="00133AC8">
      <w:pPr>
        <w:widowControl w:val="0"/>
        <w:spacing w:after="120"/>
        <w:outlineLvl w:val="2"/>
        <w:rPr>
          <w:b/>
        </w:rPr>
      </w:pPr>
      <w:r w:rsidRPr="003730B5">
        <w:rPr>
          <w:b/>
        </w:rPr>
        <w:t>K čl. </w:t>
      </w:r>
      <w:r w:rsidR="00B16ED6" w:rsidRPr="003730B5">
        <w:rPr>
          <w:b/>
        </w:rPr>
        <w:t>V</w:t>
      </w:r>
    </w:p>
    <w:p w14:paraId="7B18258F" w14:textId="77777777" w:rsidR="00133AC8" w:rsidRPr="003730B5" w:rsidRDefault="00133AC8" w:rsidP="00133AC8">
      <w:pPr>
        <w:widowControl w:val="0"/>
        <w:autoSpaceDE w:val="0"/>
        <w:autoSpaceDN w:val="0"/>
        <w:adjustRightInd w:val="0"/>
        <w:spacing w:after="120"/>
      </w:pPr>
      <w:r w:rsidRPr="003730B5">
        <w:t>Návrh novely horního zákona, jehož gestorem je Ministerstvo průmyslu a obchodu, se dotýká působnosti orgánů Státní báňské správy, neboť místně příslušné obvodní báňské úřady jsou správci úhrady z dobývacího prostoru a úhrady z vydobytých nerostů.</w:t>
      </w:r>
    </w:p>
    <w:p w14:paraId="6865E080" w14:textId="77777777" w:rsidR="00133AC8" w:rsidRPr="003730B5" w:rsidRDefault="00133AC8" w:rsidP="00133AC8">
      <w:pPr>
        <w:widowControl w:val="0"/>
        <w:autoSpaceDE w:val="0"/>
        <w:autoSpaceDN w:val="0"/>
        <w:adjustRightInd w:val="0"/>
        <w:spacing w:after="120"/>
      </w:pPr>
      <w:r w:rsidRPr="003730B5">
        <w:t>Parametry navýšení úhrad byly projednávány v pracovní skupině za účasti zástupců Ministerstva průmyslu a obchodu, Ministerstva financí a Národní ekonomické rady vlády (NERV). K finálnímu jednání o výši navýšení úhrad byli přizváni také zástupci zaměstnavatelů v těžebním sektoru, a to představitelé Zaměstnavatelského svazu důlního a naftového průmyslu a Těžební unie.</w:t>
      </w:r>
    </w:p>
    <w:p w14:paraId="27626A97" w14:textId="340FFE87" w:rsidR="00133AC8" w:rsidRPr="003730B5" w:rsidRDefault="007E60EF" w:rsidP="00A24C00">
      <w:pPr>
        <w:pStyle w:val="Dvodovzprvakbodu"/>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1</w:t>
      </w:r>
      <w:r w:rsidR="00133AC8" w:rsidRPr="003730B5">
        <w:rPr>
          <w:rFonts w:ascii="Times New Roman" w:hAnsi="Times New Roman"/>
          <w:color w:val="auto"/>
          <w:sz w:val="24"/>
          <w:szCs w:val="24"/>
        </w:rPr>
        <w:t xml:space="preserve"> (§ 33d odst. </w:t>
      </w:r>
      <w:r w:rsidR="00FC5213" w:rsidRPr="003730B5">
        <w:rPr>
          <w:rFonts w:ascii="Times New Roman" w:hAnsi="Times New Roman"/>
          <w:color w:val="auto"/>
          <w:sz w:val="24"/>
          <w:szCs w:val="24"/>
        </w:rPr>
        <w:t>2</w:t>
      </w:r>
      <w:r w:rsidR="00133AC8" w:rsidRPr="003730B5">
        <w:rPr>
          <w:rFonts w:ascii="Times New Roman" w:hAnsi="Times New Roman"/>
          <w:color w:val="auto"/>
          <w:sz w:val="24"/>
          <w:szCs w:val="24"/>
        </w:rPr>
        <w:t>)</w:t>
      </w:r>
    </w:p>
    <w:p w14:paraId="059FDF6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změna vychází z připravovaného souborného návrhu zákona, tzv. konsolidačního balíčku, který zpracovává Ministerstvo financí, a dále z důvodu částečného naplnění programového prohlášení vlády České republiky, a to prohlášení obsaženém v oddílu Veřejné rozpočty: „Obce, kraje i stát získají díky zdanění těžby více peněz z dobývání nerostných surovin na svém území.“</w:t>
      </w:r>
    </w:p>
    <w:p w14:paraId="614A1CE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Navrhovanou změnou dojde k navýšení sazby úhrady z dobývacího prostoru, ve kterém je povolena hornická činnost, z částky 1 000 Kč/ha na částku 1 500 Kč/ha. Výnos z úhrad z dobývacích prostorů za rok 2022 činil 82 247 450 Kč. Po přijetí této novely se zvýší na cca 119 mil. Kč. Celý výnos z úhrady je příjmem rozpočtů obcí.</w:t>
      </w:r>
    </w:p>
    <w:p w14:paraId="7343A361"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2 až 12 (§ 33n odst. 1)</w:t>
      </w:r>
    </w:p>
    <w:p w14:paraId="04DFBBC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změna vychází z připravovaného souborného návrhu zákona, tzv. konsolidačního balíčku, který zpracovává Ministerstvo financí, a dále z důvodu částečného naplnění programového prohlášení vlády České republiky, a to prohlášení obsaženém v oddílu Veřejné rozpočty: „Obce, kraje i stát získají díky zdanění těžby více peněz z dobývání nerostných surovin na svém území. Pamatovat budeme i na přilehlé obce.“</w:t>
      </w:r>
    </w:p>
    <w:p w14:paraId="163448D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rámci nového přerozdělení úhrad z vydobytého nerostu bylo rozhodnuto, že část navýšeného výnosu z úhrady z vydobytého nerostu bude rovnoměrně rozdělena mezi obce a kraje, na jejichž území dochází k dobývání vyhrazeného nerostu. V souvislosti s tím bylo zcela zásadně upraveno dosavadní rozpočtové určení úhrady.</w:t>
      </w:r>
    </w:p>
    <w:p w14:paraId="6EDA4D3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Navržená změna předpokládá celkový výnos z úhrad z vydobytých nerostů ve výši 1,527 mld. Kč, což oproti roku 2022 znamená navýšení o 725 mil. Kč. Příjmy státního rozpočtu by měly být v tomto případě mírně navýšeny oproti úrovni roku 2022, tj. cca 541 mil. Kč (rok 2022 - 482 mil. Kč). Dojde k výraznému nárůstu příjmů obcí, které budou činit cca 676 mil Kč (rok 2022 – 319 mil. Kč) a k novému příjmu rozpočtů krajů, které budou činit cca 311 mil. Kč.</w:t>
      </w:r>
    </w:p>
    <w:p w14:paraId="47D24320" w14:textId="1105B8DA"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w:t>
      </w:r>
      <w:r w:rsidR="00FC5213" w:rsidRPr="003730B5">
        <w:rPr>
          <w:rFonts w:ascii="Times New Roman" w:hAnsi="Times New Roman"/>
          <w:color w:val="auto"/>
          <w:sz w:val="24"/>
          <w:szCs w:val="24"/>
        </w:rPr>
        <w:t>u</w:t>
      </w:r>
      <w:r w:rsidRPr="003730B5">
        <w:rPr>
          <w:rFonts w:ascii="Times New Roman" w:hAnsi="Times New Roman"/>
          <w:color w:val="auto"/>
          <w:sz w:val="24"/>
          <w:szCs w:val="24"/>
        </w:rPr>
        <w:t xml:space="preserve"> 13  (§ 33n odst. 2)</w:t>
      </w:r>
    </w:p>
    <w:p w14:paraId="6866095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Jedná se o legislativně-technickou úpravu v souvislosti s rozšířením příjemců úhrady z vydobytých nerostů v § 33n odst. 1 o kraje.</w:t>
      </w:r>
    </w:p>
    <w:p w14:paraId="2D819CA9" w14:textId="23914CC7" w:rsidR="00133AC8" w:rsidRPr="003730B5" w:rsidRDefault="007E60EF" w:rsidP="00A24C00">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14</w:t>
      </w:r>
      <w:r w:rsidR="00133AC8" w:rsidRPr="003730B5">
        <w:rPr>
          <w:rFonts w:ascii="Times New Roman" w:hAnsi="Times New Roman"/>
          <w:color w:val="auto"/>
          <w:sz w:val="24"/>
          <w:szCs w:val="24"/>
        </w:rPr>
        <w:t> (§ 33</w:t>
      </w:r>
      <w:r w:rsidR="00FC5213" w:rsidRPr="003730B5">
        <w:rPr>
          <w:rFonts w:ascii="Times New Roman" w:hAnsi="Times New Roman"/>
          <w:color w:val="auto"/>
          <w:sz w:val="24"/>
          <w:szCs w:val="24"/>
        </w:rPr>
        <w:t>o</w:t>
      </w:r>
      <w:r w:rsidR="00133AC8" w:rsidRPr="003730B5">
        <w:rPr>
          <w:rFonts w:ascii="Times New Roman" w:hAnsi="Times New Roman"/>
          <w:color w:val="auto"/>
          <w:sz w:val="24"/>
          <w:szCs w:val="24"/>
        </w:rPr>
        <w:t xml:space="preserve"> odst. 3)</w:t>
      </w:r>
    </w:p>
    <w:p w14:paraId="6063C68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Novým odstavcem dojde k naplnění programového prohlášení vlády České republiky, a to v oddílu Veřejné rozpočty: „Obce, kraje i stát získají díky zdanění těžby více peněz z dobývání nerostných surovin na svém území. Pamatovat budeme i na přilehlé obce.“. </w:t>
      </w:r>
    </w:p>
    <w:p w14:paraId="6EC304C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V navrhovaném odstavci je upraveno účelové určení úhrady z vydobytých nerostů z výnosů z vydobytých nerostů určených pro kraje, podle kterého kraje mohou výnos použít pouze k odstranění škod způsobených v důsledku dobývání ložisek vyhrazených i nevyhrazených nerostů a jejich přepravou a na revitalizaci pozemků, a to v obcích nacházejících se mimo dobývací prostor. Jedná se o obce, na jejichž katastrálním území je lokalizováno území dotčené probíhající nebo v minulosti ukončenou těžbou nerostů s prokazatelnými škodami např. na životním prostředí, zástavbě či místních komunikací, které vznikly v souvislosti s činností těžebních organizací, avšak tyto obce nemají nárok na příjem z výnosu úhrady z dobývacího prostoru ani z výnosu úhrady z vydobytých nerostů. Navržené přerozdělení úhrad z vydobytých nerostů tak plní kompenzační funkci lépe současná právní úprava. Tyto finanční prostředky zároveň nemohou být užity na financování činností, na které je těžební organizací vytvářena finanční rezerva podle § 37a horního zákona.</w:t>
      </w:r>
    </w:p>
    <w:p w14:paraId="4A9C0051" w14:textId="77777777" w:rsidR="00133AC8" w:rsidRPr="003730B5" w:rsidRDefault="00133AC8" w:rsidP="00133AC8">
      <w:pPr>
        <w:widowControl w:val="0"/>
        <w:spacing w:before="240" w:after="120"/>
        <w:outlineLvl w:val="1"/>
        <w:rPr>
          <w:b/>
          <w:sz w:val="28"/>
        </w:rPr>
      </w:pPr>
      <w:r w:rsidRPr="003730B5">
        <w:rPr>
          <w:b/>
          <w:sz w:val="28"/>
        </w:rPr>
        <w:t>K části čtvrté – Změna zákona, kterým se stanoví některé další předpoklady pro výkon některých funkcí ve státních orgánech a organizacích České a Slovenské Federativní Republiky, České republiky a Slovenské republiky</w:t>
      </w:r>
    </w:p>
    <w:p w14:paraId="5DC50727" w14:textId="7373ADC0" w:rsidR="00133AC8" w:rsidRPr="003730B5" w:rsidRDefault="00133AC8" w:rsidP="00133AC8">
      <w:pPr>
        <w:widowControl w:val="0"/>
        <w:spacing w:after="120"/>
        <w:outlineLvl w:val="2"/>
        <w:rPr>
          <w:b/>
        </w:rPr>
      </w:pPr>
      <w:r w:rsidRPr="003730B5">
        <w:rPr>
          <w:b/>
        </w:rPr>
        <w:t>K čl. </w:t>
      </w:r>
      <w:r w:rsidR="00B16ED6" w:rsidRPr="003730B5">
        <w:rPr>
          <w:b/>
        </w:rPr>
        <w:t xml:space="preserve">VI </w:t>
      </w:r>
      <w:r w:rsidRPr="003730B5">
        <w:rPr>
          <w:b/>
        </w:rPr>
        <w:t>(§ 8 odst. 2)</w:t>
      </w:r>
    </w:p>
    <w:p w14:paraId="6AB05A4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Dochází k vypuštění možnosti platby peněžitého plnění kolkovými známkami podle daňového řádu. V podrobnostech lze odkázat na odůvodnění novely daňového řádu.</w:t>
      </w:r>
    </w:p>
    <w:p w14:paraId="0A8534D6" w14:textId="520C78AA" w:rsidR="00133AC8" w:rsidRPr="003730B5" w:rsidRDefault="00133AC8" w:rsidP="00133AC8">
      <w:pPr>
        <w:widowControl w:val="0"/>
        <w:spacing w:before="240" w:after="120"/>
        <w:outlineLvl w:val="2"/>
        <w:rPr>
          <w:b/>
        </w:rPr>
      </w:pPr>
      <w:r w:rsidRPr="003730B5">
        <w:rPr>
          <w:b/>
        </w:rPr>
        <w:t>K čl. </w:t>
      </w:r>
      <w:r w:rsidR="00B16ED6" w:rsidRPr="003730B5">
        <w:rPr>
          <w:b/>
        </w:rPr>
        <w:t>VII</w:t>
      </w:r>
      <w:r w:rsidRPr="003730B5">
        <w:rPr>
          <w:b/>
        </w:rPr>
        <w:t xml:space="preserve"> (Přechodn</w:t>
      </w:r>
      <w:r w:rsidR="00B16ED6" w:rsidRPr="003730B5">
        <w:rPr>
          <w:b/>
        </w:rPr>
        <w:t>á</w:t>
      </w:r>
      <w:r w:rsidRPr="003730B5">
        <w:rPr>
          <w:b/>
        </w:rPr>
        <w:t xml:space="preserve"> ustanovení)</w:t>
      </w:r>
    </w:p>
    <w:p w14:paraId="3348A8B2" w14:textId="4EB18D1C"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Dále jsou stanovena přechodná ustanovení v souvislosti s vypuštěním možnosti platby peněžitého plnění kolkovými známkami podle daňového řádu. V pod</w:t>
      </w:r>
      <w:r w:rsidR="006203CD" w:rsidRPr="003730B5">
        <w:rPr>
          <w:rFonts w:ascii="Times New Roman" w:hAnsi="Times New Roman"/>
          <w:color w:val="auto"/>
          <w:sz w:val="24"/>
        </w:rPr>
        <w:t>r</w:t>
      </w:r>
      <w:r w:rsidRPr="003730B5">
        <w:rPr>
          <w:rFonts w:ascii="Times New Roman" w:hAnsi="Times New Roman"/>
          <w:color w:val="auto"/>
          <w:sz w:val="24"/>
        </w:rPr>
        <w:t>obnostech lze odkázat na odůvodnění novely daňového řádu.</w:t>
      </w:r>
    </w:p>
    <w:p w14:paraId="057C7BED" w14:textId="77777777" w:rsidR="00133AC8" w:rsidRPr="003730B5" w:rsidRDefault="00133AC8" w:rsidP="00133AC8">
      <w:pPr>
        <w:widowControl w:val="0"/>
        <w:spacing w:before="240" w:after="120"/>
        <w:outlineLvl w:val="1"/>
        <w:rPr>
          <w:b/>
          <w:sz w:val="28"/>
        </w:rPr>
      </w:pPr>
      <w:r w:rsidRPr="003730B5">
        <w:rPr>
          <w:b/>
          <w:sz w:val="28"/>
        </w:rPr>
        <w:t>K části páté – Změna zákona o soudních poplatcích</w:t>
      </w:r>
    </w:p>
    <w:p w14:paraId="13AADC9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rámci této části je řešen převod kompetence k vymáhání tzv. justičních pohledávek na orgány Celní správy České republiky. V podrobnostech lze odkázat na odůvodnění novely trestního řádu.</w:t>
      </w:r>
    </w:p>
    <w:p w14:paraId="1CDE1847" w14:textId="432B37F6" w:rsidR="00133AC8" w:rsidRPr="003730B5" w:rsidRDefault="00133AC8" w:rsidP="00133AC8">
      <w:pPr>
        <w:widowControl w:val="0"/>
        <w:spacing w:before="120" w:after="120"/>
        <w:outlineLvl w:val="2"/>
        <w:rPr>
          <w:b/>
        </w:rPr>
      </w:pPr>
      <w:r w:rsidRPr="003730B5">
        <w:rPr>
          <w:b/>
        </w:rPr>
        <w:t>K čl. </w:t>
      </w:r>
      <w:r w:rsidR="00B16ED6" w:rsidRPr="003730B5">
        <w:rPr>
          <w:b/>
        </w:rPr>
        <w:t>VIII</w:t>
      </w:r>
    </w:p>
    <w:p w14:paraId="0F5619D6"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1 a 2 (§ 8 odst. 1 a 3)</w:t>
      </w:r>
    </w:p>
    <w:p w14:paraId="7529E98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souladu s obecnou částí důvodové zprávy se stanovuje, že k vymáhání soudních poplatků bude napříště příslušný celní úřad. V návaznosti na tuto změnu se upravuje i § 8 odst. 3, neboť působnost této normy je třeba omezit pouze na proces vybírání; poplatky vymáhané celním úřadem se budou platit na příslušný účet celního úřadu.</w:t>
      </w:r>
    </w:p>
    <w:p w14:paraId="63EFCDA2"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3 (§ 8 odst. 4)</w:t>
      </w:r>
    </w:p>
    <w:p w14:paraId="01B09CB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Dochází k vypuštění možnosti platby peněžitého plnění kolkovými známkami podle daňového řádu. V podrobnostech lze odkázat na odůvodnění novely daňového řádu.</w:t>
      </w:r>
    </w:p>
    <w:p w14:paraId="6F77E7CC" w14:textId="246A9DC9" w:rsidR="00133AC8" w:rsidRPr="003730B5" w:rsidRDefault="00133AC8" w:rsidP="00133AC8">
      <w:pPr>
        <w:widowControl w:val="0"/>
        <w:spacing w:before="240" w:after="120"/>
        <w:outlineLvl w:val="2"/>
        <w:rPr>
          <w:b/>
        </w:rPr>
      </w:pPr>
      <w:r w:rsidRPr="003730B5">
        <w:rPr>
          <w:b/>
        </w:rPr>
        <w:t>K čl. </w:t>
      </w:r>
      <w:r w:rsidR="00B16ED6" w:rsidRPr="003730B5">
        <w:rPr>
          <w:b/>
        </w:rPr>
        <w:t>IX</w:t>
      </w:r>
      <w:r w:rsidRPr="003730B5">
        <w:rPr>
          <w:b/>
        </w:rPr>
        <w:t xml:space="preserve"> (Přechodná ustanovení)</w:t>
      </w:r>
    </w:p>
    <w:p w14:paraId="6604717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K vymáhání soudních poplatků bude celní úřad příslušný ode dne nabytí účinnosti tohoto zákona v případě těch pohledávek, které vzniknou ode dne nabytí účinnosti tohoto zákona.</w:t>
      </w:r>
    </w:p>
    <w:p w14:paraId="5382232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K vymáhání soudních poplatků, které vznikly přede dnem nabytí účinnosti tohoto zákona, nebyly však předány k vymáhání soudnímu exekutorovi, uplatněny v insolvenčním řízení nebo přihlášeny do veřejné dražby podle § 175 odst. 1 daňového řádu, bude celní úřad příslušný ode </w:t>
      </w:r>
      <w:r w:rsidRPr="003730B5">
        <w:rPr>
          <w:rFonts w:ascii="Times New Roman" w:hAnsi="Times New Roman"/>
          <w:color w:val="auto"/>
          <w:sz w:val="24"/>
        </w:rPr>
        <w:lastRenderedPageBreak/>
        <w:t xml:space="preserve">dne převzetí jejich vymáhání. Nebyla-li daňová exekuce pro takovou pohledávku ke dni nabytí účinnosti tohoto zákona nařízena vydáním exekučního příkazu, předá orgán, který je příslušný k jejímu vymáhání podle stávající právní úpravy, pohledávku k vymáhání celnímu úřadu bez zbytečného odkladu, nejpozději do 30. 6. 2024. Byla-li ke dni nabytí účinnosti tohoto zákona pro pohledávku nařízena daňová exekuce vydáním exekučního příkazu, postupují orgány příslušné k jejímu vymáhání podle stávající právní úpravy k jejímu vymožení. Pohledávky, které tímto postupem nebudou zcela vymoženy, předá orgán příslušný k jejich vymáhání podle stávající právní úpravy k vymáhání celnímu úřadu do 31. 12. 2024. </w:t>
      </w:r>
    </w:p>
    <w:p w14:paraId="428C1E4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Příslušnost k vymáhání pohledávek, které vznikly přede dnem účinnosti tohoto zákona a byly předány k vymáhání soudnímu exekutorovi, uplatněny v insolvenčním řízení nebo přihlášeny do veřejné dražby podle § 175 odst. 1 daňového řádu, se z procesních důvodů nemění.</w:t>
      </w:r>
    </w:p>
    <w:p w14:paraId="1471AA90" w14:textId="085015EB"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Dále jsou stanovena přechodná ustanovení v souvislosti s vypuštěním možnosti platby peněžitého plnění kolkovými známkami podle daňového řádu. V pod</w:t>
      </w:r>
      <w:r w:rsidR="006203CD" w:rsidRPr="003730B5">
        <w:rPr>
          <w:rFonts w:ascii="Times New Roman" w:hAnsi="Times New Roman"/>
          <w:color w:val="auto"/>
          <w:sz w:val="24"/>
        </w:rPr>
        <w:t>r</w:t>
      </w:r>
      <w:r w:rsidRPr="003730B5">
        <w:rPr>
          <w:rFonts w:ascii="Times New Roman" w:hAnsi="Times New Roman"/>
          <w:color w:val="auto"/>
          <w:sz w:val="24"/>
        </w:rPr>
        <w:t>obnostech lze odkázat na odůvodnění novely daňového řádu.</w:t>
      </w:r>
    </w:p>
    <w:p w14:paraId="67A90EF5"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šesté – Změna zákona o organizaci a provádění sociálního zabezpečení</w:t>
      </w:r>
    </w:p>
    <w:p w14:paraId="5BAFB32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Obecné pojednání k tématu změny principů týkající se vzniku účasti na nemocenském pojištění, a tím i placení pojistného na sociální zabezpečení u zaměstnanců pracujících na základě dohody o provedení práce je obsaženo v odůvodnění novely zákona o nemocenském pojištění.</w:t>
      </w:r>
    </w:p>
    <w:p w14:paraId="7E77E8ED" w14:textId="3900D0E9" w:rsidR="00133AC8" w:rsidRPr="003730B5" w:rsidRDefault="00133AC8" w:rsidP="00133AC8">
      <w:pPr>
        <w:keepNext/>
        <w:widowControl w:val="0"/>
        <w:spacing w:before="120" w:after="120"/>
        <w:outlineLvl w:val="2"/>
        <w:rPr>
          <w:b/>
        </w:rPr>
      </w:pPr>
      <w:r w:rsidRPr="003730B5">
        <w:rPr>
          <w:b/>
        </w:rPr>
        <w:t>K čl. </w:t>
      </w:r>
      <w:r w:rsidR="00B16ED6" w:rsidRPr="003730B5">
        <w:rPr>
          <w:b/>
        </w:rPr>
        <w:t>X</w:t>
      </w:r>
    </w:p>
    <w:p w14:paraId="592FDA89" w14:textId="77777777" w:rsidR="00133AC8" w:rsidRPr="003730B5" w:rsidRDefault="00133AC8" w:rsidP="00133AC8">
      <w:pPr>
        <w:pStyle w:val="Dvodovzprvakbodu"/>
        <w:widowControl w:val="0"/>
        <w:numPr>
          <w:ilvl w:val="0"/>
          <w:numId w:val="75"/>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6 odst. 4 písm. a) bod 8)</w:t>
      </w:r>
    </w:p>
    <w:p w14:paraId="1BDF9F26" w14:textId="54D141A4"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Doplňuje se kompetence Okresních správ sociálního zabezpečení (dále jen „OSSZ“) rozhodovat o určení plátce pojistného podle</w:t>
      </w:r>
      <w:r w:rsidR="00C1054C" w:rsidRPr="003730B5">
        <w:rPr>
          <w:rFonts w:ascii="Times New Roman" w:hAnsi="Times New Roman"/>
          <w:color w:val="auto"/>
          <w:sz w:val="24"/>
        </w:rPr>
        <w:t xml:space="preserve"> </w:t>
      </w:r>
      <w:r w:rsidRPr="003730B5">
        <w:rPr>
          <w:rFonts w:ascii="Times New Roman" w:hAnsi="Times New Roman"/>
          <w:color w:val="auto"/>
          <w:sz w:val="24"/>
        </w:rPr>
        <w:t>§ 9 odst. 8 zákona o pojistném na sociální zabezpečení a příspěvku na státní politiku zaměstnanosti.</w:t>
      </w:r>
    </w:p>
    <w:p w14:paraId="6CE9456D"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6 odst. 4 písm. z))</w:t>
      </w:r>
    </w:p>
    <w:p w14:paraId="4C195185" w14:textId="6AFB9F85"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 základě pojistného doplaceného plátcem zaměstnancem činným na základě dohody o provedení práce (dále </w:t>
      </w:r>
      <w:r w:rsidR="008764C5" w:rsidRPr="003730B5">
        <w:rPr>
          <w:rFonts w:ascii="Times New Roman" w:hAnsi="Times New Roman"/>
          <w:color w:val="auto"/>
          <w:sz w:val="24"/>
        </w:rPr>
        <w:t>též</w:t>
      </w:r>
      <w:r w:rsidRPr="003730B5">
        <w:rPr>
          <w:rFonts w:ascii="Times New Roman" w:hAnsi="Times New Roman"/>
          <w:color w:val="auto"/>
          <w:sz w:val="24"/>
        </w:rPr>
        <w:t xml:space="preserve"> „DPP“) eviduje OSSZ doby jeho pojištění za takto doplacené období a předkládá údaje o těchto dobách pojištění za každý kalendářní rok Česká správa sociálního zabezpečení (dále </w:t>
      </w:r>
      <w:r w:rsidR="008764C5" w:rsidRPr="003730B5">
        <w:rPr>
          <w:rFonts w:ascii="Times New Roman" w:hAnsi="Times New Roman"/>
          <w:color w:val="auto"/>
          <w:sz w:val="24"/>
        </w:rPr>
        <w:t>též</w:t>
      </w:r>
      <w:r w:rsidRPr="003730B5">
        <w:rPr>
          <w:rFonts w:ascii="Times New Roman" w:hAnsi="Times New Roman"/>
          <w:color w:val="auto"/>
          <w:sz w:val="24"/>
        </w:rPr>
        <w:t xml:space="preserve"> „ČSSZ“).</w:t>
      </w:r>
    </w:p>
    <w:p w14:paraId="02593CF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případě, že je plátcem pojistného zaměstnanec na základě DPP, nevyhotovuje evidenční list důchodového pojištění zaměstnavatel, ale údaje o době, za kterou zaměstnanec doplatil pojistné, eviduje OSSZ, u které bylo pojistné doplaceno a po uplynutí kalendářního roku je předkládá ČSSZ, obdobně jako údaje o OSVČ a o osobách dobrovolně účastných důchodového pojištění.</w:t>
      </w:r>
    </w:p>
    <w:p w14:paraId="348403C1"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3 a 4 (§ 7 odst. 1)</w:t>
      </w:r>
    </w:p>
    <w:p w14:paraId="4790D5E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Místní příslušnost OSSZ se řídí místem útvaru zaměstnavatele, ve kterém je vedena evidence mezd, popřípadě sídlem zaměstnavatele, jestliže se řízení týká sporu mezi zaměstnavatelem a zaměstnancem činným na základě DPP jako plátcem pojistného ve věci určení plátce pojistného.</w:t>
      </w:r>
    </w:p>
    <w:p w14:paraId="1A6B317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Iniciátorem řízení o určení plátce pojistného bude vždy zaměstnavatel. Místní příslušnost tak bude dána podle jeho sídla, resp. podle místa jeho mzdové účtárny.</w:t>
      </w:r>
    </w:p>
    <w:p w14:paraId="1D55C307" w14:textId="77777777" w:rsidR="00133AC8" w:rsidRPr="003730B5" w:rsidRDefault="00133AC8" w:rsidP="00133AC8">
      <w:pPr>
        <w:pStyle w:val="Dvodovzprvakbodu"/>
        <w:keepNext w:val="0"/>
        <w:widowControl w:val="0"/>
        <w:numPr>
          <w:ilvl w:val="0"/>
          <w:numId w:val="76"/>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(část šestá hlava třetí)</w:t>
      </w:r>
    </w:p>
    <w:p w14:paraId="7E27B5B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Pokud zaměstnavatel k návrhu o určení plátce pojistného nepřiloží doklad o splnění informační </w:t>
      </w:r>
      <w:r w:rsidRPr="003730B5">
        <w:rPr>
          <w:rFonts w:ascii="Times New Roman" w:hAnsi="Times New Roman"/>
          <w:color w:val="auto"/>
          <w:sz w:val="24"/>
        </w:rPr>
        <w:lastRenderedPageBreak/>
        <w:t xml:space="preserve">povinnosti vůči zaměstnanci, a to ani na výzvu příslušné OSSZ, OSSZ v řízení o určení plátce pojistného stanoví, že plátcem pojistného je zaměstnavatel. </w:t>
      </w:r>
    </w:p>
    <w:p w14:paraId="5473F77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Plátcem pojistného zůstává zaměstnavatel, který musí na předepsaném tiskopise podat nový přehled o výši pojistného z DPP. Pokud tak neučiní, OSSZ stanoví zaměstnavateli pravděpodobnou výši pojistného z DPP (OSSZ bude vycházet z příjmů, které zaměstnavatel vykázal). </w:t>
      </w:r>
    </w:p>
    <w:p w14:paraId="7FE967F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Pokud zaměstnavatel podá návrh na určení plátce pojistného, ale nedoloží požadované podklady, OSSZ rozhodne, že plátcem je zaměstnavatel.</w:t>
      </w:r>
    </w:p>
    <w:p w14:paraId="384689D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Informovat zaměstnance o jeho povinnostech je důležitý krok, který musí zaměstnavatel splnit. Pokud tak neučiní, bude vždy plátcem pojistného zaměstnavatel, jelikož nelze po zaměstnancích spravedlivě chtít uhradit pojistné (a to i za zaměstnavatele), pokud neobdrželi poučení od zaměstnavatele ohledně jejich oznamovací povinnosti při uzavření více DPP u více zaměstnavatelů v rámci jednoho kalendářního měsíce a to i s poučení, jaké dopady by pro zaměstnance mělo nesplnění této oznamovací povinnosti. </w:t>
      </w:r>
    </w:p>
    <w:p w14:paraId="05228A3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 obdržení návrhu od zaměstnavatele (společně s dokladem o splnění informační povinnosti vůči zaměstnanci) zahájí OSSZ řízení o určení plátce pojistného. Na toto řízení se použije správní řád. Výsledkem řízení bude rozhodnutí o určení plátce pojistného. </w:t>
      </w:r>
    </w:p>
    <w:p w14:paraId="191D580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OSSZ bude při rozhodování vycházet z toho, zda zaměstnanec doloží či nedoloží potvrzení o tom, že splnil svou oznamovací povinnost vůči zaměstnavateli. </w:t>
      </w:r>
    </w:p>
    <w:p w14:paraId="15C66AD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případě návrhu zaměstnavatele o určení plátce pojistného je zaměstnanec povinen prokazatelným způsobem doložit, že zaměstnavatele informoval o tom, že vykonává činnost na základě DPP i u jiného zaměstnavatele. Podle úpravy v zákoně o nemocenském pojištění je zaměstnanec povinen v případě, že vykonává činnost na základě DPP u více zaměstnavatelů, informovat všechny tyto zaměstnavatele ve stanovené lhůtě o této skutečnosti. Zaměstnavatel je povinen potvrdit zaměstnanci, že takovou informaci obdržel, a je povinen takové oznámení uchovávat. Pokud zaměstnavatel namítne, že žádné oznámení od zaměstnance v této věci neobdržel a zaměstnanec nedoloží, že zaměstnavatel mu potvrdil, že toto oznámení od něho obdržel, je zaměstnanec povinen uhradit pojistné ze zúčtovaného příjmu sám, a to i pojistné, které jinak platí zaměstnavatel za sebe (zpravidla ve výši 24,8 % z vyměřovacího základu). Z odměny z DPP za kalendářní měsíc např. ve výši 20 000 Kč činí pojistné na sociální pojištění, které platí zaměstnanec, 1 300 Kč a které platí zaměstnavatel, 4 960 Kč. </w:t>
      </w:r>
    </w:p>
    <w:p w14:paraId="77FDAEB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Plátce pojistného „zaměstnanec činný na základě DPP“ určený jako plátce pojistného na základě rozhodnutí OSSZ o určení plátce pojistného je povinen odvést pojistné, které je povinen platit zaměstnanec a zaměstnavatel. </w:t>
      </w:r>
    </w:p>
    <w:p w14:paraId="5A23AE6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Vyměřené pojistné je plátce „zaměstnanec činný na základě DPP“ povinen odvést do 20. kalendářního dne následujícího po měsíci, ve kterém nabylo právní moci rozhodnutí o určení plátce pojistného, pokud bylo rozhodnuto, že plátcem pojistného je „zaměstnanec činný na základě na DPP“.</w:t>
      </w:r>
    </w:p>
    <w:p w14:paraId="25E70AE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Zaměstnanec je povinen uhradit pojistné ze zúčtovaného příjmu sám, a to i pojistné, které jinak platí zaměstnavatel za sebe (zpravidla ve výši 24,8 % z vyměřovacího základu). Z odměny z DPP za kalendářní měsíc např. ve výši 20 000 Kč činí pojistné na sociální pojištění, které platí zaměstnanec, 1300 Kč a které platí zaměstnavatel, 4 960 Kč. Zaměstnanec bude povinen odvést pojistné jako plátce pojistného vždy až po pravomocném rozhodnutí příslušné OSSZ, nikdy ne dříve. Tento postup se zavádí zejména s ohledem na ochranu zaměstnance jako slabší strany. </w:t>
      </w:r>
    </w:p>
    <w:p w14:paraId="2B9AE79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Pokud bude v rozhodnutí určen plátcem pojistného zaměstnanec, bude rozhodnutí obsahovat vyčíslení dluhu na pojistném a údaje pro uhrazení dluhu (na místně příslušné OSSZ). </w:t>
      </w:r>
    </w:p>
    <w:p w14:paraId="70B335E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 xml:space="preserve">Pro odvod pojistného zaměstnancem jako plátcem pojistného je místně příslušná OSSZ podle místa trvalého pobytu zaměstnance. </w:t>
      </w:r>
    </w:p>
    <w:p w14:paraId="262741D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Zaměstnanec si nemůže sám vypočítat dlužné pojistné, ani podávat nový přehled o výši pojistného jako zaměstnavatel. Proto musí být zaměstnanci stanoveno dlužné pojistné a jeho úhrada rozhodnutím. Jelikož může být rozhodnuto o určení plátce pojistného na více různých OSSZ (zaměstnanec dostane rozhodnutí o určení plátce pojistného z několika různých OSSZ podle sídla zaměstnavatele), je třeba stanovit zaměstnanci pro odvod pojistného, jakož i pro případné vymáhání, místně příslušnou jednu OSSZ podle jeho bydliště. Na této OSSZ bude vedeno konto zaměstnance jako plátce pojistného a na tuto příslušnou OSSZ bude zaměstnanec povinen uhradit pojistné, případně tato OSSZ ho, v případě neuhrazení, bude po něm vymáhat jako dluh na pojistném.</w:t>
      </w:r>
    </w:p>
    <w:p w14:paraId="4B15E963"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123a odst. 1 písm. a))</w:t>
      </w:r>
    </w:p>
    <w:p w14:paraId="22A766B7" w14:textId="183B3002"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Jestliže dluh plátce „zaměstnance činného na základě DPP“ k 31. </w:t>
      </w:r>
      <w:r w:rsidR="00C1054C" w:rsidRPr="003730B5">
        <w:rPr>
          <w:rFonts w:ascii="Times New Roman" w:hAnsi="Times New Roman"/>
          <w:color w:val="auto"/>
          <w:sz w:val="24"/>
        </w:rPr>
        <w:t xml:space="preserve">12. </w:t>
      </w:r>
      <w:r w:rsidRPr="003730B5">
        <w:rPr>
          <w:rFonts w:ascii="Times New Roman" w:hAnsi="Times New Roman"/>
          <w:color w:val="auto"/>
          <w:sz w:val="24"/>
        </w:rPr>
        <w:t>kalendářního roku ve svém úhrnu nepřesáhne částku 100 Kč nebo bude nedobytný, odepíše se k tíži příslušného orgánu sociálního zabezpečení za stejných podmínek jako u ostatních plátců pojistného.</w:t>
      </w:r>
    </w:p>
    <w:p w14:paraId="0B1C359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I pro zaměstnance činného na základě DPP bude platit stejná podmínka pro odpis dluhu na pojistném jako u ostatních plátců pojistného.</w:t>
      </w:r>
    </w:p>
    <w:p w14:paraId="5441147C" w14:textId="77777777" w:rsidR="00133AC8" w:rsidRPr="003730B5" w:rsidRDefault="00133AC8" w:rsidP="00133AC8">
      <w:pPr>
        <w:keepNext/>
        <w:widowControl w:val="0"/>
        <w:spacing w:before="240" w:after="120"/>
        <w:outlineLvl w:val="1"/>
        <w:rPr>
          <w:rFonts w:eastAsiaTheme="minorHAnsi"/>
          <w:szCs w:val="24"/>
          <w:lang w:eastAsia="en-US"/>
        </w:rPr>
      </w:pPr>
      <w:r w:rsidRPr="003730B5">
        <w:rPr>
          <w:b/>
          <w:sz w:val="28"/>
        </w:rPr>
        <w:t>K části sedmé – Změna zákona o bankách</w:t>
      </w:r>
    </w:p>
    <w:p w14:paraId="5FBBB415" w14:textId="6F78E4F2" w:rsidR="00133AC8" w:rsidRPr="003730B5" w:rsidRDefault="00133AC8" w:rsidP="00133AC8">
      <w:pPr>
        <w:widowControl w:val="0"/>
        <w:spacing w:after="120"/>
        <w:outlineLvl w:val="2"/>
        <w:rPr>
          <w:b/>
        </w:rPr>
      </w:pPr>
      <w:r w:rsidRPr="003730B5">
        <w:rPr>
          <w:b/>
        </w:rPr>
        <w:t>K čl. </w:t>
      </w:r>
      <w:r w:rsidR="00B16ED6" w:rsidRPr="003730B5">
        <w:rPr>
          <w:b/>
        </w:rPr>
        <w:t>XI</w:t>
      </w:r>
    </w:p>
    <w:p w14:paraId="3EF87E11" w14:textId="31B0FBA4"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xml:space="preserve">K bodům 1 a 2 (§ 1 odst. 3 písm. </w:t>
      </w:r>
      <w:r w:rsidR="002554F8" w:rsidRPr="003730B5">
        <w:rPr>
          <w:rFonts w:ascii="Times New Roman" w:hAnsi="Times New Roman"/>
          <w:color w:val="auto"/>
          <w:sz w:val="24"/>
          <w:szCs w:val="24"/>
        </w:rPr>
        <w:t>q</w:t>
      </w:r>
      <w:r w:rsidRPr="003730B5">
        <w:rPr>
          <w:rFonts w:ascii="Times New Roman" w:hAnsi="Times New Roman"/>
          <w:color w:val="auto"/>
          <w:sz w:val="24"/>
          <w:szCs w:val="24"/>
        </w:rPr>
        <w:t>)</w:t>
      </w:r>
      <w:r w:rsidR="008462C9" w:rsidRPr="003730B5">
        <w:rPr>
          <w:rFonts w:ascii="Times New Roman" w:hAnsi="Times New Roman"/>
          <w:color w:val="auto"/>
          <w:sz w:val="24"/>
          <w:szCs w:val="24"/>
        </w:rPr>
        <w:t xml:space="preserve"> a r)</w:t>
      </w:r>
      <w:r w:rsidRPr="003730B5">
        <w:rPr>
          <w:rFonts w:ascii="Times New Roman" w:hAnsi="Times New Roman"/>
          <w:color w:val="auto"/>
          <w:sz w:val="24"/>
          <w:szCs w:val="24"/>
        </w:rPr>
        <w:t>)</w:t>
      </w:r>
    </w:p>
    <w:p w14:paraId="5E09365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zákoně o bankách je doplněna další činnost, kterou mohou vykonávat banky, a to poskytování stavebního spoření podle zákona upravujícího stavební spoření. K doplnění dochází v souvislosti s rozšířením okruhu subjektů oprávněných poskytovat stavební spoření o banky (§ 2 odst. 1 zákona o stavebním spoření) i vzhledem k tomu, že se jedná o činnost, která vyžaduje dohled ČNB. Z těchto důvodů nelze poskytovat stavební spoření neomezeně a bez udělení povolení v rámci bankovní licence. V rámci rozšíření licence o poskytování stavebního spoření musí banka prokázat, že má dostatečné personální i technické vybavení k poskytování tohoto finančního produktu.</w:t>
      </w:r>
    </w:p>
    <w:p w14:paraId="22771548" w14:textId="77777777" w:rsidR="00133AC8" w:rsidRPr="003730B5" w:rsidRDefault="00133AC8" w:rsidP="00133AC8">
      <w:pPr>
        <w:pStyle w:val="Dvodovzprvakbodu"/>
        <w:keepNext w:val="0"/>
        <w:widowControl w:val="0"/>
        <w:numPr>
          <w:ilvl w:val="0"/>
          <w:numId w:val="71"/>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 odst. 6)</w:t>
      </w:r>
    </w:p>
    <w:p w14:paraId="4D7824E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Stavební spoření je specifický produkt vymezený zákonem o stavebním spoření, který je poskytován pouze v České republice. Jedná se produkt se státní podporou, přičemž stát (Ministerstvo financí) provádí dozor nad dodržováním podmínek pro poskytování této podpory. Je tedy žádoucí, aby takový produkt poskytovaly pouze subjekty usazené v České republice. Proto stavební spoření nemohou poskytovat pobočky zahraniční banky se sídlem v členském státě Evropské unie nebo ve státě, který je smluvní stranou Dohody o Evropském hospodářském prostoru, která požívá výhody jednotné licence podle práva Evropské unie, neboť ta na základě jednotné bankovní licence může provozovat pouze činnosti, které má povoleny zahraniční banka. Z důvodu zachování rovného přístupu k pobočkám zahraničních bank působících v České republice a s ohledem na článek 47 odst. 1 Směrnice Evropského parlamentu a Rady 2013/36/EU, ve znění pozdějších předpisů, není umožněno ani pobočkám zahraničních bank ze třetích zemí působících v České republice stavební spoření poskytovat.</w:t>
      </w:r>
    </w:p>
    <w:p w14:paraId="152D73AA"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osmé – Změna zákona o dani z nemovitých věcí</w:t>
      </w:r>
    </w:p>
    <w:p w14:paraId="0BBAF2E3" w14:textId="336A4D00" w:rsidR="00133AC8" w:rsidRPr="003730B5" w:rsidRDefault="00133AC8" w:rsidP="00133AC8">
      <w:pPr>
        <w:keepNext/>
        <w:spacing w:before="120"/>
        <w:outlineLvl w:val="2"/>
        <w:rPr>
          <w:b/>
        </w:rPr>
      </w:pPr>
      <w:r w:rsidRPr="003730B5">
        <w:rPr>
          <w:b/>
        </w:rPr>
        <w:lastRenderedPageBreak/>
        <w:t>K čl. </w:t>
      </w:r>
      <w:r w:rsidR="00B16ED6" w:rsidRPr="003730B5">
        <w:rPr>
          <w:b/>
        </w:rPr>
        <w:t>XII</w:t>
      </w:r>
    </w:p>
    <w:p w14:paraId="1E04B5CD" w14:textId="3B581508"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rámci tohoto článku dochází k novelizaci zákona o dani z nemovitých věcí, v rámci které dochází zavedení státní části daně z nemovitých věcí, zavedení inflačního koeficientu a dalších dílčích úprav daně z nemovitých věcí.</w:t>
      </w:r>
    </w:p>
    <w:p w14:paraId="35BF29F4" w14:textId="7D52CEC2" w:rsidR="00133AC8" w:rsidRPr="003730B5" w:rsidRDefault="00133AC8" w:rsidP="00133AC8">
      <w:pPr>
        <w:pStyle w:val="Dvodovzprvakbodu"/>
        <w:keepNext w:val="0"/>
        <w:widowControl w:val="0"/>
        <w:numPr>
          <w:ilvl w:val="0"/>
          <w:numId w:val="83"/>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(nadpis části první) </w:t>
      </w:r>
    </w:p>
    <w:p w14:paraId="01B93D2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rámci tohoto novelizačního bodu dochází k posunu v systematice zákona, neboť je zavedena nová část první nesoucí název OBECNÁ USTANOVENÍ, v rámci které jsou obsažena základní ustanovení, ze kterých celá právní úprava daně z nemovitých věcí vychází. Zavedením této hlavy dochází k legislativně-technické nápravě současného stavu, kdy byla obecná ustanovení obsažená v § 1, který stál zcela vně systém členění do částí. Dosavadní části první až sedmá jsou pak v závislosti na zavedení nové části první náležitě přečíslovány.</w:t>
      </w:r>
    </w:p>
    <w:p w14:paraId="3A6AB30A" w14:textId="70E1806F" w:rsidR="00133AC8" w:rsidRPr="003730B5" w:rsidRDefault="00133AC8" w:rsidP="00133AC8">
      <w:pPr>
        <w:pStyle w:val="Dvodovzprvakbodu"/>
        <w:keepNext w:val="0"/>
        <w:widowControl w:val="0"/>
        <w:numPr>
          <w:ilvl w:val="0"/>
          <w:numId w:val="83"/>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w:t>
      </w:r>
      <w:r w:rsidR="002554F8" w:rsidRPr="003730B5">
        <w:rPr>
          <w:rFonts w:ascii="Times New Roman" w:hAnsi="Times New Roman"/>
          <w:color w:val="auto"/>
          <w:sz w:val="24"/>
          <w:szCs w:val="24"/>
        </w:rPr>
        <w:t xml:space="preserve"> odst. 2 až 4</w:t>
      </w:r>
      <w:r w:rsidRPr="003730B5">
        <w:rPr>
          <w:rFonts w:ascii="Times New Roman" w:hAnsi="Times New Roman"/>
          <w:color w:val="auto"/>
          <w:sz w:val="24"/>
          <w:szCs w:val="24"/>
        </w:rPr>
        <w:t>)</w:t>
      </w:r>
    </w:p>
    <w:p w14:paraId="2A636C3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Dosavadní § 1 je nově transformován na § 1 odst. 1. Zároveň v nově zaváděných odstavcích dochází k zavedení daně ze staveb a jednotek na státní část daně a místní část daně. Stejně je tomu i u daně z pozemků. Jedná se o věcné zavedení sdílení daně z nemovitých věcí mezi stát a obce. Nadto dochází k normativnímu začlenění daňové povinnosti tak, že její vznik je samostatný za jednotlivé územní působnosti jednotlivých správců daně.</w:t>
      </w:r>
    </w:p>
    <w:p w14:paraId="433C3654" w14:textId="77777777" w:rsidR="00133AC8" w:rsidRPr="003730B5" w:rsidRDefault="00133AC8" w:rsidP="00133AC8">
      <w:pPr>
        <w:pStyle w:val="Dvodovzprvakbodu"/>
        <w:keepNext w:val="0"/>
        <w:widowControl w:val="0"/>
        <w:numPr>
          <w:ilvl w:val="0"/>
          <w:numId w:val="83"/>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5 odst. 2)</w:t>
      </w:r>
    </w:p>
    <w:p w14:paraId="77FD0A0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rámci daně z pozemků dochází k úpravě základu daně u pozemků hospodářských lesů a rybníků s intenzivním a průmyslovým chovem, respektive v návaznosti na souběžnou novelu ustanovení o lesních pozemcích a vodních plochách (tato novela prošla meziresortním připomínkovým řízením a probíhá vypořádání připomínek), a to takovým způsobem, že základem daně bude nově vždy částka 3,80 Kč za m</w:t>
      </w:r>
      <w:r w:rsidRPr="003730B5">
        <w:rPr>
          <w:rFonts w:ascii="Times New Roman" w:hAnsi="Times New Roman"/>
          <w:color w:val="auto"/>
          <w:sz w:val="24"/>
          <w:vertAlign w:val="superscript"/>
        </w:rPr>
        <w:t>2</w:t>
      </w:r>
      <w:r w:rsidRPr="003730B5">
        <w:rPr>
          <w:rFonts w:ascii="Times New Roman" w:hAnsi="Times New Roman"/>
          <w:color w:val="auto"/>
          <w:sz w:val="24"/>
        </w:rPr>
        <w:t>. Dochází tedy ke zrušení alternativy v podobě určení základu daně u těchto pozemků na základě cenových předpisů.</w:t>
      </w:r>
    </w:p>
    <w:p w14:paraId="4175D23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Stanovení základu daně na základě cenových předpisů představovalo větší administrativní náročnost správy daně a zároveň bylo využíváno v minimálním počtu případů, neboť takto zjištěný základ daně byl pro daňové poplatníky zpravidla méně výhodný (obzvláště pak po započtení nákladů na cenové posudky). U hospodářských lesů tvoří určení základu daně podle ceny zjištěné dle platných cenových předpisů jen 0,7 % ze všech podaných daňových přiznání, u rybníků s intenzivním a průmyslovým chovem ryb je to pak 3,3 %. Z tohoto důvodu bylo přistoupeno ke zjednodušení a racionalizaci správy daně z nemovitých věcí. Vzhledem k tomu, že v případě rybníků, kde bylo stanovení základu daně na základě cenových předpisů využíváno o něco častěji, dochází souběžně k výraznému snížení daně z 0,25 % na 0,05 %, nemělo by dojít k tomu, že by u některého poplatníka byla v důsledku této změny výsledná daň nižší. Zároveň právě v případě velmi nízkých sazeb daně, jak tomu zejména u rybníků nově bude, je žádoucí, aby za účelem zajištění minimální efektivity byla jejich správa co nejjednodušší. </w:t>
      </w:r>
    </w:p>
    <w:p w14:paraId="600F03AA" w14:textId="3D2BA6DA"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Nadto je do zákona doplněno, že rozhodným dnem pro velikost výměry takovýchto pozemků je 1. </w:t>
      </w:r>
      <w:r w:rsidR="00D6156C" w:rsidRPr="003730B5">
        <w:rPr>
          <w:rFonts w:ascii="Times New Roman" w:hAnsi="Times New Roman"/>
          <w:color w:val="auto"/>
          <w:sz w:val="24"/>
        </w:rPr>
        <w:t>1.</w:t>
      </w:r>
      <w:r w:rsidRPr="003730B5">
        <w:rPr>
          <w:rFonts w:ascii="Times New Roman" w:hAnsi="Times New Roman"/>
          <w:color w:val="auto"/>
          <w:sz w:val="24"/>
        </w:rPr>
        <w:t xml:space="preserve"> zdaňovacího období. Jedná se o systematické navázání na dosavadní praxi zákona o dani z nemovitých věcí.</w:t>
      </w:r>
    </w:p>
    <w:p w14:paraId="3B0C6F9E" w14:textId="539A410F" w:rsidR="00133AC8" w:rsidRPr="003730B5" w:rsidRDefault="00133AC8" w:rsidP="00133AC8">
      <w:pPr>
        <w:pStyle w:val="Dvodovzprvakbodu"/>
        <w:keepNext w:val="0"/>
        <w:widowControl w:val="0"/>
        <w:numPr>
          <w:ilvl w:val="0"/>
          <w:numId w:val="83"/>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6 odst. 4</w:t>
      </w:r>
      <w:r w:rsidR="002554F8" w:rsidRPr="003730B5">
        <w:rPr>
          <w:rFonts w:ascii="Times New Roman" w:hAnsi="Times New Roman"/>
          <w:color w:val="auto"/>
          <w:sz w:val="24"/>
          <w:szCs w:val="24"/>
        </w:rPr>
        <w:t xml:space="preserve"> písm. b)</w:t>
      </w:r>
      <w:r w:rsidRPr="003730B5">
        <w:rPr>
          <w:rFonts w:ascii="Times New Roman" w:hAnsi="Times New Roman"/>
          <w:color w:val="auto"/>
          <w:sz w:val="24"/>
          <w:szCs w:val="24"/>
        </w:rPr>
        <w:t>)</w:t>
      </w:r>
    </w:p>
    <w:p w14:paraId="6722D89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současné době je možné koeficient daně z pozemků podle § 6 odst. 4 zvýšit o jednu kategorii, nebo jej snížit až o 3 kategorie oproti zákonem stanovenému koeficientu. V důsledku zavedení státní části daně a zároveň změny možnosti využívání místních koeficientů obcemi v rámci souběžné (již vypořádané) novely zákona o dani z nemovitých věcí, dochází k zamezení možnosti snižovat koeficient daně z pozemků podle § 6 odst. 4, aby nedocházelo ke snížení </w:t>
      </w:r>
      <w:r w:rsidRPr="003730B5">
        <w:rPr>
          <w:rFonts w:ascii="Times New Roman" w:hAnsi="Times New Roman"/>
          <w:color w:val="auto"/>
          <w:sz w:val="24"/>
        </w:rPr>
        <w:lastRenderedPageBreak/>
        <w:t>státní části daně z pozemků pod zákonný standard. Zároveň pokud však obce budou chtít své občany méně daňově zatížit, tak tak budou moci učinit skrze využití nižšího místního koeficientu. Vzhledem k tomu, že od zdaňovacího období roku 2025 bude možné místní koeficient stanovit pro určitý druh nemovitých věcí, bude možné tak učinit například právě pouze na stavební pozemky, budovy obytného domu a ostatní zdanitelné jednotky (byty), u kterých se uplatňuje koeficient podle velikosti obce, a tím pádem i možnost jeho snížení až o 3 kategorie. Namísto snížení koeficientu podle § 6 odst. 4 písm. b) například z hodnoty 3,5 na hodnotu 2,5, bude tedy možné snížit místní koeficient z 1 na 0,7, nebo pokud je v současnosti na hodnotě 2, pak na hodnotu 1,4 s tím, že toto snížení nemusí být aplikováno na ostatní nemovité věci. Snížení místního koeficientu namísto snížení koeficientu podle § 6 odst. 4 písm. b) dá, na rozdíl od současného stavu, všem obcím stejné možnosti snížit daň ze stavebních pozemků a zároveň toto snížení jemněji odstupňovat, zatímco v případě změny koeficientu podle § 6 odst. 4 písm. b) bylo snížení více skokové.</w:t>
      </w:r>
    </w:p>
    <w:p w14:paraId="3EDBEAAD" w14:textId="5DB5D85C" w:rsidR="00133AC8" w:rsidRPr="003730B5" w:rsidRDefault="00133AC8" w:rsidP="00133AC8">
      <w:pPr>
        <w:pStyle w:val="Dvodovzprvakbodu"/>
        <w:keepNext w:val="0"/>
        <w:widowControl w:val="0"/>
        <w:numPr>
          <w:ilvl w:val="0"/>
          <w:numId w:val="83"/>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11 odst. 3</w:t>
      </w:r>
      <w:r w:rsidR="002554F8" w:rsidRPr="003730B5">
        <w:rPr>
          <w:rFonts w:ascii="Times New Roman" w:hAnsi="Times New Roman"/>
          <w:color w:val="auto"/>
          <w:sz w:val="24"/>
          <w:szCs w:val="24"/>
        </w:rPr>
        <w:t xml:space="preserve"> písm. a)</w:t>
      </w:r>
      <w:r w:rsidRPr="003730B5">
        <w:rPr>
          <w:rFonts w:ascii="Times New Roman" w:hAnsi="Times New Roman"/>
          <w:color w:val="auto"/>
          <w:sz w:val="24"/>
          <w:szCs w:val="24"/>
        </w:rPr>
        <w:t>)</w:t>
      </w:r>
    </w:p>
    <w:p w14:paraId="15C6D62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současné době je možné koeficient daně ze staveb a jednotek ve smyslu § 11 odst. 3 zvýšit o jednu kategorii, nebo jej i snížit až o 3 kategorie oproti zákonem stanovenému koeficientu. V důsledku zavedení státní části daně a zároveň změny možnosti využívání místních koeficientů obcemi v rámci souběžné (již vypořádané) novely zákona o dani z nemovitých věcí, dochází k zamezení možnosti snižovat koeficient daně ze staveb a jednotek ve smyslu § 11 odst. 3, aby nedocházelo ke snížení státní části daně ze staveb a jednotek pod zákonný standard. Zároveň pokud však obce budou chtít své občany méně daňově zatížit, tak tak budou moci učinit skrze využití nižšího místního koeficientu. Vzhledem k tomu, že od zdaňovacího období roku 2025 bude možné místní koeficient stanovit pro určitý druh nemovitých věcí, bude možné tak učinit například právě pouze na stavební pozemky, budovy obytného domu a ostatní zdanitelné jednotky (byty), u kterých se uplatňuje koeficient podle velikosti obce, a tím pádem i možnost jeho snížení až o 3 kategorie. Namísto snížení koeficientu podle § 11 odst. 3 písm. a) například z hodnoty 3,5 na hodnotu 2,5, bude tedy možné snížit u vybraných nemovitých věcí koeficient z 1 na 0,7, nebo pokud je v současnosti na hodnotě 2, pak na hodnotu 1,4 s tím, že toto snížení nemusí být aplikováno na ostatní nemovité věci. Snížení místního koeficientu namísto snížení koeficientu podle § 11 odst. 3 písm. a) dá, na rozdíl od současného stavu, všem obcím stejné možnosti snížit daň z budov obytných domů a z ostatních zdanitelných jednotek (bytů) a zároveň toto snížení jemněji odstupňovat, zatímco v případě změny koeficientu podle § 11 odst. 3 písm. a) bylo snížení více skokové.</w:t>
      </w:r>
    </w:p>
    <w:p w14:paraId="08134256" w14:textId="41779AAF" w:rsidR="00133AC8" w:rsidRPr="003730B5" w:rsidRDefault="00133AC8" w:rsidP="00133AC8">
      <w:pPr>
        <w:pStyle w:val="Dvodovzprvakbodu"/>
        <w:keepNext w:val="0"/>
        <w:widowControl w:val="0"/>
        <w:numPr>
          <w:ilvl w:val="0"/>
          <w:numId w:val="83"/>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(část čtvrt</w:t>
      </w:r>
      <w:r w:rsidR="002554F8" w:rsidRPr="003730B5">
        <w:rPr>
          <w:rFonts w:ascii="Times New Roman" w:hAnsi="Times New Roman"/>
          <w:color w:val="auto"/>
          <w:sz w:val="24"/>
          <w:szCs w:val="24"/>
        </w:rPr>
        <w:t>á</w:t>
      </w:r>
      <w:r w:rsidRPr="003730B5">
        <w:rPr>
          <w:rFonts w:ascii="Times New Roman" w:hAnsi="Times New Roman"/>
          <w:color w:val="auto"/>
          <w:sz w:val="24"/>
          <w:szCs w:val="24"/>
        </w:rPr>
        <w:t>)</w:t>
      </w:r>
    </w:p>
    <w:p w14:paraId="65E4836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Dochází k zavedení nové části čtvrté s názvem KOEFICIENTY A VÝPOČET DANĚ, v rámci které jsou zaváděna ustanovení týkající se místního koeficientu (dochází k přesunu do této nové části s drobnou úpravou), inflačního koeficientu a způsobu výpočtu daně z nemovitých věcí. Ustanovení týkající se koeficientů jsou sdružené v rámci hlavy první, ustanovení týkající se způsobu výpočtu daně z nemovitých věcí jsou obsaženy v hlavě druhé. Dosavadní části čtvrtá až osmá jsou náležitě přečíslovány.</w:t>
      </w:r>
    </w:p>
    <w:p w14:paraId="0A910B8A" w14:textId="77777777" w:rsidR="00133AC8" w:rsidRPr="003730B5" w:rsidRDefault="00133AC8" w:rsidP="00A24C00">
      <w:pPr>
        <w:keepNext/>
        <w:spacing w:before="120"/>
        <w:outlineLvl w:val="6"/>
        <w:rPr>
          <w:u w:val="single"/>
        </w:rPr>
      </w:pPr>
      <w:r w:rsidRPr="003730B5">
        <w:rPr>
          <w:u w:val="single"/>
        </w:rPr>
        <w:t>K hlavě I</w:t>
      </w:r>
    </w:p>
    <w:p w14:paraId="797464CD" w14:textId="77777777" w:rsidR="00133AC8" w:rsidRPr="003730B5" w:rsidRDefault="00133AC8" w:rsidP="00A24C00">
      <w:pPr>
        <w:keepNext/>
        <w:spacing w:before="120"/>
        <w:outlineLvl w:val="6"/>
        <w:rPr>
          <w:u w:val="single"/>
        </w:rPr>
      </w:pPr>
      <w:r w:rsidRPr="003730B5">
        <w:rPr>
          <w:u w:val="single"/>
        </w:rPr>
        <w:t>K § 12:</w:t>
      </w:r>
    </w:p>
    <w:p w14:paraId="014C0B1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Nová právní úprava přebírá znění současného ustanovení § 12, který se týká místního koeficientu s výjimkou změny spodní hranice. Nově je obcím umožněno, aby pomocí místního koeficientu daň z nemovitých věcí na svém území nejen zvyšovaly, ale též aby je případně mohly snižovat. Místní koeficient má dopad pouze na výší místní části daně z nemovitých věcí, výnos státní části daně tak úpravou místního koeficientu nebude nijak dotčen.</w:t>
      </w:r>
    </w:p>
    <w:p w14:paraId="5D52BD62" w14:textId="77777777" w:rsidR="00133AC8" w:rsidRPr="003730B5" w:rsidRDefault="00133AC8" w:rsidP="00A24C00">
      <w:pPr>
        <w:keepNext/>
        <w:spacing w:before="120"/>
        <w:outlineLvl w:val="6"/>
        <w:rPr>
          <w:u w:val="single"/>
        </w:rPr>
      </w:pPr>
      <w:r w:rsidRPr="003730B5">
        <w:rPr>
          <w:u w:val="single"/>
        </w:rPr>
        <w:lastRenderedPageBreak/>
        <w:t>K § 12a:</w:t>
      </w:r>
    </w:p>
    <w:p w14:paraId="4A3849B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právní úprava zavádí do daně z nemovitých věcí inflační koeficient, skrze který bude docházet k udržování stejné hodnoty výnosu daně z nemovitých věcí. Jedná se o automatický inflační mechanismus, který bude fungovat automaticky. Inflační koeficient dopadá jak na místní část daně, tak i na státní část.</w:t>
      </w:r>
    </w:p>
    <w:p w14:paraId="6C71EDF7" w14:textId="77777777" w:rsidR="00133AC8" w:rsidRPr="003730B5" w:rsidRDefault="00133AC8" w:rsidP="00133AC8">
      <w:pPr>
        <w:keepNext/>
        <w:spacing w:before="120"/>
        <w:outlineLvl w:val="6"/>
        <w:rPr>
          <w:u w:val="single"/>
        </w:rPr>
      </w:pPr>
      <w:r w:rsidRPr="003730B5">
        <w:rPr>
          <w:u w:val="single"/>
        </w:rPr>
        <w:t>K odstavcům 1 až 3:</w:t>
      </w:r>
    </w:p>
    <w:p w14:paraId="69C304CE" w14:textId="5F0821B0"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rámci navrhované úpravy je obsažen výpočtový mechanismus na určení výše inflačního koeficientu, který je odvozen od bazického úhrnného indexu spotřebitelských cen za domácnosti celkem tak, jak je sbírá Český statistický úřad. Inflační koeficient se vypočte jako podíl bazického úhrnného indexu k měsíci květnu roku předcházejícímu zdaňovacímu období a základu 100, přičemž se tento výsledek zaokrouhlí na jedno desetinné číslo směrem dolů. Referenčním měsícem pro určení inflačního koeficientu pro následující zdaňovací období bude tedy vždy měsíc květen s tím, že data k tomuto měsíci jsou zveřejňována 10. </w:t>
      </w:r>
      <w:r w:rsidR="00DD35A1" w:rsidRPr="003730B5">
        <w:rPr>
          <w:rFonts w:ascii="Times New Roman" w:hAnsi="Times New Roman"/>
          <w:color w:val="auto"/>
          <w:sz w:val="24"/>
        </w:rPr>
        <w:t xml:space="preserve">6. </w:t>
      </w:r>
      <w:r w:rsidRPr="003730B5">
        <w:rPr>
          <w:rFonts w:ascii="Times New Roman" w:hAnsi="Times New Roman"/>
          <w:color w:val="auto"/>
          <w:sz w:val="24"/>
        </w:rPr>
        <w:t>(s odchylkou v řádu maximálně dvou dnů). To poskytuje Ministerstvu financí dostatek času (2 – 3 týdny) k vyhlášení sdělení o změně inflačního koeficientu do 30.</w:t>
      </w:r>
      <w:r w:rsidR="00820D28" w:rsidRPr="003730B5">
        <w:rPr>
          <w:rFonts w:ascii="Times New Roman" w:hAnsi="Times New Roman"/>
          <w:color w:val="auto"/>
          <w:sz w:val="24"/>
        </w:rPr>
        <w:t xml:space="preserve"> 6.</w:t>
      </w:r>
      <w:r w:rsidRPr="003730B5">
        <w:rPr>
          <w:rFonts w:ascii="Times New Roman" w:hAnsi="Times New Roman"/>
          <w:color w:val="auto"/>
          <w:sz w:val="24"/>
        </w:rPr>
        <w:t xml:space="preserve"> v případě, že k jeho zvýšení dojde.</w:t>
      </w:r>
    </w:p>
    <w:p w14:paraId="799C383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Zároveň právní úprava zamezuje meziročnímu snížení inflačního koeficientu.</w:t>
      </w:r>
    </w:p>
    <w:p w14:paraId="7925669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právní úprava obsahuje takzvanou inflační brzdu pro případ pádivé inflace v meziroční výši převyšující 20 %. V takovém případě se meziročně zvýší inflační koeficient pouze o 20 %. Inflace, která by nebyla daný rok započtena do výše inflačního koeficientu, však „nepropadá“ a projeví se s odkladem v následujících letech.</w:t>
      </w:r>
    </w:p>
    <w:p w14:paraId="2ADE0CDF" w14:textId="77777777" w:rsidR="00133AC8" w:rsidRPr="003730B5" w:rsidRDefault="00133AC8" w:rsidP="00133AC8">
      <w:pPr>
        <w:pStyle w:val="Dvodovzprva"/>
        <w:widowControl w:val="0"/>
        <w:spacing w:after="120"/>
        <w:outlineLvl w:val="9"/>
        <w:rPr>
          <w:rFonts w:ascii="Times New Roman" w:hAnsi="Times New Roman"/>
          <w:color w:val="auto"/>
          <w:sz w:val="24"/>
        </w:rPr>
      </w:pPr>
      <w:r w:rsidRPr="003730B5">
        <w:rPr>
          <w:rFonts w:ascii="Times New Roman" w:hAnsi="Times New Roman"/>
          <w:color w:val="auto"/>
          <w:sz w:val="24"/>
        </w:rPr>
        <w:t>Jako ilustrativní příklad obou výše zmiňovaných ustanovení poslouží následující tabulka s hypotetickými hodnotami inflace (deflace) pro roky 2024 až 2029. V letech 2024 až 2026 dochází k pádivé inflaci, která se do hodnoty inflačního koeficientu promítne pouze částečně. V roce 2027 dochází ke srovnání výše inflačního koeficientu ve vztahu k hodnotě bazického úhrnného indexu v rámci standardního výpočtu, tento stav platí i pro rok 2028. V roce 2029 dochází k deflaci, nicméně s ohledem na výše popsané ustanovení zůstává výše inflačního koeficientu na stejné výši a nijak nesnižuje.</w:t>
      </w:r>
    </w:p>
    <w:tbl>
      <w:tblPr>
        <w:tblStyle w:val="Tabulkasmkou3"/>
        <w:tblW w:w="0" w:type="auto"/>
        <w:tblLook w:val="0420" w:firstRow="1" w:lastRow="0" w:firstColumn="0" w:lastColumn="0" w:noHBand="0" w:noVBand="1"/>
      </w:tblPr>
      <w:tblGrid>
        <w:gridCol w:w="2265"/>
        <w:gridCol w:w="2265"/>
        <w:gridCol w:w="2266"/>
        <w:gridCol w:w="2266"/>
      </w:tblGrid>
      <w:tr w:rsidR="00133AC8" w:rsidRPr="003730B5" w14:paraId="3F181820" w14:textId="77777777" w:rsidTr="008764C5">
        <w:trPr>
          <w:cnfStyle w:val="100000000000" w:firstRow="1" w:lastRow="0" w:firstColumn="0" w:lastColumn="0" w:oddVBand="0" w:evenVBand="0" w:oddHBand="0" w:evenHBand="0" w:firstRowFirstColumn="0" w:firstRowLastColumn="0" w:lastRowFirstColumn="0" w:lastRowLastColumn="0"/>
        </w:trPr>
        <w:tc>
          <w:tcPr>
            <w:tcW w:w="2265" w:type="dxa"/>
            <w:vAlign w:val="center"/>
          </w:tcPr>
          <w:p w14:paraId="23A08248" w14:textId="77777777" w:rsidR="00133AC8" w:rsidRPr="003730B5" w:rsidRDefault="00133AC8" w:rsidP="008764C5">
            <w:pPr>
              <w:spacing w:before="120"/>
              <w:jc w:val="center"/>
              <w:outlineLvl w:val="0"/>
            </w:pPr>
            <w:r w:rsidRPr="003730B5">
              <w:t>Rok</w:t>
            </w:r>
          </w:p>
        </w:tc>
        <w:tc>
          <w:tcPr>
            <w:tcW w:w="2265" w:type="dxa"/>
            <w:vAlign w:val="center"/>
          </w:tcPr>
          <w:p w14:paraId="5FB2D1A1" w14:textId="77777777" w:rsidR="00133AC8" w:rsidRPr="003730B5" w:rsidRDefault="00133AC8" w:rsidP="008764C5">
            <w:pPr>
              <w:spacing w:before="120"/>
              <w:jc w:val="center"/>
              <w:outlineLvl w:val="0"/>
            </w:pPr>
            <w:r w:rsidRPr="003730B5">
              <w:t>Meziroční inflace / deflace (období květen - květen)</w:t>
            </w:r>
          </w:p>
        </w:tc>
        <w:tc>
          <w:tcPr>
            <w:tcW w:w="2266" w:type="dxa"/>
            <w:vAlign w:val="center"/>
          </w:tcPr>
          <w:p w14:paraId="6A2106A5" w14:textId="77777777" w:rsidR="00133AC8" w:rsidRPr="003730B5" w:rsidRDefault="00133AC8" w:rsidP="008764C5">
            <w:pPr>
              <w:spacing w:before="120"/>
              <w:jc w:val="center"/>
              <w:outlineLvl w:val="0"/>
            </w:pPr>
            <w:r w:rsidRPr="003730B5">
              <w:t>Hodnota bazického úhrnného indexu</w:t>
            </w:r>
          </w:p>
        </w:tc>
        <w:tc>
          <w:tcPr>
            <w:tcW w:w="2266" w:type="dxa"/>
            <w:vAlign w:val="center"/>
          </w:tcPr>
          <w:p w14:paraId="1008DD22" w14:textId="77777777" w:rsidR="00133AC8" w:rsidRPr="003730B5" w:rsidRDefault="00133AC8" w:rsidP="008764C5">
            <w:pPr>
              <w:spacing w:before="120"/>
              <w:jc w:val="center"/>
              <w:outlineLvl w:val="0"/>
            </w:pPr>
            <w:r w:rsidRPr="003730B5">
              <w:t>Výše inflačního koeficientu pro následující zdaňovací období</w:t>
            </w:r>
          </w:p>
        </w:tc>
      </w:tr>
      <w:tr w:rsidR="00133AC8" w:rsidRPr="003730B5" w14:paraId="639E6D27" w14:textId="77777777" w:rsidTr="008764C5">
        <w:trPr>
          <w:cnfStyle w:val="000000100000" w:firstRow="0" w:lastRow="0" w:firstColumn="0" w:lastColumn="0" w:oddVBand="0" w:evenVBand="0" w:oddHBand="1" w:evenHBand="0" w:firstRowFirstColumn="0" w:firstRowLastColumn="0" w:lastRowFirstColumn="0" w:lastRowLastColumn="0"/>
        </w:trPr>
        <w:tc>
          <w:tcPr>
            <w:tcW w:w="2265" w:type="dxa"/>
          </w:tcPr>
          <w:p w14:paraId="1A625500" w14:textId="77777777" w:rsidR="00133AC8" w:rsidRPr="003730B5" w:rsidRDefault="00133AC8" w:rsidP="008764C5">
            <w:pPr>
              <w:spacing w:before="120"/>
              <w:outlineLvl w:val="0"/>
            </w:pPr>
            <w:r w:rsidRPr="003730B5">
              <w:t>2024</w:t>
            </w:r>
          </w:p>
        </w:tc>
        <w:tc>
          <w:tcPr>
            <w:tcW w:w="2265" w:type="dxa"/>
          </w:tcPr>
          <w:p w14:paraId="49639E84" w14:textId="77777777" w:rsidR="00133AC8" w:rsidRPr="003730B5" w:rsidRDefault="00133AC8" w:rsidP="008764C5">
            <w:pPr>
              <w:spacing w:before="120"/>
              <w:outlineLvl w:val="0"/>
            </w:pPr>
            <w:r w:rsidRPr="003730B5">
              <w:t>23,5%</w:t>
            </w:r>
          </w:p>
        </w:tc>
        <w:tc>
          <w:tcPr>
            <w:tcW w:w="2266" w:type="dxa"/>
          </w:tcPr>
          <w:p w14:paraId="0DC50CAA" w14:textId="77777777" w:rsidR="00133AC8" w:rsidRPr="003730B5" w:rsidRDefault="00133AC8" w:rsidP="008764C5">
            <w:pPr>
              <w:spacing w:before="120"/>
              <w:outlineLvl w:val="0"/>
            </w:pPr>
            <w:r w:rsidRPr="003730B5">
              <w:t>123,5</w:t>
            </w:r>
          </w:p>
        </w:tc>
        <w:tc>
          <w:tcPr>
            <w:tcW w:w="2266" w:type="dxa"/>
          </w:tcPr>
          <w:p w14:paraId="5B83A003" w14:textId="77777777" w:rsidR="00133AC8" w:rsidRPr="003730B5" w:rsidRDefault="00133AC8" w:rsidP="008764C5">
            <w:pPr>
              <w:spacing w:before="120"/>
              <w:outlineLvl w:val="0"/>
            </w:pPr>
            <w:r w:rsidRPr="003730B5">
              <w:t>1,2</w:t>
            </w:r>
          </w:p>
        </w:tc>
      </w:tr>
      <w:tr w:rsidR="00133AC8" w:rsidRPr="003730B5" w14:paraId="3FFC5E0F" w14:textId="77777777" w:rsidTr="008764C5">
        <w:tc>
          <w:tcPr>
            <w:tcW w:w="2265" w:type="dxa"/>
          </w:tcPr>
          <w:p w14:paraId="4FCE57BF" w14:textId="77777777" w:rsidR="00133AC8" w:rsidRPr="003730B5" w:rsidRDefault="00133AC8" w:rsidP="008764C5">
            <w:pPr>
              <w:spacing w:before="120"/>
              <w:outlineLvl w:val="0"/>
            </w:pPr>
            <w:r w:rsidRPr="003730B5">
              <w:t>2025</w:t>
            </w:r>
          </w:p>
        </w:tc>
        <w:tc>
          <w:tcPr>
            <w:tcW w:w="2265" w:type="dxa"/>
          </w:tcPr>
          <w:p w14:paraId="3A09076A" w14:textId="77777777" w:rsidR="00133AC8" w:rsidRPr="003730B5" w:rsidRDefault="00133AC8" w:rsidP="008764C5">
            <w:pPr>
              <w:spacing w:before="120"/>
              <w:outlineLvl w:val="0"/>
            </w:pPr>
            <w:r w:rsidRPr="003730B5">
              <w:t>26,3%</w:t>
            </w:r>
          </w:p>
        </w:tc>
        <w:tc>
          <w:tcPr>
            <w:tcW w:w="2266" w:type="dxa"/>
          </w:tcPr>
          <w:p w14:paraId="076E3CDC" w14:textId="77777777" w:rsidR="00133AC8" w:rsidRPr="003730B5" w:rsidRDefault="00133AC8" w:rsidP="008764C5">
            <w:pPr>
              <w:spacing w:before="120"/>
              <w:outlineLvl w:val="0"/>
            </w:pPr>
            <w:r w:rsidRPr="003730B5">
              <w:t>155,9</w:t>
            </w:r>
          </w:p>
        </w:tc>
        <w:tc>
          <w:tcPr>
            <w:tcW w:w="2266" w:type="dxa"/>
          </w:tcPr>
          <w:p w14:paraId="2B21851C" w14:textId="77777777" w:rsidR="00133AC8" w:rsidRPr="003730B5" w:rsidRDefault="00133AC8" w:rsidP="008764C5">
            <w:pPr>
              <w:spacing w:before="120"/>
              <w:outlineLvl w:val="0"/>
            </w:pPr>
            <w:r w:rsidRPr="003730B5">
              <w:t>1,4</w:t>
            </w:r>
          </w:p>
        </w:tc>
      </w:tr>
      <w:tr w:rsidR="00133AC8" w:rsidRPr="003730B5" w14:paraId="5EEDED78" w14:textId="77777777" w:rsidTr="008764C5">
        <w:trPr>
          <w:cnfStyle w:val="000000100000" w:firstRow="0" w:lastRow="0" w:firstColumn="0" w:lastColumn="0" w:oddVBand="0" w:evenVBand="0" w:oddHBand="1" w:evenHBand="0" w:firstRowFirstColumn="0" w:firstRowLastColumn="0" w:lastRowFirstColumn="0" w:lastRowLastColumn="0"/>
        </w:trPr>
        <w:tc>
          <w:tcPr>
            <w:tcW w:w="2265" w:type="dxa"/>
          </w:tcPr>
          <w:p w14:paraId="4FB14BF3" w14:textId="77777777" w:rsidR="00133AC8" w:rsidRPr="003730B5" w:rsidRDefault="00133AC8" w:rsidP="008764C5">
            <w:pPr>
              <w:spacing w:before="120"/>
              <w:outlineLvl w:val="0"/>
            </w:pPr>
            <w:r w:rsidRPr="003730B5">
              <w:t>2026</w:t>
            </w:r>
          </w:p>
        </w:tc>
        <w:tc>
          <w:tcPr>
            <w:tcW w:w="2265" w:type="dxa"/>
          </w:tcPr>
          <w:p w14:paraId="5FBB95B2" w14:textId="77777777" w:rsidR="00133AC8" w:rsidRPr="003730B5" w:rsidRDefault="00133AC8" w:rsidP="008764C5">
            <w:pPr>
              <w:spacing w:before="120"/>
              <w:outlineLvl w:val="0"/>
            </w:pPr>
            <w:r w:rsidRPr="003730B5">
              <w:t>12,2%</w:t>
            </w:r>
          </w:p>
        </w:tc>
        <w:tc>
          <w:tcPr>
            <w:tcW w:w="2266" w:type="dxa"/>
          </w:tcPr>
          <w:p w14:paraId="3A6AC780" w14:textId="77777777" w:rsidR="00133AC8" w:rsidRPr="003730B5" w:rsidRDefault="00133AC8" w:rsidP="008764C5">
            <w:pPr>
              <w:spacing w:before="120"/>
              <w:outlineLvl w:val="0"/>
            </w:pPr>
            <w:r w:rsidRPr="003730B5">
              <w:t>175</w:t>
            </w:r>
          </w:p>
        </w:tc>
        <w:tc>
          <w:tcPr>
            <w:tcW w:w="2266" w:type="dxa"/>
          </w:tcPr>
          <w:p w14:paraId="2D743A50" w14:textId="77777777" w:rsidR="00133AC8" w:rsidRPr="003730B5" w:rsidRDefault="00133AC8" w:rsidP="008764C5">
            <w:pPr>
              <w:spacing w:before="120"/>
              <w:outlineLvl w:val="0"/>
            </w:pPr>
            <w:r w:rsidRPr="003730B5">
              <w:t>1,6</w:t>
            </w:r>
          </w:p>
        </w:tc>
      </w:tr>
      <w:tr w:rsidR="00133AC8" w:rsidRPr="003730B5" w14:paraId="2B062828" w14:textId="77777777" w:rsidTr="008764C5">
        <w:tc>
          <w:tcPr>
            <w:tcW w:w="2265" w:type="dxa"/>
          </w:tcPr>
          <w:p w14:paraId="68BC0FB3" w14:textId="77777777" w:rsidR="00133AC8" w:rsidRPr="003730B5" w:rsidRDefault="00133AC8" w:rsidP="008764C5">
            <w:pPr>
              <w:spacing w:before="120"/>
              <w:outlineLvl w:val="0"/>
            </w:pPr>
            <w:r w:rsidRPr="003730B5">
              <w:t>2027</w:t>
            </w:r>
          </w:p>
        </w:tc>
        <w:tc>
          <w:tcPr>
            <w:tcW w:w="2265" w:type="dxa"/>
          </w:tcPr>
          <w:p w14:paraId="11B33094" w14:textId="77777777" w:rsidR="00133AC8" w:rsidRPr="003730B5" w:rsidRDefault="00133AC8" w:rsidP="008764C5">
            <w:pPr>
              <w:spacing w:before="120"/>
              <w:outlineLvl w:val="0"/>
            </w:pPr>
            <w:r w:rsidRPr="003730B5">
              <w:t>7,1%</w:t>
            </w:r>
          </w:p>
        </w:tc>
        <w:tc>
          <w:tcPr>
            <w:tcW w:w="2266" w:type="dxa"/>
          </w:tcPr>
          <w:p w14:paraId="225B5C7C" w14:textId="77777777" w:rsidR="00133AC8" w:rsidRPr="003730B5" w:rsidRDefault="00133AC8" w:rsidP="008764C5">
            <w:pPr>
              <w:spacing w:before="120"/>
              <w:outlineLvl w:val="0"/>
            </w:pPr>
            <w:r w:rsidRPr="003730B5">
              <w:t>187,4</w:t>
            </w:r>
          </w:p>
        </w:tc>
        <w:tc>
          <w:tcPr>
            <w:tcW w:w="2266" w:type="dxa"/>
          </w:tcPr>
          <w:p w14:paraId="25F7B5CC" w14:textId="77777777" w:rsidR="00133AC8" w:rsidRPr="003730B5" w:rsidRDefault="00133AC8" w:rsidP="008764C5">
            <w:pPr>
              <w:spacing w:before="120"/>
              <w:outlineLvl w:val="0"/>
            </w:pPr>
            <w:r w:rsidRPr="003730B5">
              <w:t>1,8</w:t>
            </w:r>
          </w:p>
        </w:tc>
      </w:tr>
      <w:tr w:rsidR="00133AC8" w:rsidRPr="003730B5" w14:paraId="61AF4BF5" w14:textId="77777777" w:rsidTr="008764C5">
        <w:trPr>
          <w:cnfStyle w:val="000000100000" w:firstRow="0" w:lastRow="0" w:firstColumn="0" w:lastColumn="0" w:oddVBand="0" w:evenVBand="0" w:oddHBand="1" w:evenHBand="0" w:firstRowFirstColumn="0" w:firstRowLastColumn="0" w:lastRowFirstColumn="0" w:lastRowLastColumn="0"/>
        </w:trPr>
        <w:tc>
          <w:tcPr>
            <w:tcW w:w="2265" w:type="dxa"/>
          </w:tcPr>
          <w:p w14:paraId="263F403A" w14:textId="77777777" w:rsidR="00133AC8" w:rsidRPr="003730B5" w:rsidRDefault="00133AC8" w:rsidP="008764C5">
            <w:pPr>
              <w:spacing w:before="120"/>
              <w:outlineLvl w:val="0"/>
            </w:pPr>
            <w:r w:rsidRPr="003730B5">
              <w:t>2028</w:t>
            </w:r>
          </w:p>
        </w:tc>
        <w:tc>
          <w:tcPr>
            <w:tcW w:w="2265" w:type="dxa"/>
          </w:tcPr>
          <w:p w14:paraId="638FC5AA" w14:textId="77777777" w:rsidR="00133AC8" w:rsidRPr="003730B5" w:rsidRDefault="00133AC8" w:rsidP="008764C5">
            <w:pPr>
              <w:spacing w:before="120"/>
              <w:outlineLvl w:val="0"/>
            </w:pPr>
            <w:r w:rsidRPr="003730B5">
              <w:t>6,8%</w:t>
            </w:r>
          </w:p>
        </w:tc>
        <w:tc>
          <w:tcPr>
            <w:tcW w:w="2266" w:type="dxa"/>
          </w:tcPr>
          <w:p w14:paraId="1D9EE75F" w14:textId="77777777" w:rsidR="00133AC8" w:rsidRPr="003730B5" w:rsidRDefault="00133AC8" w:rsidP="008764C5">
            <w:pPr>
              <w:spacing w:before="120"/>
              <w:outlineLvl w:val="0"/>
            </w:pPr>
            <w:r w:rsidRPr="003730B5">
              <w:t>200,2</w:t>
            </w:r>
          </w:p>
        </w:tc>
        <w:tc>
          <w:tcPr>
            <w:tcW w:w="2266" w:type="dxa"/>
          </w:tcPr>
          <w:p w14:paraId="741EEE77" w14:textId="77777777" w:rsidR="00133AC8" w:rsidRPr="003730B5" w:rsidRDefault="00133AC8" w:rsidP="008764C5">
            <w:pPr>
              <w:spacing w:before="120"/>
              <w:outlineLvl w:val="0"/>
            </w:pPr>
            <w:r w:rsidRPr="003730B5">
              <w:t>2</w:t>
            </w:r>
          </w:p>
        </w:tc>
      </w:tr>
      <w:tr w:rsidR="00133AC8" w:rsidRPr="003730B5" w14:paraId="0489D1DA" w14:textId="77777777" w:rsidTr="008764C5">
        <w:tc>
          <w:tcPr>
            <w:tcW w:w="2265" w:type="dxa"/>
          </w:tcPr>
          <w:p w14:paraId="1D01D23E" w14:textId="77777777" w:rsidR="00133AC8" w:rsidRPr="003730B5" w:rsidRDefault="00133AC8" w:rsidP="008764C5">
            <w:pPr>
              <w:spacing w:before="120"/>
              <w:outlineLvl w:val="0"/>
            </w:pPr>
            <w:r w:rsidRPr="003730B5">
              <w:t>2029</w:t>
            </w:r>
          </w:p>
        </w:tc>
        <w:tc>
          <w:tcPr>
            <w:tcW w:w="2265" w:type="dxa"/>
          </w:tcPr>
          <w:p w14:paraId="69EB5F00" w14:textId="77777777" w:rsidR="00133AC8" w:rsidRPr="003730B5" w:rsidRDefault="00133AC8" w:rsidP="008764C5">
            <w:pPr>
              <w:spacing w:before="120"/>
              <w:outlineLvl w:val="0"/>
            </w:pPr>
            <w:r w:rsidRPr="003730B5">
              <w:t>-0,8%</w:t>
            </w:r>
          </w:p>
        </w:tc>
        <w:tc>
          <w:tcPr>
            <w:tcW w:w="2266" w:type="dxa"/>
          </w:tcPr>
          <w:p w14:paraId="05A871F9" w14:textId="77777777" w:rsidR="00133AC8" w:rsidRPr="003730B5" w:rsidRDefault="00133AC8" w:rsidP="008764C5">
            <w:pPr>
              <w:spacing w:before="120"/>
              <w:outlineLvl w:val="0"/>
            </w:pPr>
            <w:r w:rsidRPr="003730B5">
              <w:t>198,6</w:t>
            </w:r>
          </w:p>
        </w:tc>
        <w:tc>
          <w:tcPr>
            <w:tcW w:w="2266" w:type="dxa"/>
          </w:tcPr>
          <w:p w14:paraId="2A29114F" w14:textId="77777777" w:rsidR="00133AC8" w:rsidRPr="003730B5" w:rsidRDefault="00133AC8" w:rsidP="008764C5">
            <w:pPr>
              <w:spacing w:before="120"/>
              <w:outlineLvl w:val="0"/>
            </w:pPr>
            <w:r w:rsidRPr="003730B5">
              <w:t>2</w:t>
            </w:r>
          </w:p>
        </w:tc>
      </w:tr>
    </w:tbl>
    <w:p w14:paraId="36445CFB" w14:textId="77777777" w:rsidR="00133AC8" w:rsidRPr="003730B5" w:rsidRDefault="00133AC8" w:rsidP="00133AC8">
      <w:pPr>
        <w:keepNext/>
        <w:spacing w:before="120"/>
        <w:outlineLvl w:val="6"/>
        <w:rPr>
          <w:u w:val="single"/>
        </w:rPr>
      </w:pPr>
      <w:r w:rsidRPr="003730B5">
        <w:rPr>
          <w:u w:val="single"/>
        </w:rPr>
        <w:t>K odstavci 4:</w:t>
      </w:r>
    </w:p>
    <w:p w14:paraId="77AFD947" w14:textId="56013A26"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Výše inflačního koeficientu vzešlá z výpočtu podle odstavců 1 a 3 je již sama o sobě platná, nicméně Ministerstvo financí má dle navrhované právní úpravy povinnost do 30. </w:t>
      </w:r>
      <w:r w:rsidR="00820D28" w:rsidRPr="003730B5">
        <w:rPr>
          <w:rFonts w:ascii="Times New Roman" w:hAnsi="Times New Roman"/>
          <w:color w:val="auto"/>
          <w:sz w:val="24"/>
        </w:rPr>
        <w:t>6.</w:t>
      </w:r>
      <w:r w:rsidRPr="003730B5">
        <w:rPr>
          <w:rFonts w:ascii="Times New Roman" w:hAnsi="Times New Roman"/>
          <w:color w:val="auto"/>
          <w:sz w:val="24"/>
        </w:rPr>
        <w:t xml:space="preserve"> roku předcházejícího zdaňovacímu období výši inflačního koeficientu deklaratorně zveřejnit skrze sdělení uveřejněné ve Sbírce předpisů. K tomuto uveřejnění však bude docházet pouze v situacích, kdy se oproti předchozímu roku inflační koeficient bude zvyšovat. Je tedy </w:t>
      </w:r>
      <w:r w:rsidRPr="003730B5">
        <w:rPr>
          <w:rFonts w:ascii="Times New Roman" w:hAnsi="Times New Roman"/>
          <w:color w:val="auto"/>
          <w:sz w:val="24"/>
        </w:rPr>
        <w:lastRenderedPageBreak/>
        <w:t xml:space="preserve">vyloučena situace, že by skrze uvážení Ministerstva financí nedošlo k uveřejnění sdělení, a tím pádem by nedošlo ke zvýšení inflačního koeficientu. </w:t>
      </w:r>
    </w:p>
    <w:p w14:paraId="302F7FAA" w14:textId="77777777" w:rsidR="00133AC8" w:rsidRPr="003730B5" w:rsidRDefault="00133AC8" w:rsidP="00133AC8">
      <w:pPr>
        <w:keepNext/>
        <w:spacing w:before="120"/>
        <w:outlineLvl w:val="6"/>
        <w:rPr>
          <w:u w:val="single"/>
        </w:rPr>
      </w:pPr>
      <w:r w:rsidRPr="003730B5">
        <w:rPr>
          <w:u w:val="single"/>
        </w:rPr>
        <w:t>K odstavci 5:</w:t>
      </w:r>
    </w:p>
    <w:p w14:paraId="294174C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rámci tohoto odstavce dochází k zavedení základu bazického úhrnného indexu spotřebitelských cen za domácnosti celkem, jenž je vypočten na základě údajů Českého statistického úřadu tak, že úrovni průměrné cenové hladiny v květnu roku 2023 odpovídá hodnota 100, tedy představuje základ úhrnného bazického indexu, jenž je v rámci odstavce 1 používán k výpočtu výše inflačního koeficientu.</w:t>
      </w:r>
    </w:p>
    <w:p w14:paraId="4F2AA05B" w14:textId="77777777" w:rsidR="00133AC8" w:rsidRPr="003730B5" w:rsidRDefault="00133AC8" w:rsidP="00133AC8">
      <w:pPr>
        <w:keepNext/>
        <w:spacing w:before="120"/>
        <w:outlineLvl w:val="6"/>
        <w:rPr>
          <w:u w:val="single"/>
        </w:rPr>
      </w:pPr>
      <w:r w:rsidRPr="003730B5">
        <w:rPr>
          <w:u w:val="single"/>
        </w:rPr>
        <w:t>K odstavci 6:</w:t>
      </w:r>
    </w:p>
    <w:p w14:paraId="3156B2A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Inflační koeficient je všeobecný a dopadá na veškeré předměty daně z nemovitých věcí. Jedinou výjimkou jsou zemědělské pozemky, jejichž výše daně je odvislá od ocenění, které je předmětem prováděcí vyhlášky k zákonu o dani z nemovitých věcí, kterou podle § 17 zákona o dani z nemovitých věcí vydává Ministerstvo zemědělství v dohodě s Ministerstvem financí. </w:t>
      </w:r>
    </w:p>
    <w:p w14:paraId="660F8FB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Průměrné ceny zemědělských pozemků stanovené touto vyhláškou jsou každoročně novelizován v návaznosti na změny bonity půdy, přičemž jednou za čas dochází k plošné plošnému navýšení těchto cen o inflaci. Z tohoto důvodu by aplikace inflačního koeficientu znamenala, že se v případě zemědělských pozemků zohlední inflace dvakrát. Jejich vyjmutí z aplikace inflačního koeficientu tedy nemá vést k tomu, aby se v jejich případě inflace neuplatnila, ale má zamezit tomu, aby byla uplatněna dvakrát.</w:t>
      </w:r>
    </w:p>
    <w:p w14:paraId="7E097FC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 legislativně-technických důvodů bylo zvoleno pro tyto pozemky pevné stanovení inflačního koeficientu ve výši 1,0, aby nemuselo dojít k tvorbě dvojí konstrukce výpočtu daně z nemovitých věcí. Stanovení pevného inflačního koeficientu pro zemědělské pozemky ve výši 1,0 tak má zamezit situaci, kdy by došlo k započtení inflace do základu daně nadvakrát.</w:t>
      </w:r>
    </w:p>
    <w:p w14:paraId="4D76D6E5" w14:textId="77777777" w:rsidR="00133AC8" w:rsidRPr="003730B5" w:rsidRDefault="00133AC8" w:rsidP="00133AC8">
      <w:pPr>
        <w:keepNext/>
        <w:spacing w:before="120"/>
        <w:outlineLvl w:val="4"/>
        <w:rPr>
          <w:u w:val="single"/>
        </w:rPr>
      </w:pPr>
      <w:r w:rsidRPr="003730B5">
        <w:rPr>
          <w:u w:val="single"/>
        </w:rPr>
        <w:t>K hlavě II</w:t>
      </w:r>
    </w:p>
    <w:p w14:paraId="631EE9A1" w14:textId="77777777" w:rsidR="00133AC8" w:rsidRPr="003730B5" w:rsidRDefault="00133AC8" w:rsidP="00133AC8">
      <w:pPr>
        <w:keepNext/>
        <w:spacing w:before="120"/>
        <w:outlineLvl w:val="5"/>
        <w:rPr>
          <w:u w:val="single"/>
        </w:rPr>
      </w:pPr>
      <w:r w:rsidRPr="003730B5">
        <w:rPr>
          <w:u w:val="single"/>
        </w:rPr>
        <w:t>K § 12aa až § 12ad:</w:t>
      </w:r>
    </w:p>
    <w:p w14:paraId="33F5A88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Navrhovaná právní úprava zavádí do zákona o dani z nemovitých věcí ustanovení, jež popisují způsob výpočtu daně z nemovitých věcí, a to v podobě jednotlivých daní – daně z pozemků a daně ze staveb a jednotek, tak i jejich částí – místní části daně a státní části daně. </w:t>
      </w:r>
    </w:p>
    <w:p w14:paraId="724FBB47" w14:textId="66131733"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Výpočet je prováděn skrze výpočtové listy. Postup tak odpovídá podobě daňového přiznání, jehož podoba je stanovena prováděcí vyhláškou k</w:t>
      </w:r>
      <w:r w:rsidR="00DD35A1" w:rsidRPr="003730B5">
        <w:rPr>
          <w:rFonts w:ascii="Times New Roman" w:hAnsi="Times New Roman"/>
          <w:color w:val="auto"/>
          <w:sz w:val="24"/>
        </w:rPr>
        <w:t> daňovému řádu</w:t>
      </w:r>
      <w:r w:rsidRPr="003730B5">
        <w:rPr>
          <w:rFonts w:ascii="Times New Roman" w:hAnsi="Times New Roman"/>
          <w:color w:val="auto"/>
          <w:sz w:val="24"/>
        </w:rPr>
        <w:t>.</w:t>
      </w:r>
    </w:p>
    <w:p w14:paraId="77D08A6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samotném výpočtu dochází jak u daně z pozemků, tak daně ze staveb a jednotek k vypočtení výchozí výše daně jakožto součinu základu daně a příslušné sazby (případně zvýšené skrze koeficienty a zvýšení obsažené v § 6, § 11 a § 11a). Od tohoto čísla je odečten případný nárok na osvobození. Takto vzniklé číslo je následně vynásobeno inflačním koeficientem. Místní část daně se následně ještě vynásobí místním koeficientem.</w:t>
      </w:r>
    </w:p>
    <w:p w14:paraId="1659812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rámci zaokrouhlování je sjednoceno pravidlo, že pokud je zaokrouhlováno, tak je tak činěno na celé koruny směrem nahoru.</w:t>
      </w:r>
    </w:p>
    <w:p w14:paraId="02BDA8BE" w14:textId="77777777" w:rsidR="00133AC8" w:rsidRPr="003730B5" w:rsidRDefault="00133AC8" w:rsidP="00133AC8">
      <w:pPr>
        <w:pStyle w:val="Dvodovzprvakbodu"/>
        <w:keepNext w:val="0"/>
        <w:widowControl w:val="0"/>
        <w:numPr>
          <w:ilvl w:val="0"/>
          <w:numId w:val="83"/>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12 a 12a)</w:t>
      </w:r>
    </w:p>
    <w:p w14:paraId="40FF2B2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rámci nové části páté dochází ke zrušení ustanovení § 12 týkajícího se místního koeficientu, neboť úprava § 12 je nově přeřazena do části čtvrté, viz odůvodnění výše. Zároveň dochází ke zrušení ustanovení týkajícího se zaokrouhlování, a to z důvodu, že v rámci nové části čtvrté jsou zavedena ustanovení týkající se výpočtu výše daně, které v sobě obsahují zaokrouhlovací mechanismy.</w:t>
      </w:r>
    </w:p>
    <w:p w14:paraId="18269458" w14:textId="77777777" w:rsidR="00133AC8" w:rsidRPr="003730B5" w:rsidRDefault="00133AC8" w:rsidP="00133AC8">
      <w:pPr>
        <w:pStyle w:val="Dvodovzprvakbodu"/>
        <w:keepNext w:val="0"/>
        <w:widowControl w:val="0"/>
        <w:numPr>
          <w:ilvl w:val="0"/>
          <w:numId w:val="83"/>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15 odst. 4)</w:t>
      </w:r>
    </w:p>
    <w:p w14:paraId="1B15A80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Zavedení nové věty za středníkem dochází k drobné výjimce v rovině obecně platného pravidla, že státní část daně a místní část daně jsou (před upravením skrze místní koeficient) stejně vysoké. Z důvodu efektivnosti správy daně z nemovitých věcí a také proto, aby nedošlo v důsledku zavedení státní části daně k propadu inkasa do rozpočtů obcí je u spoluvlastnických podílů, u kterých je ze zákona daň stanovena ve výši 50 Kč stanoveno, že v takovém případě je příjemcem celého výnosu obec a státní část daně činí 0 Kč.</w:t>
      </w:r>
    </w:p>
    <w:p w14:paraId="28DC910E" w14:textId="77777777" w:rsidR="00133AC8" w:rsidRPr="003730B5" w:rsidRDefault="00133AC8" w:rsidP="00133AC8">
      <w:pPr>
        <w:pStyle w:val="Dvodovzprvakbodu"/>
        <w:widowControl w:val="0"/>
        <w:numPr>
          <w:ilvl w:val="0"/>
          <w:numId w:val="83"/>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15 odst. 6)</w:t>
      </w:r>
    </w:p>
    <w:p w14:paraId="30B57E82" w14:textId="55CC403F"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rámci nově zaváděného odstavce dochází k rozšíření možnosti komunikovat se správcem daně z nemovitých věcí elektronicky. Jedná se o procesní rozšíření oproti znění daňového řádu ve prospěch poplatníka tak, že potvrzení podání, případně žádost o zaslání informace pro placení daně je možno poslat jako elektronickou kopii dokumentu opatřeného vlastnoručním podpisem. V praktickém slova smyslu se tedy jedná zpravidla o e</w:t>
      </w:r>
      <w:r w:rsidR="00DD35A1" w:rsidRPr="003730B5">
        <w:rPr>
          <w:rFonts w:ascii="Times New Roman" w:hAnsi="Times New Roman"/>
          <w:color w:val="auto"/>
          <w:sz w:val="24"/>
        </w:rPr>
        <w:t>-</w:t>
      </w:r>
      <w:r w:rsidRPr="003730B5">
        <w:rPr>
          <w:rFonts w:ascii="Times New Roman" w:hAnsi="Times New Roman"/>
          <w:color w:val="auto"/>
          <w:sz w:val="24"/>
        </w:rPr>
        <w:t>mail obsahující scan potvrzení podání, případně žádosti, které bylo daňovým poplatníkem vlastnoručně podepsáno.</w:t>
      </w:r>
    </w:p>
    <w:p w14:paraId="3DC3127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Dochází tak ke zvýšení uživatelské přívětivosti komunikace mezi daňovým poplatníkem a správcem daně i pro osoby, které nedisponují datovou schránkou. Jedná se o speciální ustanovení k daňovému řádu, které má zmírnit jeho přehnanou tvrdost.</w:t>
      </w:r>
    </w:p>
    <w:p w14:paraId="7FA79BB7" w14:textId="6B5FBCB3" w:rsidR="00133AC8" w:rsidRPr="003730B5" w:rsidRDefault="00133AC8" w:rsidP="00133AC8">
      <w:pPr>
        <w:keepNext/>
        <w:spacing w:before="120"/>
        <w:outlineLvl w:val="2"/>
        <w:rPr>
          <w:b/>
        </w:rPr>
      </w:pPr>
      <w:r w:rsidRPr="003730B5">
        <w:rPr>
          <w:b/>
        </w:rPr>
        <w:t>K čl. </w:t>
      </w:r>
      <w:r w:rsidR="00B16ED6" w:rsidRPr="003730B5">
        <w:rPr>
          <w:b/>
        </w:rPr>
        <w:t>XIII</w:t>
      </w:r>
      <w:r w:rsidRPr="003730B5">
        <w:rPr>
          <w:b/>
        </w:rPr>
        <w:t xml:space="preserve"> (Přechodn</w:t>
      </w:r>
      <w:r w:rsidR="00B16ED6" w:rsidRPr="003730B5">
        <w:rPr>
          <w:b/>
        </w:rPr>
        <w:t>á</w:t>
      </w:r>
      <w:r w:rsidRPr="003730B5">
        <w:rPr>
          <w:b/>
        </w:rPr>
        <w:t xml:space="preserve"> ustanovení)</w:t>
      </w:r>
    </w:p>
    <w:p w14:paraId="5C0DC8C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právní úprava obsahuje standardní přechodné ustanovení v takové podobě, že daňové povinnosti vzniklé přede dnem nabytí účinnosti zákona se budou nadále řídit dosavadní právní úpravou.  V praxi to znamená zejména ustanovení o státní části daně, inflačním koeficientu a o základu daně u některých pozemků.</w:t>
      </w:r>
    </w:p>
    <w:p w14:paraId="17DD03C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Zároveň se explicitně stanoví první inflační koeficient pro daň z nemovitých věcí platný alespoň ve zdaňovacím období roku 2024 ve výši 1,0.</w:t>
      </w:r>
    </w:p>
    <w:p w14:paraId="14E63EE3"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deváté – Změna zákona o daních z příjmů</w:t>
      </w:r>
    </w:p>
    <w:p w14:paraId="60074548" w14:textId="4DE15804" w:rsidR="00133AC8" w:rsidRPr="003730B5" w:rsidRDefault="00133AC8" w:rsidP="00133AC8">
      <w:pPr>
        <w:widowControl w:val="0"/>
        <w:spacing w:after="120"/>
        <w:outlineLvl w:val="2"/>
        <w:rPr>
          <w:b/>
        </w:rPr>
      </w:pPr>
      <w:r w:rsidRPr="003730B5">
        <w:rPr>
          <w:b/>
        </w:rPr>
        <w:t>K čl. </w:t>
      </w:r>
      <w:r w:rsidR="00B16ED6" w:rsidRPr="003730B5">
        <w:rPr>
          <w:b/>
        </w:rPr>
        <w:t>XIV</w:t>
      </w:r>
    </w:p>
    <w:p w14:paraId="11F9CB8D" w14:textId="77777777" w:rsidR="00133AC8" w:rsidRPr="003730B5" w:rsidRDefault="00133AC8" w:rsidP="00133AC8">
      <w:pPr>
        <w:pStyle w:val="Dvodovzprvakbodu"/>
        <w:keepNext w:val="0"/>
        <w:numPr>
          <w:ilvl w:val="0"/>
          <w:numId w:val="93"/>
        </w:numPr>
        <w:outlineLvl w:val="3"/>
        <w:rPr>
          <w:rFonts w:ascii="Times New Roman" w:hAnsi="Times New Roman"/>
          <w:color w:val="auto"/>
          <w:sz w:val="24"/>
          <w:szCs w:val="24"/>
        </w:rPr>
      </w:pPr>
      <w:r w:rsidRPr="003730B5">
        <w:rPr>
          <w:rFonts w:ascii="Times New Roman" w:hAnsi="Times New Roman"/>
          <w:color w:val="auto"/>
          <w:sz w:val="24"/>
          <w:szCs w:val="24"/>
        </w:rPr>
        <w:t>(§ 4 odst. 1 písm. a) a b))</w:t>
      </w:r>
    </w:p>
    <w:p w14:paraId="3702A562" w14:textId="39FC477D"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Podmínky pro osvobození příjmu podle § 4 odst. 1 písm. a) a b) zákona o daních z příjmů bylo doposud možné využít pouze v případech, kdy daný příjem plynul výlučně z prodeje nemovité věci. Pokud příjem v souvislosti s pozbytím vlastnického práva k nemovité věci poplatníkovi plynul z jiného důvodu, než je koupě, tento příjem nemohl být podle dotčených ustanovení osvobozen, neboť by nebyly naplněny stanovené podmínky. V návaznosti na navrhované zrušení osvobození příjmu v podobě náhrady za vyvlastnění odnětím vlastnického práva podle dosavadního § 4 odst. 1 písm. zd) zákona o daních z příjmů se navrhuje příjem z prodeje pro účely ustanovení § 4 odst. 1 písm. a) a b) zákona o daních z příjmů rozšířit na příjem z jakéhokoliv úplatného převodu nebo přechodu nemovité věci. V důsledku tohoto rozšíření se osvobození příjmů za podmínek stanovených v § 4 odst. 1 písm. a) a b) zákona o daních z příjmů uplatní i na situace, kdy příjem neplyne poplatníkovi přímo z prodeje nemovité věci, ale jedná se například o náhradu za odnětí vlastnického práva podle zákona č. 184/2006 Sb., o odnětí nebo omezení vlastnického práva k pozemku nebo ke stavbě (dále též „zákon o vyvlastnění“) nebo o příjem plynoucí z vydražení nemovité věci v dražbě. V důsledku této úpravy tak bude zajištěno, že délka doby bydliště či délka trvání vlastnického práva k nemovité věci před jejím vyvlastněním nebo vydražením bude rovněž započítána pro účely časového testu v § 4 odst. 1 písm. a) a b) zákona o daních z příjmů.</w:t>
      </w:r>
    </w:p>
    <w:p w14:paraId="7B8F6D2D"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4 odst. 1 písm. d) bod 6)</w:t>
      </w:r>
    </w:p>
    <w:p w14:paraId="485C499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Příjem poplatníka daně z příjmů fyzických osob v podobě náhrady za odnětí vlastnického práva podle zákona o vyvlastnění, je v současné době osvobozeným příjmem podle dosavadního § 4 odst. 1 písm. zd) zákona o daních z příjmů. Vzhledem k tomu, že náhrada za odnětí vlastnického práva ve své podstatě představuje náhradu újmy, v návaznosti na zrušení osvobození tohoto příjmu se navrhuje náhrada za odnětí vlastnického práva výslovně vyloučit z ustanovení § 4 odst. 1 písm. d) zákona o daních z příjmů.</w:t>
      </w:r>
    </w:p>
    <w:p w14:paraId="1780E60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 ustanovení § 4 odst. 1 písm. d) bodu 6 zákona o daních z příjmů je vylučována pouze náhrada za odnětí vlastnického práva. Ostatní náhrady nákladů, které vedle náhrady za vyvlastnění náleží vyvlastňovanému podle § 10 odst. 2 zákona o vyvlastnění, tj. náhrady nákladů účelně vynaložených následkem a v souvislosti s vyvlastněním, budou i nadále od daně z příjmů osvobozeny, a to na základě § 4 odst. 1 písm. d) zákona o daních z příjmů. Náhrada za omezení vlastnického práva a náhrada za omezení nebo odnětí práva odpovídajícího věcnému břemenu bude i nadále osvobozeným příjmem podle § 4 odst. 1 písm. zd) zákona o daních z příjmů. </w:t>
      </w:r>
    </w:p>
    <w:p w14:paraId="470553C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Současně se zrušením osvobození příjmu v podobě náhrady za odnětí vlastnického práva k pozemku nebo stavbě je navrhováno rozšíření osvobození příjmů podle § 4 písm. a) a b) zákona o daních z příjmů nejen na příjmy z prodeje nemovité věci, ale rovněž na příjmy z jakéhokoliv úplatného převodu nebo přechodu vlastnického práva k nemovité věci. I v případě náhrady za odnětí vlastnického práva tak bude možné na tento příjem uplatnit podmínky osvobození v § 4 odst. 1 písm. a) a b) zákona o daních z příjmů. Na příjem z náhrady za odnětí vlastnického práva bude rovněž možné uplatnit ustanovení § 10 odst. 4 a 5 zákona o daních z příjmů.</w:t>
      </w:r>
    </w:p>
    <w:p w14:paraId="326C3D8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Podle zákona o vyvlastnění lze poskytnout vyvlastněnému místo náhrady za vyvlastnění jiný pozemek nebo stavbu, dohodne-li se na tom s vyvlastnitelem, přičemž právo na vyrovnání rozdílu v ceně vyvlastněného pozemku nebo stavby a náhradního pozemku nebo stavby tím není dotčeno. Tato smlouva o směně může být uzavřena v jakékoli fázi vyvlastnění až do rozhodnutí o vyvlastnění, přičemž uzavřením této smlouvy znamená odpadnutí předmětu vyvlastňovacího řízení a jeho zastavení dle § 23 odst. 2 písm. b) zákona o vyvlastnění. Podle § 23 odst. 6 zákona o daních z příjmů se příjmy získané směnou posuzují pro účely zákona o daních z příjmů obdobně jako příjmy získané prodejem a příjmy z případného vyrovnání rozdílu tedy bude považováno za příjem nebo výdaj.</w:t>
      </w:r>
    </w:p>
    <w:p w14:paraId="7D815961"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4 odst. 1 písm. f))</w:t>
      </w:r>
    </w:p>
    <w:p w14:paraId="664EC94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zrušit osvobození příjmu v podobě ceny z veřejné soutěže a obdobné ceny plynoucí ze zahraničí, pokud je v plné výši darována příjemcem na účely uvedené v § 15 odst. 1 zákona o daních z příjmů, ocenění v oblasti kultury podle jiných právních předpisů, ceny z veřejné soutěže, z reklamní soutěže nebo z reklamního slosování, ceny ze sportovní soutěže s výjimkou ceny ze sportovní soutěže u poplatníků, u nichž je sportovní činnost podnikáním, a to v hodnotě nepřevyšující 10 000 Kč.</w:t>
      </w:r>
    </w:p>
    <w:p w14:paraId="778DCB4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Uvedené příjmy tak budou zdaňovány v režimu ostatních příjmů podle § 10 zákona o daních z příjmů, ve kterém se současně navrhuje úprava, v jejímž důsledku budou uvedené příjmy spadající do jednotlivého druhu příjmu osvobozené, pokud nepřesáhnou v úhrnu částku 50 000 Kč za zdaňovací období (viz nově navržené znění § 10 odst. 3 písm. a) zákona o daních z příjmů). Půjde-li o příjmy spadající do jednotlivého druhu příjmu podle § 10 odst. 1 písm. ch) zákona o daních z příjmů, které jsou samostatným základem daně pro daň vybíranou srážkou podle zvláštní daně, nebo jsou zahrnovány do samostatného základu daně zdaňovaného sazbou podle § 16a zákona o daních z příjmů, uplatní se tento limit na jednotlivý příjem (viz nově navržené znění § 10 odst. 3 písm. a) zákona o daních z příjmů). V kontextu rušeného osvobození jde o příjmy podle § 4 odst. 1 písm. f) bodu 1 a 3 zákona o daních z příjmů. Příjmy podle dosavadního § 4 odst. 1 písm. f) bodu 2 zákona o daních z příjmů budou nově spadat do </w:t>
      </w:r>
      <w:r w:rsidRPr="003730B5">
        <w:rPr>
          <w:rFonts w:ascii="Times New Roman" w:hAnsi="Times New Roman"/>
          <w:color w:val="auto"/>
          <w:sz w:val="24"/>
        </w:rPr>
        <w:lastRenderedPageBreak/>
        <w:t>zbytkové kategorie ostatních příjmů, tj. jednotlivého druhu příjmu podle § 10 odst. 1 písm. q) zákona o daních z příjmů, tyto příjmy jsou zdaňované v obecném základu daně, překročí-li v úhrnu s dalšími příjmy spadajícími do tohoto druhu příjmu částku 50 000 Kč za zdaňovací období (viz nově navržené znění § 10 odst. 3 písm. a) zákona o daních z příjmů).</w:t>
      </w:r>
    </w:p>
    <w:p w14:paraId="15BBDB4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Příjmy poplatníků, u nichž je sportovní činnost podnikáním, z cen ze sportovní soutěže budou i nadále zdaňovány v režimu příjmů ze samostatné činnosti (§ 7).</w:t>
      </w:r>
    </w:p>
    <w:p w14:paraId="62D8EC84"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 4 odst. 1 písm. h))</w:t>
      </w:r>
    </w:p>
    <w:p w14:paraId="36F67219" w14:textId="056DDE9E"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 důvodu zrušení osvobození příspěvku na stavební spoření a zrušení osvobození státní podpory stavebního spoření se do § 4 odst. 1 písm. h) zákona o daních z příjmů doplňuje část ustanovení, která deklaruje, že osvobození uvedené v § 4 odst. 1 písm. h) zákona o daních z příjmů (dosavadním § 4 odst. 1 písm. i)) se nevztahuje na příspěvky poskytované podle zákona upravujícího stavební spoření.</w:t>
      </w:r>
    </w:p>
    <w:p w14:paraId="2784035F"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4 odst. 1 písm. j) bod 4)</w:t>
      </w:r>
    </w:p>
    <w:p w14:paraId="0E8228A2" w14:textId="7789847A"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návaznosti na navrhované zrušení ustanovení § 6 odst. 9 písm. m) zákona o daních z příjmů (dosavadní ustanovení § 6 odst. 9 písm. o)), podle kterého je osvobozen příjem zaměstnance poskytnutý zaměstnavatelem jako sociální výpomoc do výše 500 000 Kč, se navrhuje zrušení souvisejícího ustanovení § 4 odst. 1 písm. j) bodu 4 zákona o daních z příjmů (dosavadní § 4 odst. 1 písm. k) bod 4), na základě něhož je osvobozen příjem v podobě nepeněžního plnění nebo sociální výpomoci poskytnutý zaměstnavatelem nejbližším pozůstalým zaměstnance za podmínek stanovených vyhláškou </w:t>
      </w:r>
      <w:r w:rsidR="00D03256" w:rsidRPr="003730B5">
        <w:rPr>
          <w:rFonts w:ascii="Times New Roman" w:hAnsi="Times New Roman"/>
          <w:color w:val="auto"/>
          <w:sz w:val="24"/>
        </w:rPr>
        <w:t>o </w:t>
      </w:r>
      <w:r w:rsidR="008950CA" w:rsidRPr="003730B5">
        <w:rPr>
          <w:rFonts w:ascii="Times New Roman" w:hAnsi="Times New Roman"/>
          <w:color w:val="auto"/>
          <w:sz w:val="24"/>
        </w:rPr>
        <w:t>FKSP</w:t>
      </w:r>
      <w:r w:rsidRPr="003730B5">
        <w:rPr>
          <w:rFonts w:ascii="Times New Roman" w:hAnsi="Times New Roman"/>
          <w:color w:val="auto"/>
          <w:sz w:val="24"/>
        </w:rPr>
        <w:t>, jejíž zrušení se rovněž očekává. Tento příjem bude i nadále od daně z příjmů osvobozen podle § 10 odst. 3 písm. c) bodu 5 zákona o daních z příjmů, pokud v úhrnu od téhož poplatníka ve zdaňovacím období nepřesáhne částku 50 000 Kč. Již podle současné vyhlášky</w:t>
      </w:r>
      <w:r w:rsidR="008950CA" w:rsidRPr="003730B5">
        <w:rPr>
          <w:rFonts w:ascii="Times New Roman" w:hAnsi="Times New Roman"/>
          <w:color w:val="auto"/>
          <w:sz w:val="24"/>
        </w:rPr>
        <w:t xml:space="preserve"> </w:t>
      </w:r>
      <w:r w:rsidR="00D03256" w:rsidRPr="003730B5">
        <w:rPr>
          <w:rFonts w:ascii="Times New Roman" w:hAnsi="Times New Roman"/>
          <w:color w:val="auto"/>
          <w:sz w:val="24"/>
        </w:rPr>
        <w:t>o </w:t>
      </w:r>
      <w:r w:rsidR="008950CA" w:rsidRPr="003730B5">
        <w:rPr>
          <w:rFonts w:ascii="Times New Roman" w:hAnsi="Times New Roman"/>
          <w:color w:val="auto"/>
          <w:sz w:val="24"/>
        </w:rPr>
        <w:t>FKSP</w:t>
      </w:r>
      <w:r w:rsidRPr="003730B5">
        <w:rPr>
          <w:rFonts w:ascii="Times New Roman" w:hAnsi="Times New Roman"/>
          <w:color w:val="auto"/>
          <w:sz w:val="24"/>
        </w:rPr>
        <w:t xml:space="preserve"> byl tento příjem možný poskytovat jen do výše 30 000 Kč.</w:t>
      </w:r>
    </w:p>
    <w:p w14:paraId="325D8F84"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 4 odst. 1 písm. o))</w:t>
      </w:r>
    </w:p>
    <w:p w14:paraId="4A578B6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zrušit ustanovení § 4 odst. 1 písm. o) – dosavadní § 4 odst. 1 písm. p) zákona o daních z příjmů osvobozující naturální plnění poskytované prezidentu republiky podle jiných právních předpisů a bývalému prezidentu republiky podle zákona upravujícího zabezpečení prezidenta republiky po skončení funkce.</w:t>
      </w:r>
    </w:p>
    <w:p w14:paraId="1B8CB19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Do přijetí zákona č. 346/2010 Sb., se plat prezidenta a další plnění (náhrada a naturální plnění) posuzovaly jako příjem, který dani nepodléhá podle zákona č. 236/1995 Sb., a příjem v podobě renty, náhrady a naturálního plnění u bývalého prezidenta se posuzoval jako příjem od daně osvobozený podle § 4 odst. 1 písm. zn) zákona o daních z příjmů. Přijetím zákona č. 346/2010 Sb., se příjmy prezidenta (i bývalého) v podobě platu, renty a náhrad staly příjmem zdanitelným v § 10 zákona o daních z příjmů a pro osvobození naturálních plnění současného prezidenta republiky bylo nutné rozšířit původní znění § 4 odst. 1 písm. zn) zákona o daních z příjmů na nové znění pod písmenem zj), současné písmeno p), protože pro osvobození příjmů vymezených v § 10 zákona o daních z příjmů nebylo možné použít osvobození u příjmů podle § 6 zákona o daních z příjmů. Vzhledem k navržení přeřazení příjmů prezidenta republiky pod funkční požitek dojde k tomu, že naturální plnění prezidenta by v případě přesunu jeho příjmu pod § 6 zákona o daních z příjmů bylo zároveň osvobozeno i podle § 6 odst. 9 písm. m) – dosavadního § 6 odst. 9 písm. r) zákona o daních z příjmů. Z tohoto důvodu se navrhuje § 6 odst. 9 písm. m) zákona o daních z příjmů rozšířit o úpravu týkající se naturálních plnění poskytovaných i bývalému prezidentovi republiky, tak jak uvádí § 4 odst. 1 písm. o) zákona o daních z příjmů a ustanovení § 4 odst. 1 písm. o) zákona o daních z příjmů současně zrušit pro nadbytečnost.  </w:t>
      </w:r>
    </w:p>
    <w:p w14:paraId="7F858AED"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lastRenderedPageBreak/>
        <w:t> (§ 4 odst. 1 písm. r))</w:t>
      </w:r>
    </w:p>
    <w:p w14:paraId="412F923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zrušit osvobození příspěvku fyzické osobě poskytovaného podle zákona upravujícího stavební spoření a státní podpory stavebního spoření.</w:t>
      </w:r>
    </w:p>
    <w:p w14:paraId="59094C6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Uvedené příjmy tak budou zdaňovány v režimu ostatních příjmů podle § 10 zákona o daních z příjmů, ve kterém se současně navrhuje úprava, v jejímž důsledku budou uvedené příjmy spadat do jednotlivého druhu příjmu podle § 10 odst. 1 písm. q) zákona o daních z příjmů a budou osvobozené, pokud nepřesáhnou s dalšími příjmy spadajícími do tohoto druhu příjmu v úhrnu částku 50 000 Kč za zdaňovací období (viz nově navržené znění § 10 odst. 3 písm. a) zákona o daních z příjmů). </w:t>
      </w:r>
    </w:p>
    <w:p w14:paraId="54C3FD81"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4 odst. 1 písm. t))</w:t>
      </w:r>
    </w:p>
    <w:p w14:paraId="7DE116A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zavedení jednotného limitu pro osvobození ostatních příjmů podle § 10 odst. 3 písm. a) zákona o daních z příjmů, se navrhuje provést odpovídající změnu i v tomto ustanovení. Ostatní příjem podle § 10 zákona o daních z příjmů bude od daně z příjmů osvobozen, pokud v úhrnu za zdaňovací období jednotlivý druh příjmu nepřesáhne 50 000 Kč. V případě příjmů, které podléhají dani vybírané srážkou podle zvláštní sazby daně, se však tento limit nebude posuzovat v úhrnu za jednotlivý druh příjmu, ale samostatně se zřetelem ke každému příjmu zvlášť. Vzhledem k tomu, že příjem z podílu připadající na podílové listy při zrušení podílového fondu je ostatním příjmem podle § 10 odst. 1 písm. f) bodu 2 zákona o daních z příjmů a podléhá dani vybírané srážkou podle zvláštní sazby daně (§ 36 odst. 2 písm. g) zákona o daních z příjmů), je žádoucí zachovat stejný princip limitu pro osvobození i přesto, že pro tento příjem platí zvláštní limit 100 000 Kč a nikoliv obecný limit podle § 10 odst. 3 písm. a) zákona o daních z příjmů.</w:t>
      </w:r>
    </w:p>
    <w:p w14:paraId="3F2EE7E0"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4 odst. 1 písm. za))</w:t>
      </w:r>
    </w:p>
    <w:p w14:paraId="058242BD" w14:textId="71AC2D3C"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Příjem poplatníka daně z příjmů fyzických osob v podobě náhrady za odnětí vlastnického práva podle zákona o vyvlastnění, je v současné době osvobozeným příjmem podle § 4 odst. 1 písm. za) zákona o daních z příjmů (dosavadní § 4 odst. 1 písm. zd)). Osvobození tohoto příjmu bylo do zákona o daních z příjmů zavedeno zákonem č. 545/2005 Sb., kterým se mění zákon o daních z příjmů a některé další zákony, a to s účinností od 1. </w:t>
      </w:r>
      <w:r w:rsidR="00DD35A1" w:rsidRPr="003730B5">
        <w:rPr>
          <w:rFonts w:ascii="Times New Roman" w:hAnsi="Times New Roman"/>
          <w:color w:val="auto"/>
          <w:sz w:val="24"/>
        </w:rPr>
        <w:t xml:space="preserve">1. </w:t>
      </w:r>
      <w:r w:rsidRPr="003730B5">
        <w:rPr>
          <w:rFonts w:ascii="Times New Roman" w:hAnsi="Times New Roman"/>
          <w:color w:val="auto"/>
          <w:sz w:val="24"/>
        </w:rPr>
        <w:t xml:space="preserve">2006. </w:t>
      </w:r>
    </w:p>
    <w:p w14:paraId="7146EF4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Náhrada za odnětí vlastnického práva je vyvlastňovanému přiznána jakožto náhrada újmy, která mu vyvlastněním byla způsobena a podle § 10 odst. 3 zákona o vyvlastnění se náhrada stanoví takovým způsobem a v takové výši, aby odpovídala újmě, která se u vyvlastňovaného projeví v důsledku vyvlastnění. Vyvlastnění je však přípustné jen tehdy, předcházelo-li mu jednání vyvlastňovaného s vyvlastnitelem směřující k uzavření smlouvy o získání práv k pozemku nebo ke stavbě potřebných pro uskutečnění účelu vyvlastnění stanoveného zákonem, tj. například k uzavření kupní smlouvy. V případě, že bude taková smlouva uzavřena a dojde k prodeji pozemku nebo stavby namísto jeho vyvlastnění, bude příjem vyvlastňovaného z prodeje předmětného pozemku nebo stavby předmětem daně z příjmů, zatímco v případě, že by došlo k jeho vyvlastnění a poskytnutí náhrady za vyvlastnění, tato náhrada by podle dosavadního znění § 4 odst. 1 písm. zd) zákona o daních z příjmů byla od daně osvobozena. Tento stav zakládá rozdílné zacházení s poplatníky nacházejícími se v obdobné situaci, přičemž z daňového hlediska bude příznivější situace pro poplatníka, kterému byl pozemek nebo stavba odňat v rámci vyvlastnění, než pro poplatníka, který uzavřel s vyvlastnitelem kupní smlouvu. Osvobození náhrady za odnětí vlastnického práva tak představuje nesystémovou daňovou výjimku, pročež se navrhuje její zrušení.</w:t>
      </w:r>
    </w:p>
    <w:p w14:paraId="49564D7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případech kdy nedojde k vyvlastnění odnětím vlastnického práva, ale pouze k jeho omezení zřízením věcného břemene k pozemku nebo stavbě, bude tato náhrada i nadále osvobozena od daně z příjmů podle tohoto ustanovení. Stejně se toto ustanovení uplatní i na příjem v podobě </w:t>
      </w:r>
      <w:r w:rsidRPr="003730B5">
        <w:rPr>
          <w:rFonts w:ascii="Times New Roman" w:hAnsi="Times New Roman"/>
          <w:color w:val="auto"/>
          <w:sz w:val="24"/>
        </w:rPr>
        <w:lastRenderedPageBreak/>
        <w:t>náhrady za vyvlastnění odnětím nebo omezením práva odpovídajícího věcnému břemenu ve smyslu § 10 odst. 1 písm. b) zákona o vyvlastnění. Osvobození příjmu plynoucího jako náhrada za služebnost vzniklou ze zákona nebo rozhodnutím orgánu státní správy podle jiných právních předpisů přitom není dotčeno.</w:t>
      </w:r>
    </w:p>
    <w:p w14:paraId="0EE76E0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Vedle náhrady za vyvlastnění náleží vyvlastňovanému podle § 10 odst. 2 zákona o vyvlastnění také další náhrady nákladů účelně vynaložených následkem a v souvislosti s vyvlastněním. Tyto náklady budou i nadále od daně z příjmů osvobozeny, a to na základě § 4 odst. 1 písm. d) zákona o daních z příjmů, jakožto náhrada újmy. </w:t>
      </w:r>
    </w:p>
    <w:p w14:paraId="5F74F68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Současně se zrušením osvobození příjmu v podobě náhrady za odnětí vlastnického práva k pozemku nebo stavbě je navrhováno rozšíření osvobození příjmů podle § 4 písm. a) a b) zákona o daních z příjmů nejen na příjmy z prodeje nemovité věci, ale rovněž na příjmy z jakéhokoliv úplatného převodu nebo přechodu vlastnického práva k nemovité věci. I v případě náhrady za odnětí vlastnického práva tak bude možné na tento příjem uplatnit podmínky osvobození v § 4 odst. 1 písm. a) a b) zákona o daních z příjmů. Na příjem z náhrady za odnětí vlastnického práva bude rovněž možné uplatnit ustanovení § 10 odst. 4 a 5 zákona o daních z příjmů.</w:t>
      </w:r>
    </w:p>
    <w:p w14:paraId="2522A024" w14:textId="77777777" w:rsidR="00133AC8" w:rsidRPr="003730B5" w:rsidRDefault="00133AC8" w:rsidP="00133AC8">
      <w:pPr>
        <w:pStyle w:val="Dvodovzprva"/>
        <w:widowControl w:val="0"/>
        <w:outlineLvl w:val="9"/>
        <w:rPr>
          <w:rFonts w:ascii="Times New Roman" w:hAnsi="Times New Roman"/>
          <w:b/>
          <w:color w:val="auto"/>
          <w:sz w:val="24"/>
          <w:szCs w:val="24"/>
        </w:rPr>
      </w:pPr>
      <w:r w:rsidRPr="003730B5">
        <w:rPr>
          <w:rFonts w:ascii="Times New Roman" w:hAnsi="Times New Roman"/>
          <w:color w:val="auto"/>
          <w:sz w:val="24"/>
        </w:rPr>
        <w:t>Podle zákona o vyvlastnění lze poskytnout vyvlastněnému místo náhrady za vyvlastnění jiný pozemek nebo stavbu, dohodne-li se na tom s vyvlastnitelem, přičemž právo na vyrovnání rozdílu v ceně vyvlastněného pozemku nebo stavby a náhradního pozemku nebo stavby tím není dotčeno. Tato smlouva o směně může být uzavřena v jakékoli fázi vyvlastnění až do rozhodnutí o vyvlastnění, přičemž uzavřením této smlouvy znamená odpadnutí předmětu vyvlastňovacího řízení a jeho zastavení dle § 23 odst. 2 písm. b) zákona o vyvlastnění. Podle § 23 odst. 6 zákona o daních z příjmů se příjmy získané směnou posuzují pro účely zákona o daních z příjmů obdobně jako příjmy získané prodejem a příjmy z případného vyrovnání rozdílu tedy bude považováno za příjem nebo výdaj.  (§ 4 odst. 1 písm. zb)).</w:t>
      </w:r>
    </w:p>
    <w:p w14:paraId="3C664BA9" w14:textId="75504CCE"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4 odst. 1 písm. z</w:t>
      </w:r>
      <w:r w:rsidR="00C33EFE" w:rsidRPr="003730B5">
        <w:rPr>
          <w:rFonts w:ascii="Times New Roman" w:hAnsi="Times New Roman"/>
          <w:color w:val="auto"/>
          <w:sz w:val="24"/>
          <w:szCs w:val="24"/>
        </w:rPr>
        <w:t>b</w:t>
      </w:r>
      <w:r w:rsidRPr="003730B5">
        <w:rPr>
          <w:rFonts w:ascii="Times New Roman" w:hAnsi="Times New Roman"/>
          <w:color w:val="auto"/>
          <w:sz w:val="24"/>
          <w:szCs w:val="24"/>
        </w:rPr>
        <w:t>))</w:t>
      </w:r>
    </w:p>
    <w:p w14:paraId="3B71704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zrušit osvobození kursového zisku při směně peněz z účtu vedeného v cizí měně.</w:t>
      </w:r>
    </w:p>
    <w:p w14:paraId="09ED447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Uvedené příjmy tak budou zdaňovány v režimu ostatních příjmů podle § 10 zákona o daních z příjmů, ve kterém se současně navrhuje úprava, v jejímž důsledku budou uvedené příjmy spadat do jednotlivého druhu příjmu podle § 10 odst. 1 písm. q) zákona o daních z příjmů a budou osvobozené, pokud nepřesáhnou s dalšími příjmy spadajícími do tohoto druhu příjmu v úhrnu částku 50 000 Kč za zdaňovací období (viz nově navržené znění § 10 odst. 3 písm. a) zákona o daních z příjmů). </w:t>
      </w:r>
    </w:p>
    <w:p w14:paraId="6E692A1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Jedná-li se o účet zahrnutý v obchodním majetku, budou se kursové zisky i nadále zdaňovat v režimu příjmů ze samostatné činnosti (§ 7 zákona o daních z příjmů).</w:t>
      </w:r>
    </w:p>
    <w:p w14:paraId="538023B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Kursové rozdíly, na které se dosavadní osvobození kursových zisků nevztahuje, a to kursové rozdíly z měnových obchodů uskutečňovaných na evropském regulovaném trhu nebo na obdobném zahraničním regulovaném trhu, na kterých se obchody s těmito měnami uskutečňují, budou i nadále zdaňovány v režimu ostatních příjmů (§ 10 zákona o daních z příjmů), případně se uplatní nově navržené osvobození popsané výše. Výjimkou jsou situace, kdy budou tyto měnové obchody financovány z prostředků, které jsou vloženy do obchodního majetku poplatníka (§ 4 odst. 4 zákona o daních z příjmů). V takovém případě budou tyto kursové zisky zdaňovány v režimu příjmů ze samostatné činnosti (§ 7 zákona o daních z příjmů) a nově navržené osvobození v režimu § 10 zákona o daních z příjmů se na ně nevztahuje.</w:t>
      </w:r>
    </w:p>
    <w:p w14:paraId="75E73DC1"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4 odst. 2 úvodní část ustanovení)</w:t>
      </w:r>
    </w:p>
    <w:p w14:paraId="4339153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návaznosti na změny navržené v ustanovení § 4 odst. 1 písm. a) a b) zákona o daních </w:t>
      </w:r>
      <w:r w:rsidRPr="003730B5">
        <w:rPr>
          <w:rFonts w:ascii="Times New Roman" w:hAnsi="Times New Roman"/>
          <w:color w:val="auto"/>
          <w:sz w:val="24"/>
        </w:rPr>
        <w:lastRenderedPageBreak/>
        <w:t>z příjmů, kdy se příjem z prodeje navrhuje pro účely těchto ustanovení rozšířit na příjem z jakéhokoliv úplatného převodu nebo přechodu nemovité věci, se navrhuje obdobná změna i v ustanovení § 4 odst. 2 zákona o daních z příjmů, neboť toto ustanovení přímo navazuje na ustanovení § 4 odst. 1 písm. a) a b) zákona o daních z příjmů.</w:t>
      </w:r>
    </w:p>
    <w:p w14:paraId="7FF0B660"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4 odst. 3)</w:t>
      </w:r>
    </w:p>
    <w:p w14:paraId="50916C5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Příjem z úplatného převodu podílu v obchodní korporaci, který není představován cenným papírem, je od daně z příjmů osvobozen, pokud jsou splněny podmínky v § 4 odst. 1 písm. q) zákona o daních z příjmů (dosavadní § 4 odst. 1 písm. s) zákona o daních z příjmů). Obdobně také příjem z úplatného převodu cenného papíru je od daně z příjmů osvobozen na základě splnění podmínek podle § 4 odst. 1 písm. u) zákona o daních z příjmů (dosavadní § 4 odst. 1 písm. x) zákona o daních z příjmů). </w:t>
      </w:r>
    </w:p>
    <w:p w14:paraId="75F571E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obou případech je pro osvobození tohoto příjmu rozhodné splnění časového testu 5 let, resp. 3 let mezi nabytím podílu nebo cenného papíru a jeho úplatným převodem s tím, že osvobodit lze předmětné příjmy v jakékoliv výši. Nad rámec tohoto časového testu se proto navrhuje stanovit další podmínku pro osvobození v podobě úhrnné horní hranice pro osvobození těchto příjmů ve výši 40 mil. Kč ve zdaňovacím období. Hranice 40 mil. Kč se vztahuje pouze na příjmy, které splňují podmínky pro osvobození podle písmene q) a u) zákona o daních z příjmů, tj. na příjmy, u nichž byl splněn časový test, přičemž její překročení je posuzováno v úhrnu za příjmy osvobozené podle písm. q) i u) zákona o daních z příjmů. V případě, že příjmy poplatníka z úplatného převodu podílu v obchodní korporaci nepředstavovaného cenným papírem a z úplatného převodu cenného papíru splňují podmínky časového testu podle písm. q) a u) zákona o daních z příjmů a zároveň jejich úhrn ve zdaňovacím období nepřevyšuje 40 mil. Kč, jsou tyto příjmy osvobozeny od daně z příjmů v plné výši. Pokud však tyto příjmy splňují podmínky časového testu podle písm. q) a u) zákona o daních z příjmů, ale ve svém úhrnu za zdaňovací období převyšují 40 mil. Kč, budou od daně z příjmů osvobozeny pouze částečně, a sice v rozsahu, v němž nepřevyšují 40 mil. Kč, tedy v poměrné části vypočítané podle podílu části úhrnu těchto příjmů převyšující 40 mil. Kč a celkového úhrnu těchto příjmů.</w:t>
      </w:r>
    </w:p>
    <w:p w14:paraId="641FD59A" w14:textId="77777777" w:rsidR="00133AC8" w:rsidRPr="003730B5" w:rsidRDefault="00133AC8" w:rsidP="00133AC8">
      <w:pPr>
        <w:pStyle w:val="Dvodovzprva"/>
        <w:widowControl w:val="0"/>
        <w:outlineLvl w:val="9"/>
        <w:rPr>
          <w:rFonts w:ascii="Times New Roman" w:hAnsi="Times New Roman"/>
          <w:color w:val="auto"/>
          <w:sz w:val="24"/>
          <w:u w:val="single"/>
        </w:rPr>
      </w:pPr>
      <w:r w:rsidRPr="003730B5">
        <w:rPr>
          <w:rFonts w:ascii="Times New Roman" w:hAnsi="Times New Roman"/>
          <w:color w:val="auto"/>
          <w:sz w:val="24"/>
          <w:u w:val="single"/>
        </w:rPr>
        <w:t>Příklad:</w:t>
      </w:r>
    </w:p>
    <w:p w14:paraId="34526CC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Pokud poplatníkovi daně z příjmů fyzických osob plynou příjmy z úplatného převodu podílu v obchodní korporaci, který není představován cenným papírem, osvobozené na základě § 4 odst. 1 písm. q) zákona o daních z příjmů ve výši 21 mil. Kč a příjmy z úplatného převodu cenného papíru osvobozené na základě § 4 odst. 1 písm. u) zákona o daních z příjmů ve výši 39 mil. Kč, pak úhrn těchto příjmů poplatníka činí 60 mil. Kč. Příjmy z úplatného převodu podílu v obchodní korporaci budou na základě odstavce 3 od daně osvobozeny ze dvou třetin (tj. poměr podílu 40 mil. Kč a 60 mil. Kč), tedy ve výši 14 mil. Kč a do základu daně budou zahrnuty z jedné třetiny (tj. poměr podílu 20 mil. Kč a 60 mil. Kč), tedy ve výši 7 mil. Kč. Příjmy z úplatného převodu cenného papíru budou rovněž od daně osvobozeny ze dvou třetin (tj. ve výši 26 mil. Kč) a do základu daně budou zahrnuty z jedné třetiny, tedy ve výši 13 mil. Kč. K uplatnění výdajů k těmto neosvobozených příjmů lze odkázat na odůvodnění navrhovaného znění § 10 odst. 4 a 9 zákona o daních. </w:t>
      </w:r>
    </w:p>
    <w:p w14:paraId="592312F6"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 4a písm. o))</w:t>
      </w:r>
    </w:p>
    <w:p w14:paraId="319B41F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zrušit osvobození bezúplatného příjmu v podobě plnění poskytnutého fyzickým osobám pro poskytování veřejných kulturních služeb.</w:t>
      </w:r>
    </w:p>
    <w:p w14:paraId="2C3E1EA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Uvedené příjmy tak budou zdaňovány v režimu ostatních příjmů podle § 10 zákona o daních z příjmů, ve kterém se současně navrhuje úprava, v jejímž důsledku budou uvedené bezúplatné příjmy osvobozené, pokud tyto příjmy nabyté od jednoho poplatníka v úhrnu nepřesáhnou částku 50 000 Kč za zdaňovací období (viz nově navržené znění § 10 odst. 3 písm. c) bod </w:t>
      </w:r>
      <w:r w:rsidRPr="003730B5">
        <w:rPr>
          <w:rFonts w:ascii="Times New Roman" w:hAnsi="Times New Roman"/>
          <w:color w:val="auto"/>
          <w:sz w:val="24"/>
        </w:rPr>
        <w:lastRenderedPageBreak/>
        <w:t xml:space="preserve">5 zákona o daních z příjmů). </w:t>
      </w:r>
    </w:p>
    <w:p w14:paraId="662A0364"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6 odst. 3 věta druhá)</w:t>
      </w:r>
    </w:p>
    <w:p w14:paraId="74D10BA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legislativně-technická změna v návaznosti na navrhované zrušení § 6 odst. 9 písm. d) zákona o daních z příjmů, v důsledku čehož dojde ke změně označení následujících pododstavců. Odkaz na dosavadní odstavec 9 písm. d) se proto navrhuje vypustit, přičemž odkaz na odstavec 9 písm. e) bude nově odkazem na odstavec 9 písm. d), neboť písmeno e) v odstavci 9 bude nově označeno jako písmeno d). </w:t>
      </w:r>
    </w:p>
    <w:p w14:paraId="12B947A9"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6 odst. 4 písm. a))</w:t>
      </w:r>
    </w:p>
    <w:p w14:paraId="68FEDC35" w14:textId="6C4EC053"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Podle stávající právní úpravy jsou příjmy plynoucí na základě dohod o provedení práce samostatným základem daně pro daň vybíranou srážkou podle zvláštní sazby daně, pokud jejichž úhrnná výše u téhož plátce daně nepřesáhne za kalendářní měsíc částku 10 000 Kč a zaměstnanec u tohoto plátce daně neučinil prohlášení k dani podle § 38k odst. 4, 5 nebo 7 zákona o daních z příjmů nebo nevyužil postup podle § 36 odst. 6 nebo 7 zákona o daních z příjmů. Částka 10 000 Kč vychází z výše příjmů, jejíž překročení zakládá účast zaměstnanců činných na základě dohod o provedení práce na nemocenském pojištění a která je doposud v ustanovení § 7a odst. 1 zákona o nemocenském pojištění rovněž stanovena na 10 000 Kč. Na základě tohoto ustanovení tak poplatník bez učiněného prohlášení k dani podle § 38k zákona o daních z příjmů s příjmy plynoucími na základě dohody o provedení práce, jejichž výše za kalendářní měsíc u jednoho plátce daně v úhrnu nepřesáhne 10 000 Kč, není povinen podávat ve vztahu k těmto příjmům daňové přiznání, jeho daň je sražena plátcem daně a následně odvedena správci daně.</w:t>
      </w:r>
    </w:p>
    <w:p w14:paraId="1452D7D7" w14:textId="6D317BF0"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Vzhledem k tomu, že v rámci návrhu zákona v ustanovení § 7a zákona o nemocenském pojištění dochází k úpravě částky rozhodné pro účast zaměstnanců činných na základě dohod o provedení práce na nemocenském pojištění, navrhuje se provést odpovídající úpravu i v ustanovení § 6 odst. 4 písm. a) zákona o daních z příjmů. Částka rozhodná pro účast těchto zaměstnanců na nemocenském pojištění nově nebude v zákoně o nemocenském pojištění stanovena pevnou částkou, nýbrž bude představovat procentuální část průměrné mzdy podle § 23b odst. 4 zákona o pojistném na sociální zabezpečení a příspěvku na státní politiku zaměstnanosti. </w:t>
      </w:r>
    </w:p>
    <w:p w14:paraId="492F0CE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Namísto výslovného uvedení této částky, k němuž by se muselo přistoupit pokaždé, když dojde ke zvýšení výchozí částky v zákoně o nemocenském pojištění, se navrhuje od tohoto způsobu vyjádření částky zcela upustit a nahradit jej obecnou formulací přímo navazující na částku rozhodnou pro účast zaměstnanců činných na základě dohody o provedení práce na nemocenském pojištění stanovenou v § 7a odst. 2 písm. a) zákona o nemocenském pojištění ve vztahu ke všem zaměstnáním vykonávaným na základě dohod o provedení práce u téhož zaměstnavatele v jednom kalendářním měsíci. Tato částka bude podle novelizovaného ustanovení § 7a odst. 2 písm. a) zákona o nemocenském pojištění činit 25 % průměrné mzdy podle § 23b odst. 4 zákona o pojistném na sociální zabezpečení a příspěvku na státní politiku zaměstnanosti zaokrouhlené na celé pětisetkoruny směrem dolů. Obdobný způsob navázání se na automatickou valorizaci částky rozhodné pro účast zaměstnanců na nemocenském pojištění byl již dříve zvolen v ustanovení § 6 odst. 4 písm. b) zákona o daních z příjmů, a tudíž bude v tomto ohledu právní úprava více konzistentní. Tato obecná vazba na částku rozhodnou pro účast na nemocenském pojištění současně zajistí automatickou valorizaci tohoto limitu.</w:t>
      </w:r>
    </w:p>
    <w:p w14:paraId="2D0DC8F0"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6 odst. 9 písm. b))</w:t>
      </w:r>
    </w:p>
    <w:p w14:paraId="04E277A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Hodnota stravování, resp. stravování poskytované jako nepeněžní plnění ke spotřebě na pracovišti zaměstnance nebo v rámci stravování zajišťovaného prostřednictvím jiného subjektu (tj. i formou tzv. stravenek či elektronických stravovacích karet) představuje na straně </w:t>
      </w:r>
      <w:r w:rsidRPr="003730B5">
        <w:rPr>
          <w:rFonts w:ascii="Times New Roman" w:hAnsi="Times New Roman"/>
          <w:color w:val="auto"/>
          <w:sz w:val="24"/>
        </w:rPr>
        <w:lastRenderedPageBreak/>
        <w:t xml:space="preserve">zaměstnance osvobozený příjem v plném rozsahu, tedy bez ohledu na jeho hodnotu, zdroj financování (např. fond kulturních a sociálních potřeb nebo sociální fond), poplatky za distribuci nebo na to, zda je zaměstnanci toto plnění poskytováno za úplatu, která je nižší než jeho nominální hodnota, nebo je poskytováno bezplatně. </w:t>
      </w:r>
    </w:p>
    <w:p w14:paraId="7F16158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Ve vztahu k osvobození těchto příspěvků na stravování zaměstnance se tudíž postupuje rozdílně, než v případě příspěvku na stravování poskytovaného formou peněžitého příspěvku na stravování, jehož osvobození je limitováno do výše 70 % horní hranice stravného, které lze poskytnout zaměstnancům odměňovaným platem při pracovní cestě trvající 5 až 12 hodin. Tento přístup vytváří prostor pro poskytování stravenek libovolné hodnoty dosahující řádově až tisíců korun denně (tzv. manažerské stravenky), které jsou od daně nyní v plné výši osvobozeny. Za účelem sjednocení tohoto přístupu se na straně zaměstnance navrhuje omezit osvobození všech těchto příspěvků na stravování poskytovaných zaměstnavatelem touto 70% hranicí. Pro účely přehlednosti právního předpisu se rovněž navrhuje stravování poskytované jako nepeněžní plnění ke spotřebě na pracovišti zaměstnance nebo v rámci stravování zajišťovaného prostřednictvím jiného poplatníka než zaměstnavatele a peněžitý příspěvek na stravování obecně označovat jako „příspěvky na stravování“.</w:t>
      </w:r>
    </w:p>
    <w:p w14:paraId="0D454C5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Současně se navrhuje podmínky pro daňovou uznatelnost výdajů na tyto příspěvky na stravování na straně zaměstnavatele stanovené v dosavadním § 24 odst. 2 písm. j) bodu 4 zákona o daních z příjmů upravit jako podmínky pro osvobození tohoto příjmu na straně zaměstnance v ustanovení § 6 odst. 9 písm. b) zákona o daních z příjmů. Plnění poskytnuté zaměstnavatelem zaměstnanci ve formě příspěvku na stravování jak v nepeněžní, tak peněžité formě tak bude moci být osvobozeno, pokud přítomnost zaměstnance v práci během pracovní směny trvala alespoň 3 hodiny, a to v úhrnu do výše 70 % horní hranice stravného, které lze poskytnout zaměstnancům odměňovaným platem při pracovní cestě trvající 5 až 12 hodin. Další příspěvek na stravování poskytnutý zaměstnanci bude moci být do stejné výše (tj. do výše 70 % horní hranice stravného, které lze poskytnout zaměstnancům odměňovaným platem při pracovní cestě trvající 5 až 12 hodin) osvobozen pouze v případě, pokud přítomnost zaměstnance v práci během pracování směny trvala alespoň 3 hodiny a zároveň délka této směny v úhrnu s přestávkou v práci, kterou je zaměstnavatel povinen poskytnout zaměstnanci podle zvláštního právního předpisu (viz § 88 odst. 4 zákoníku práce), byla delší než 11 hodin. Takto bude oproti dosavadnímu stavu zajištěno, že osvobození podle § 6 odst. 9 písm. b) zákona o daních z příjmů bude aplikovatelné i pro zaměstnance čerpající peněžitý příspěvek na stravování při delších časových směnách.  Příspěvek na stravování nebude osvobozen, pokud byl poskytnut zaměstnanci, kterému v průběhu směny vznikl nárok na stravné podle zvláštního právního předpisu (viz § 176 odst. 1 písm. a) zákoníku práce). </w:t>
      </w:r>
    </w:p>
    <w:p w14:paraId="368E6D2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Navrhovaný limit se nepoužije na každou formu příspěvku na stravování samostatně při jejich současném poskytnutí v rámci jedné směny, ale osvobozeno u zaměstnance bude vždy hodnota všech poskytnutých forem v rámci jedné směny v úhrnu do 70 % horní hranice stravného, které lze poskytnout zaměstnancům odměňovaným platem při pracovní cestě trvající 5 až 12 hodin.  Další příspěvek na stravování v rámci stejné směny se posuzuje samostatně v případě delší směny než 11 hodin. V rozsahu, ve kterém příspěvek na stravování přesáhne stanovený limit 70 % horní hranice stravného, které lze poskytnout zaměstnancům odměňovaným platem při pracovní cestě trvající 5 až 12 hodin, bude na straně zaměstnance příjmem podléhajícím dani z příjmů podle § 6 odst. 1 písm. d) zákona o daních z příjmů. Na straně zaměstnavatele bude daňová uznatelnost výdajů na příspěvky na stravování nově posuzována podle § 24 odst. 2 písm. j) bodu 5, ve znění před účinností tohoto zákona.</w:t>
      </w:r>
    </w:p>
    <w:p w14:paraId="10FEA9A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rámci bodu 2 přechodných ustanovení této části návrhu zákona je navrženo speciální přechodné ustanovení upravující vztah dosavadní a nově navržené právní úpravy. </w:t>
      </w:r>
    </w:p>
    <w:p w14:paraId="14BEDA10"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lastRenderedPageBreak/>
        <w:t>(§ 6 odst. 9 písm. d))</w:t>
      </w:r>
    </w:p>
    <w:p w14:paraId="78C0575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zrušit osvobození nepeněžního plnění poskytovaného zaměstnavatelem zaměstnancům z fondu kulturních a sociálních potřeb, ze sociálního fondu nebo ze zisku (příjmu) po jeho zdanění a u zaměstnavatelů, kteří nevytvořili zisk, na vrub výdajů (nákladů), které nejsou výdaji (náklady) na dosažení, zajištění a udržení příjmů, ve formě vymezené v jednotlivých bodech tohoto ustanovení (např. na pořízení zboží nebo služeb zdravotního, léčebného, hygienického a obdobného charakteru od zdravotnických zařízení, pořízení zdravotnických prostředků na lékařský předpis a použití vzdělávacích nebo rekreačních zařízení, zařízení péče o děti předškolního věku včetně mateřské školy podle školského zákona, knihovny zaměstnavatele, tělovýchovných a sportovních zařízení, nebo ve formě příspěvku na kulturní pořady a sportovní akce, příspěvku na tištěné knihy). </w:t>
      </w:r>
    </w:p>
    <w:p w14:paraId="05E3F2B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Tato plnění poskytovaná zaměstnavatelem zaměstnanci představují určitou formu benefitu v podobě péče o zaměstnance za účelem jejich motivace. Osvobození příjmu zaměstnance v podobě těchto plnění (s výjimkou příspěvku na zájezd nebo rekreaci a příspěvku na knihy) přitom doposud není nijak limitováno. Daňová podpora těchto benefitů ve formě jejich osvobození od daně však ve svém důsledku prohlubuje nerovné postavení jednotlivých zaměstnavatelů, neboť tyto benefity častěji poskytují zaměstnavatelé, kteří jsou velkými subjekty disponujícími dostatečnými finančními prostředky pro tyto účely. V případě menších zaměstnavatelů s malým počtem zaměstnanců není vždy efektivní administrovat tyto daňové benefity tak, aby mohl být využit jejich plný potenciál. Takto koncipované daňové zvýhodnění tak zvětšuje konkurenční výhodu velkých zaměstnavatelů na trhu práce. Skutečnost, že osvobození některých forem těchto nepeněžitých plnění není limitováno maximální částkou (např. sportovní či kulturní akce) současně vytváří prostor pro poskytování nepeněžních plnění vysoké hodnoty, které je vždy od daně osvobozeno.</w:t>
      </w:r>
    </w:p>
    <w:p w14:paraId="14E3E47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Samotné poskytování zaměstnaneckých výhod není tímto nijak dotčeno. I nadále budou zaměstnavatelé rozhodovat o rozsahu a formě benefitů, které chtějí poskytovat svým zaměstnancům, přičemž právě odstraněním daňového osvobození vybraných benefitů bude odstraněno odlišování benefitů na fiskálně výhodné (tj. benefity splňující podmínky podle § 6 odst. 9 písm. d) zákona o daních z příjmů) a nevýhodné.</w:t>
      </w:r>
    </w:p>
    <w:p w14:paraId="05BFD49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Osvobození nepeněžitých plnění podle § 6 odst. 9 písm. d) zákona o daních z příjmů se proto, s ohledem na naplňování obecných principů jednoduchosti, transparentnosti a neutrality daní z příjmů, navrhuje zrušit. </w:t>
      </w:r>
    </w:p>
    <w:p w14:paraId="2B4A686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zrušení osvobození těchto benefitů na straně zaměstnance se na straně zaměstnavatele rovněž navrhuje vypustit ustanovení § 25 odst. 1 písm. h) a k) zákona o daních z příjmů, podle kterého byly výdaje zaměstnavatele na tato nepeněžitá plnění daňově neuznatelnými výdaji. Uznatelnost těchto výdajů na straně zaměstnavatele bude nově posuzována podle § 24 odst. 2 písm. j) bodu 4 (dosavadní § 24 odst. 2 písm. j) bod 5) zákona o daních z příjmů.</w:t>
      </w:r>
    </w:p>
    <w:p w14:paraId="609464A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rámci bodu 3 přechodných ustanovení této části návrhu zákona je navrženo speciální přechodné ustanovení upravující vztah dosavadní a nově navržené právní úpravy, přičemž rozhodným okamžikem pro uplatnění nové právní úpravy je poskytnutí takového plnění ode dne nabytí účinnosti. </w:t>
      </w:r>
    </w:p>
    <w:p w14:paraId="37E632B6"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6 odst. 9 písm. f))</w:t>
      </w:r>
    </w:p>
    <w:p w14:paraId="1534340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zrušit osvobození příjmu zaměstnance v podobě nepeněžního bezúplatného plnění (daru) poskytovaného z fondu kulturních a sociálních potřeb podle příslušného předpisu, u zaměstnavatelů, na které se tento předpis nevztahuje, nepeněžního bezúplatného plnění poskytovaného za obdobných podmínek ze sociálních fondů nebo ze zisku (příjmu) po jeho </w:t>
      </w:r>
      <w:r w:rsidRPr="003730B5">
        <w:rPr>
          <w:rFonts w:ascii="Times New Roman" w:hAnsi="Times New Roman"/>
          <w:color w:val="auto"/>
          <w:sz w:val="24"/>
        </w:rPr>
        <w:lastRenderedPageBreak/>
        <w:t>zdanění, anebo na vrub výdajů (nákladů), které nejsou výdaji (náklady) na dosažení, zajištění a udržení příjmů, a to až do úhrnné výše 2 000 Kč ročně u každého zaměstnance.</w:t>
      </w:r>
    </w:p>
    <w:p w14:paraId="0EBBD392" w14:textId="249F7E56"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Příjem zaměstnance v podobě daru (peněžitého i nepeněžitého) poskytnutého zaměstnavatelem v souvislosti se závislou činností je standardně posuzován jako zdanitelný příjem plynoucí v souvislosti s výkonem závislé činnosti podle § 6 odst. 1 písm. d) zákona o daních z příjmů. Výjimku představují pouze nepeněžité dary do úhrnné výše 2 000 Kč ročně u každého zaměstnance, které jsou poskytovány podle § 14 vyhlášky </w:t>
      </w:r>
      <w:r w:rsidR="00D03256" w:rsidRPr="003730B5">
        <w:rPr>
          <w:rFonts w:ascii="Times New Roman" w:hAnsi="Times New Roman"/>
          <w:color w:val="auto"/>
          <w:sz w:val="24"/>
        </w:rPr>
        <w:t>o </w:t>
      </w:r>
      <w:r w:rsidR="008950CA" w:rsidRPr="003730B5">
        <w:rPr>
          <w:rFonts w:ascii="Times New Roman" w:hAnsi="Times New Roman"/>
          <w:color w:val="auto"/>
          <w:sz w:val="24"/>
        </w:rPr>
        <w:t xml:space="preserve">FKSP </w:t>
      </w:r>
      <w:r w:rsidRPr="003730B5">
        <w:rPr>
          <w:rFonts w:ascii="Times New Roman" w:hAnsi="Times New Roman"/>
          <w:color w:val="auto"/>
          <w:sz w:val="24"/>
        </w:rPr>
        <w:t xml:space="preserve">k životním a pracovním výročím (tzn. při životním výročí 50 let a dále za každých dalších 5 let věku, při pracovním výročí 20 let a každých dalších 5 let trvání pracovního nebo služebního poměru, při prvém odchodu do starobního nebo invalidního důchodu a při poskytnutí osobní pomoci, při požáru živelné události a v jiných mimořádných případech ve prospěch zaměstnavatele). </w:t>
      </w:r>
    </w:p>
    <w:p w14:paraId="56B04D4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 ohledem na skutečnost, že je očekáváno zrušení této vyhlášky, jakož i na obecné principy jednoduchosti, transparentnosti a neutrality daní z příjmů, se navrhuje toto ustanovení vypustit. Veškeré příjmy zaměstnance v podobě daru poskytnutého zaměstnavatelem v souvislosti se závislou činností tak nově budou podle § 6 odst. 1 písm. d) zákona o daních z příjmů podléhat dani z příjmů bez ohledu na jejich výši. </w:t>
      </w:r>
    </w:p>
    <w:p w14:paraId="449149FA" w14:textId="15BE7AB1"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Poznámka pod čarou č. 6a odkazující na vyhlášku </w:t>
      </w:r>
      <w:r w:rsidR="00D03256" w:rsidRPr="003730B5">
        <w:rPr>
          <w:rFonts w:ascii="Times New Roman" w:hAnsi="Times New Roman"/>
          <w:color w:val="auto"/>
          <w:sz w:val="24"/>
        </w:rPr>
        <w:t>o </w:t>
      </w:r>
      <w:r w:rsidR="008950CA" w:rsidRPr="003730B5">
        <w:rPr>
          <w:rFonts w:ascii="Times New Roman" w:hAnsi="Times New Roman"/>
          <w:color w:val="auto"/>
          <w:sz w:val="24"/>
        </w:rPr>
        <w:t xml:space="preserve">FKSP </w:t>
      </w:r>
      <w:r w:rsidRPr="003730B5">
        <w:rPr>
          <w:rFonts w:ascii="Times New Roman" w:hAnsi="Times New Roman"/>
          <w:color w:val="auto"/>
          <w:sz w:val="24"/>
        </w:rPr>
        <w:t>se s ohledem na očekávané zrušení této vyhlášky rovněž navrhuje zrušit.</w:t>
      </w:r>
    </w:p>
    <w:p w14:paraId="14CFC39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rámci bodu 3 přechodných ustanovení této části návrhu zákona je navrženo speciální přechodné ustanovení upravující vztah dosavadní a nově navržené právní úpravy, přičemž rozhodným okamžikem pro uplatnění nové právní úpravy je poskytnutí takového plnění ode dne nabytí účinnosti. </w:t>
      </w:r>
    </w:p>
    <w:p w14:paraId="018FC53D"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 6 odst. 9 písm. i))</w:t>
      </w:r>
    </w:p>
    <w:p w14:paraId="038E63EB" w14:textId="060CA59D"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zrušit ustanovení § 6 odst. 9 písm. i) - dosavadní ustanovení § 6 odst. 9 písm. j) zákona o daních z příjmů, neboť se v zásadě jedná o obsoletní ustanovení. Podle tohoto ustanovení bylo od daně osvobozené mzdové vyrovnání vyplácené pracovníkům v hornictví, a to ve výši rozdílu mezi náhradou mzdy nebo peněžitými dávkami nemocenského pojištění přiznanými po přechodu pracovníka na nové pracoviště a dávkami nebo náhradou mzdy, které by tento pracovník pobíral na dřívějším pracovišti. Mzdové vyrovnání bylo vypláceno na základě § 7 odst. 2 vyhlášky č. 19/1991 Sb. Tato vyhláška byla vyhláškou č. 405/2003 Sb. zrušena s tím, že podle § 1 odst. 2 této vyhlášky se nároky vzniklé pracovníkům v hornictví na základě zrušené vyhlášky č. 19/1991 Sb. přede dnem jejího zrušení, posuzují podle dosavadních právních předpisů (tj. podle zrušené vyhlášky). Tato výjimka je zrušena z důvodu zpřehlednění právního řádu v oblasti daní.</w:t>
      </w:r>
    </w:p>
    <w:p w14:paraId="089BEF0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Zrušením osvobození tohoto příjmu nebudou dotčena případná mzdová vyrovnání, která jsou v současné době stále vyplácena na základě zrušené vyhlášky č. 19/1991 Sb. Osvobození těchto mzdových vyrovnání je zajištěno prostřednictvím přechodného ustanovení v této části tohoto zákona.</w:t>
      </w:r>
    </w:p>
    <w:p w14:paraId="612E083D"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 6 odst. 9 písm. l) a m))</w:t>
      </w:r>
    </w:p>
    <w:p w14:paraId="3DFEF02C" w14:textId="278775ED"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zrušit ustanovení § 6 odst. 9 písm. l) - dosavadní ustanovení § 6 odst. 9 písm. n) zákona o daních z příjmů, neboť se v zásadě jedná o obsoletní ustanovení. Na základě tohoto ustanovení je osvobozen příjem v podobě odstupného vypláceného pracovníkům v hornictví, kteří byli přeřazeni na jiné pracoviště nebo uvolněni ze zdravotních důvodů. Odstupné, které je tímto ustanovením osvobozeno od daně, bylo poskytováno podle § 5 a 6 vyhlášky č. 19/1991 Sb., která byla vyhláškou č. 405/2003 Sb. zrušena s tím, že nároky na odstupné, které vznikly dotčeným pracovníkům před zrušením této vyhlášky, se posuzují podle dosavadních právních </w:t>
      </w:r>
      <w:r w:rsidRPr="003730B5">
        <w:rPr>
          <w:rFonts w:ascii="Times New Roman" w:hAnsi="Times New Roman"/>
          <w:color w:val="auto"/>
          <w:sz w:val="24"/>
        </w:rPr>
        <w:lastRenderedPageBreak/>
        <w:t xml:space="preserve">předpisů, tj. podle vyhlášky č. 19/1991 Sb. Tato výjimka je zrušena z důvodu zpřehlednění právního řádu v oblasti daní a nebude mít přímý dopad na státní rozpočet. </w:t>
      </w:r>
    </w:p>
    <w:p w14:paraId="7850962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Zrušením osvobození tohoto příjmu nebude dotčeno odstupné, které je v současné době stále vypláceno pracovníkům v hornictví na základě zrušené vyhlášky č. 19/1991 Sb. Osvobození předmětného odstupného je zajištěno prostřednictvím přechodného ustanovení tohoto zákona.</w:t>
      </w:r>
    </w:p>
    <w:p w14:paraId="469C818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Rovněž se navrhuje zrušení ustanovení § 6 odst. 9 písm. m) zákona o daních z příjmů - dosavadní § 6 odst. 9 písm. o), na základě kterého jsou osvobozeny příjmy do výše 500 000 Kč poskytnuté zaměstnavatelem jako sociální výpomoc zaměstnanci v souvislosti s překlenutím jeho mimořádně obtížných poměrů v důsledku živelní pohromy, ekologické nebo průmyslové havárie na územích, na kterých byl vyhlášen nouzový stav podle zákona č. 110/1998 Sb., o bezpečnosti České republiky, přičemž osvobození je podmíněno tím, že tyto příjmy jsou vypláceny zaměstnanci z fondu kulturních a sociálních potřeb nebo ze sociálního fondu za obdobných podmínek u zaměstnavatelů, na které se předpis o fondu kulturních a sociálních potřeb nevztahuje nebo ze zisku (příjmu) po jeho zdanění anebo na vrub výdajů (nákladů), které nejsou výdaji (náklady) na dosažení, zajištění a udržení příjmů. </w:t>
      </w:r>
    </w:p>
    <w:p w14:paraId="7D20DBBF" w14:textId="12C3D400"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Vzhledem k tomu, že osvobození tohoto příjmu je navázáno na institut sociální výpomoci, jehož podmínky jsou upraveny v ustanovení § 11 vyhlášky </w:t>
      </w:r>
      <w:r w:rsidR="00D03256" w:rsidRPr="003730B5">
        <w:rPr>
          <w:rFonts w:ascii="Times New Roman" w:hAnsi="Times New Roman"/>
          <w:color w:val="auto"/>
          <w:sz w:val="24"/>
        </w:rPr>
        <w:t>o </w:t>
      </w:r>
      <w:r w:rsidR="008950CA" w:rsidRPr="003730B5">
        <w:rPr>
          <w:rFonts w:ascii="Times New Roman" w:hAnsi="Times New Roman"/>
          <w:color w:val="auto"/>
          <w:sz w:val="24"/>
        </w:rPr>
        <w:t>FKSP</w:t>
      </w:r>
      <w:r w:rsidRPr="003730B5">
        <w:rPr>
          <w:rFonts w:ascii="Times New Roman" w:hAnsi="Times New Roman"/>
          <w:color w:val="auto"/>
          <w:sz w:val="24"/>
        </w:rPr>
        <w:t xml:space="preserve"> a k očekávanému zrušení této vyhlášky, se navrhuje vypuštění i tohoto ustanovení. Osvobození příjmu zaměstnance, který má obdobný charakter jako sociální výpomoc, však zůstane i nadále zachováno, a to podle ustanovení § 4a písm. k) zákona o daních z příjmů. Podle tohoto ustanovení je od daně z příjmů fyzických osob osvobozen bezúplatný příjem poskytnutý na humanitární nebo charitativní účel nebo z veřejné sbírky, pod které lze zahrnout i pomoc při odstranění důsledků např. živelních pohrom, ekologických nebo průmyslových havárií ohrožujících ve značném rozsahu životy, zdraví nebo majetkové hodnoty anebo vnitřní pořádek a bezpečnost. Jedná se o pomoc poskytovanou cíleně přímo postiženým osobám, a to bez jakéhokoli omezení v podobě maximální výše nebo vyhlášení nouzového stavu podle ústavního zákona č. 110/1998 Sb., o bezpečnosti České republiky. Z úvodní části ustanovení § 6 odst. 9 zákona o daních z příjmů vyplývá, že výčet osvobozených příjmů v tomto ustanovení doplňuje výčet v § 4 zákona o daních z příjmů, do kterého jsou s odkazem na stávající ustanovení § 4 odst. 1 písm. zm) zákona o daních z příjmů zahrnuty i příjmy podle ustanovení § 4a zákona o daních z příjmů. Ustanovení § 4a písm. k) zákona o daních z příjmů proto dopadá i na bezúplatné příjmy, jež jsou vypláceny zaměstnavatelem zaměstnanci na humanitární nebo charitativní účely.</w:t>
      </w:r>
    </w:p>
    <w:p w14:paraId="709B1CD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Ze vzájemných vztahů mezi těmito ustanoveními lze dovodit, že ustanovení § 4a písm. k) a ustanovení § 6 odst. 9 písm. m) zákona o daních z příjmů částečně upravují shodný okruh právních vztahů. Vypuštění ustanovení § 6 odst. 9 písm. m) zákona o daních z příjmů tak přispěje systematičnosti zákona a rovněž přispěje k naplnění obecného principu jednoduchosti daní z příjmů.</w:t>
      </w:r>
    </w:p>
    <w:p w14:paraId="09ADE75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Poznámku pod čarou č. 65 odkazující na čl. 5 ústavního zákona č. 110/1998 Sb., o bezpečnosti České republiky, se navrhuje pro nadbytečnost vypustit.</w:t>
      </w:r>
    </w:p>
    <w:p w14:paraId="6F905429"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 6 odst. 9 písm. m))</w:t>
      </w:r>
    </w:p>
    <w:p w14:paraId="0EF99026" w14:textId="7DA8C1BD"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ustanovení § 6 odst. 9 písm. m) - dosavadní § 6 odst. 9 písm. r) - zákona o daních z příjmů v souvislosti s přeřazením platu a renty prezidenta republiky z ostatních příjmů mezi funkční požitky rozšířit o úpravu týkající se naturálních plnění poskytovaných i bývalému prezidentovi republiky tak jak uvádí § 4 odst. 1 písm. o) </w:t>
      </w:r>
      <w:r w:rsidR="00C83506" w:rsidRPr="003730B5">
        <w:rPr>
          <w:rFonts w:ascii="Times New Roman" w:hAnsi="Times New Roman"/>
          <w:color w:val="auto"/>
          <w:sz w:val="24"/>
        </w:rPr>
        <w:t xml:space="preserve">- </w:t>
      </w:r>
      <w:r w:rsidRPr="003730B5">
        <w:rPr>
          <w:rFonts w:ascii="Times New Roman" w:hAnsi="Times New Roman"/>
          <w:color w:val="auto"/>
          <w:sz w:val="24"/>
        </w:rPr>
        <w:t>dosavadní § 4 odst. 1 písm. p) zákona o dani z příjmů a ustanovení § 4 odst. 1 písm. o) současně zrušit pro nadbytečnost.</w:t>
      </w:r>
    </w:p>
    <w:p w14:paraId="171BC0F9"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 6 odst. 10 písm. a))</w:t>
      </w:r>
    </w:p>
    <w:p w14:paraId="1EC6C8A8" w14:textId="0A3D875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 xml:space="preserve">Z důvodu navrhovaného vypuštění ustavení § 10 odst. 9 zákona o daních z příjmů, se navrhuje upravit ustanovení § 6 odst. 10 písm. a) zákona o daních z příjmů tak, aby byla zrušena výjimka, podle níž plat stávajícího prezidenta republiky a náhrady spojené s výkonem jeho funkce nejsou funkčními požitky. Plat prezidenta republiky, jakož i náhrady (naturální i víceúčelové paušální náhrady) poskytované podle zákona č. 236/1995 Sb., a renta bývalého prezidenta republiky a víceúčelová paušální náhrada poskytované na základě zákona č. 48/2004 Sb. tak nově budou funkčními požitky ve smyslu § 6 odst. 10 písm. a) zákona o daních z příjmů. </w:t>
      </w:r>
    </w:p>
    <w:p w14:paraId="4B0C9159" w14:textId="742FADC8"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Podle § 15 a 16 zákona č. 236/1995 Sb. náleží prezidentovi také zvláštní víceúčelová paušální náhrada výdajů spojených s výkonem jeho funkce a naturální plnění v podobě: </w:t>
      </w:r>
    </w:p>
    <w:p w14:paraId="3C30E5A3" w14:textId="77777777" w:rsidR="00133AC8" w:rsidRPr="003730B5" w:rsidRDefault="00133AC8" w:rsidP="00133AC8">
      <w:pPr>
        <w:pStyle w:val="Dvodovzprva"/>
        <w:ind w:left="709"/>
        <w:outlineLvl w:val="9"/>
        <w:rPr>
          <w:rFonts w:ascii="Times New Roman" w:hAnsi="Times New Roman"/>
          <w:color w:val="auto"/>
          <w:sz w:val="24"/>
          <w:szCs w:val="24"/>
        </w:rPr>
      </w:pPr>
      <w:r w:rsidRPr="003730B5">
        <w:rPr>
          <w:rFonts w:ascii="Times New Roman" w:hAnsi="Times New Roman"/>
          <w:color w:val="auto"/>
          <w:sz w:val="24"/>
          <w:szCs w:val="24"/>
        </w:rPr>
        <w:t>a) užívání služebního vozidla s řidičem i bez něho k výkonu funkce nebo v souvislosti s ním a k osobní dispozici,</w:t>
      </w:r>
    </w:p>
    <w:p w14:paraId="3AE6840B" w14:textId="77777777" w:rsidR="00133AC8" w:rsidRPr="003730B5" w:rsidRDefault="00133AC8" w:rsidP="00133AC8">
      <w:pPr>
        <w:pStyle w:val="Dvodovzprva"/>
        <w:ind w:left="709"/>
        <w:outlineLvl w:val="9"/>
        <w:rPr>
          <w:rFonts w:ascii="Times New Roman" w:hAnsi="Times New Roman"/>
          <w:color w:val="auto"/>
          <w:sz w:val="24"/>
          <w:szCs w:val="24"/>
        </w:rPr>
      </w:pPr>
      <w:r w:rsidRPr="003730B5">
        <w:rPr>
          <w:rFonts w:ascii="Times New Roman" w:hAnsi="Times New Roman"/>
          <w:color w:val="auto"/>
          <w:sz w:val="24"/>
          <w:szCs w:val="24"/>
        </w:rPr>
        <w:t>b) užívání nemovitostí tvořících sídlo prezidenta republiky,</w:t>
      </w:r>
    </w:p>
    <w:p w14:paraId="38646E11" w14:textId="77777777" w:rsidR="00133AC8" w:rsidRPr="003730B5" w:rsidRDefault="00133AC8" w:rsidP="00133AC8">
      <w:pPr>
        <w:pStyle w:val="Dvodovzprva"/>
        <w:ind w:left="709"/>
        <w:outlineLvl w:val="9"/>
        <w:rPr>
          <w:rFonts w:ascii="Times New Roman" w:hAnsi="Times New Roman"/>
          <w:color w:val="auto"/>
          <w:sz w:val="24"/>
          <w:szCs w:val="24"/>
        </w:rPr>
      </w:pPr>
      <w:r w:rsidRPr="003730B5">
        <w:rPr>
          <w:rFonts w:ascii="Times New Roman" w:hAnsi="Times New Roman"/>
          <w:color w:val="auto"/>
          <w:sz w:val="24"/>
          <w:szCs w:val="24"/>
        </w:rPr>
        <w:t>c) úhrada zdravotních služeb,</w:t>
      </w:r>
    </w:p>
    <w:p w14:paraId="7FDF545E" w14:textId="77777777" w:rsidR="00133AC8" w:rsidRPr="003730B5" w:rsidRDefault="00133AC8" w:rsidP="00133AC8">
      <w:pPr>
        <w:pStyle w:val="Dvodovzprva"/>
        <w:ind w:left="709"/>
        <w:outlineLvl w:val="9"/>
        <w:rPr>
          <w:rFonts w:ascii="Times New Roman" w:hAnsi="Times New Roman"/>
          <w:color w:val="auto"/>
          <w:sz w:val="24"/>
          <w:szCs w:val="24"/>
        </w:rPr>
      </w:pPr>
      <w:r w:rsidRPr="003730B5">
        <w:rPr>
          <w:rFonts w:ascii="Times New Roman" w:hAnsi="Times New Roman"/>
          <w:color w:val="auto"/>
          <w:sz w:val="24"/>
          <w:szCs w:val="24"/>
        </w:rPr>
        <w:t>d) zřízení a užívání dvou účastnických telefonních stanic.</w:t>
      </w:r>
    </w:p>
    <w:p w14:paraId="35B4A45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Zatímco výše uvedená naturální plnění jsou od daně z příjmů osvobozená podle § 6 odst. 9 písm. m) - dosavadního písm. r) zákona o daních z příjmů, zvláštní víceúčelová paušální náhrada, která je poskytována místo náhrady výdajů stanovených v § 5 zákona č. 236/1995 Sb. ve výši 335 % platové základny, osvobozena od daně z příjmů není. </w:t>
      </w:r>
    </w:p>
    <w:p w14:paraId="6E108F2A" w14:textId="59E4351E"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Bývalému prezidentovi na základě zákona č. 48/2004 Sb. vzniká vedle nároku na rentu též podle § 2 daného zákona nárok na víceúčelovou paušální náhradu, která kryje zejména nájemné spojené s užíváním přiměřeně vybavené kanceláře a odměnu asistenta, v celkové výši 50 000 Kč měsíčně. Tato paušální náhrada taktéž není osvobozena od daní z příjmů. Podle § 3 zákona č. 48/2004 Sb. má bývalý prezident republiky po skončení svého volebního období navíc nárok na užívání vozidla ve vlastnictví státu s řidičem i bez něho k osobní dispozici, pokud mu není poskytnuta ochrana podle zvláštního právního předpisu zahrnující přidělení vozidla s řidičem. Jedná se o naturální plnění, které je však osvobozeno od daně z příjmů na základě § 6 odst. 9 písm. m) – dosavadního písm. r) zákona o daních z příjmů, a to v důsledku přesunu této úpravy z dosavadního § 4 odst. 1 písm. p) zákona o daních z příjmů.</w:t>
      </w:r>
    </w:p>
    <w:p w14:paraId="0C513300"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10 odst. 1 úvodní část ustanovení)</w:t>
      </w:r>
    </w:p>
    <w:p w14:paraId="221E3A7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Za účelem zlepšení srozumitelnosti a jasnosti se do úvodní části ustanovení § 10 odst. 1 zákona o daních z příjmů navrhuje uvést, že odstavec 1 obsahuje výčet jednotlivých druhů ostatních příjmů s tím, že každý pododstavec a bod představuje jednotlivý druh příjmu. V návaznosti na doplnění nového písmene q) se rovněž navrhuje vypustit slova charakterizující ostatní příjmy jako příjmy, při kterých dochází ke zvýšení majetku a slovo „zejména“ indikující dosavadní demonstrativní výčet jednotlivých druhů ostatních příjmů, v důsledku čehož se tento výčet stane výčtem taxativním. Nové písmeno q) v odstavci 1 bude v rámci ostatních příjmů představovat jednotlivý druh příjmu pro příjmy, při kterých dochází ke zvýšení majetku, ale které nelze zařadit pod některý z jednotlivých druhů příjmu uvedený v písm. a) až o). Z nového písmene q) tak vyplývá, že i příjmy podle písm. a) až o) jsou příjmy, při kterých dochází ke zvýšení majetku, a není tudíž nutné tuto skutečnost duplicitně uvádět v úvodní části ustanovení § 10 odst. 1 zákona o daních z příjmů.</w:t>
      </w:r>
    </w:p>
    <w:p w14:paraId="7CB62BFD"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10 odst. 1 písm. b) úvodní části ustanovení)</w:t>
      </w:r>
    </w:p>
    <w:p w14:paraId="73C288A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návaznosti na změny navržené v § 4 odst. 1 písm. a) a b) zákona o daních z příjmů, kdy se navrhuje příjem z prodeje pro účely těchto ustanovení rozšířit na příjem z jakéhokoliv úplatného převodu nebo přechodu nemovité věci, se navrhuje podobná úprava i v ustanovení </w:t>
      </w:r>
      <w:r w:rsidRPr="003730B5">
        <w:rPr>
          <w:rFonts w:ascii="Times New Roman" w:hAnsi="Times New Roman"/>
          <w:color w:val="auto"/>
          <w:sz w:val="24"/>
        </w:rPr>
        <w:lastRenderedPageBreak/>
        <w:t xml:space="preserve">§ 10 odst. 1 písm. b) zákona o daních z příjmů. V důsledku této změny se rámci ostatních příjmů jako jednotlivý druh příjmu podle písmene b) posoudí nejen příjmy z úplatného převodu nemovité věci, cenného papíru nebo jiné věci, ale i příjmy plynoucí z jejich úplatného přechodu, tj. například příjmy plynoucí jako náhrada za odnětí vlastnického práva (tato již nebude na základě změn navržených v ustanovení § 4 odst. 1 písm. d) a dosavadního písm. zd) zákona o daních z příjmů od daně osvobozena), nebo příjmy plynoucí z vydražení této věci v dražbě. </w:t>
      </w:r>
    </w:p>
    <w:p w14:paraId="0901B010"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10 odst. 1 písm. c))</w:t>
      </w:r>
    </w:p>
    <w:p w14:paraId="20CC023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legislativně-technická změna za účelem zajištění souladu zákona o daních z příjmů s terminologií zákona o obchodních korporacích a odstranění dosavadní kolize ustanovení § 10 odst. 1 písm. b) bodu 2 a § 10 odst. 1 písm. c) zákona o daních z příjmů. Dosavadní pojem „účast“ se navrhuje nahradit pojmem „podíl“, neboť v souladu s § 31 zákona o obchodních korporacích je účast společníka v obchodní korporaci představována podílem, přičemž podíl představuje jak tuto účast, tak práva a povinnosti z ní plynoucí. Dosavadní formulace příjmů plynoucích z „převodu účasti“ tak bude rovněž konzistentní s terminologií používanou v jiných ustanoveních zákona o daních z příjmů, kde se hovoří o příjmech plynoucích z převodu podílu v obchodní korporaci (viz např. dosavadní § 4 odst. 1 písm. s), § 4b odst. 1 písm. g) nebo § 19 odst. 9 zákona o daních z příjmů).</w:t>
      </w:r>
    </w:p>
    <w:p w14:paraId="4D7EF9B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Podíl ve společnosti s ručením omezeným představující účast v této společnosti a práva a povinnosti z této účasti plynoucí, může být v souladu s § 32 odst. 2 a § 137 odst. 1 zákona o obchodních korporacích, představován kmenovým listem. Vzhledem k tomu, že kmenový list je podle § 137 odst. 3 zákona o obchodních korporacích cenným papírem, na základě dotčených ustanovení zákona o daních z příjmů, nelze zcela jednoznačně určit, zda je příjem z úplatného převodu kmenového listu jednotlivým druhem příjmu podle § 10 odst. 1 písm. b) bodu 2 nebo písm. c) zákona o daních z příjmů, neboť se jedná o příjem z úplatného převodu cenného papíru a zároveň o příjem z převodu podílu ve společnosti s ručením omezeným. Byť přednost § 10 odst. 1 písm. b) bodu 2 zákona o daních z příjmů lze dneska dovodit z § 10 odst. 5 zákona o daních z příjmů, který v případě příjmu z úplatného převodu cenného papíru určuje, že výdajem je nabývací cena kmenového listu, je chtěné vyjasnit tento vztah i v rámci jednotlivého druhu příjmu.</w:t>
      </w:r>
    </w:p>
    <w:p w14:paraId="1B3E984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Obdobná otázka vyvstává i v případě komanditních společností na investiční listy upravené zákonem č. 240/2013 Sb. o investičních společnostech a investičních fondech (dále jen zákon o investičních společnostech a investičních fondech), která je možnou právní formou investičního fondu kvalifikovaných investorů (viz § 101 odst. 1 písm. c) ve spojení s § 170 odst. zákona o investičních společnostech a investičních fondech). V této společnosti jsou podíly komanditistů představovány investičními listy, které jsou v souladu § 172 zákona o investičních společnostech a investičních fondech cennými papíry.</w:t>
      </w:r>
    </w:p>
    <w:p w14:paraId="4B63C6F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 tohoto důvodu se navrhuje jednotlivý druh příjmu podle § 10 odst. 1 písm. c) zákona o daních z příjmů specifikovat tak, že se jedná o příjem z převodu podílu ve společnosti s ručením omezeným nebo převodu podílu komanditisty v komanditní společnosti, pokud tyto podíly nejsou představovány cenným papírem. Příjmy z převodu kmenového listu nebo investičního listu tak budou vždy jednotlivým druhem příjmu podle § 10 odst. 1 písm. b) bodu 2 zákona o daních z příjmů.</w:t>
      </w:r>
    </w:p>
    <w:p w14:paraId="4DD5956D"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10 odst. 1 písm. h) úvodní část ustanovení)</w:t>
      </w:r>
    </w:p>
    <w:p w14:paraId="15D2554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legislativně-technická změna navazující na změny navržené v úvodní části ustanovení § 10 odst. 1 zákona o daních z příjmů, kde se navrhuje uvést, že odstavec 1 obsahuje výčet jednotlivých druhů ostatních příjmů s tím, že každý pododstavec a bod představuje </w:t>
      </w:r>
      <w:r w:rsidRPr="003730B5">
        <w:rPr>
          <w:rFonts w:ascii="Times New Roman" w:hAnsi="Times New Roman"/>
          <w:color w:val="auto"/>
          <w:sz w:val="24"/>
        </w:rPr>
        <w:lastRenderedPageBreak/>
        <w:t>jednotlivý druh příjmu. Slova, která upřesňují, že v případě výher z hazardních her jsou jednotlivé druhy příjmu představovány jednotlivými body, se tak navrhují z důvodu nadbytečnosti vypustit, neboť tato skutečnost bude nově vyplývat právě z úvodní části ustanovení § 10 odst. 1 zákona o daních z příjmů.</w:t>
      </w:r>
    </w:p>
    <w:p w14:paraId="411F81F4"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10 odst. 1 písm. p) a q))</w:t>
      </w:r>
    </w:p>
    <w:p w14:paraId="70C947B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zavedení obecného limitu pro osvobození jednotlivého druhu ostatního příjmu v § 10 odst. 3 písm. a) zákona o daních z příjmů se navrhuje do výčtu jednotlivých druhů ostatního příjmu v § 10 odst. 1 zákona o daních z příjmů doplnit nová písmena p) a q).</w:t>
      </w:r>
    </w:p>
    <w:p w14:paraId="74D0AAF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Písmeno p) je jednotlivým druhem příjmu pro příjmy, které vznikají v důsledku uplatnění nezdanitelné části základu daně a následného nesplnění podmínek pro uplatnění nezdanitelné části daně. Nové ustanovení písmene p) tak směřuje například na situace podle § 15 odst. 4, 5 a 6 zákona o daních z příjmů.</w:t>
      </w:r>
    </w:p>
    <w:p w14:paraId="043BB93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Tento typ příjmu je tak důsledkem dodatečného zdanění dříve poskytnutých daňových výhod, u kterých následně došlo ke ztrátě možnosti jejich využití, tj. jedná se tedy o vznik nového příjmu. Má-li být takový příjem dodatečně zdaněn, je klasifikován jako příjem ke zdanění v zákonem stanoveném zdaňovacím období.</w:t>
      </w:r>
    </w:p>
    <w:p w14:paraId="023C898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Podobnou situaci představuje příjem, který byl od daně z příjmů osvobozen, ale podmínky pro toto osvobození následně nebyly splněny. V případě tohoto příjmu se však nebude jednat o jednotlivý druh příjmu podle § 10 odst. 1 písm. p) zákona o daních z příjmů, ale o takový druh ostatního příjmu podle § 10 odst. 1 zákona o daních z příjmů, do kterého by byl tento příjem zařazen, kdyby nebyl od daně osvobozen. Například v případě příjmu podle § 4a písm. j) zákona o daních z příjmů, pro který následně nebyly splněny podmínky osvobození, se bude jednat o příjem podle § 10 odst. 1 písm. n) zákona o daních z příjmů a jeho osvobození bude posuzováno podle § 10 odst. 3 písm. c) zákona o daních z příjmů. Obdobně v případě příjmu podle § 4b odst. 4 ve vazbě na § 4 odst. 1 písm. a) a b) zákona o daních z příjmů, se bude jednat o příjem podle § 10 odst. 1 písm. b) bodu 1 zákona o daních z příjmů a v souladu s § 10 odst. 4 zákona o daních z příjmů bude možné tento příjem snížit o výdaje prokazatelně vynaložené na jeho dosažení, kterými jsou výdaje ve smyslu § 10 odst. 5 zákona o daních z příjmů. </w:t>
      </w:r>
    </w:p>
    <w:p w14:paraId="6775F6F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Písmeno q) představuje v rámci ostatních příjmů jednotlivý druh příjmu pro příjmy, při kterých dochází ke zvýšení majetku, ale které nelze zařadit pod některý z jednotlivých druhů příjmu uvedený v písm. a) až p). Z nového písmene q) tak vyplývá, že i příjmy podle písm. a) až p) jsou příjmy, při kterých dochází ke zvýšení majetku, a není tudíž nutné tuto skutečnost duplicitně uvádět v úvodní části ustanovení § 10 odst. 1 zákona o daních z příjmů. Demonstrativní výčet jednotlivých druhů ostatních příjmů v odstavci 1 se tak stane výčtem taxativním a jakýkoliv příjem, při kterém dochází ke zvýšení majetku poplatníka, který není příjmem podle § 6 až 9 zákona o daních z příjmů, tak bude možné zařadit do jednotlivého druhu příjmu podle ustanovení § 10 odst. 1 zákona o daních z příjmů.</w:t>
      </w:r>
    </w:p>
    <w:p w14:paraId="3390F8B1"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xml:space="preserve"> (§ 10 odst. 2)</w:t>
      </w:r>
    </w:p>
    <w:p w14:paraId="5BA1724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návaznosti na změny navržené v § 4 odst. 1 písm. a) a b) zákona o daních z příjmů, kdy se navrhuje příjem z prodeje pro účely těchto ustanovení rozšířit na příjem z jakéhokoliv úplatného převodu nebo přechodu nemovité věci, a na obdobné změny navržené v § 10 odst. 1 písm. b) zákona o daních z příjmů, se i v tomto ustanovení navrhuje příjem plynoucí manželům z prodeje nebo převodu majetku nebo práva ve společném jmění manželů rozšířit na příjem plynoucí z jakéhokoliv úplatného převodu nebo přechodu majetku nebo práva ve společném jmění manželů. V důsledku této změny se ustanovení § 10 odst. 2 zákona o daních z příjmů uplatní například i příjmy plynoucí jako náhrada za odnětí vlastnického práva k majetku ve společném jmění manželů (tato náhrada již nebude na základě změn navržených </w:t>
      </w:r>
      <w:r w:rsidRPr="003730B5">
        <w:rPr>
          <w:rFonts w:ascii="Times New Roman" w:hAnsi="Times New Roman"/>
          <w:color w:val="auto"/>
          <w:sz w:val="24"/>
        </w:rPr>
        <w:lastRenderedPageBreak/>
        <w:t xml:space="preserve">v ustanovení § 4 odst. 1 písm. d) a dosavadního písm. zd) zákona o daních z příjmů od daně osvobozena), nebo na příjmy plynoucí z vydražení majetku nebo práva ve společném jmění manželů v dražbě. </w:t>
      </w:r>
    </w:p>
    <w:p w14:paraId="5BAA98D6"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10 odst. 3 písm. a))</w:t>
      </w:r>
    </w:p>
    <w:p w14:paraId="3AB631A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 důvodu zjednodušení právní úpravy daní z příjmů a snížení nadbytečné administrativní zátěže poplatníků daně z příjmů fyzických osob, jakož i administrativní zátěže správců daně, se navrhuje zavést obecný limit pro osvobození ostatních příjmů od daně z příjmů. Tento obecný limit se uplatní pouze pro ostatní příjmy, které nejsou osvobozeny na základě jiného ustanovení zákona o daních z příjmů. Z tohoto důvodu se podle tohoto obecného limitu nebudou posuzovat tyto příjmy:</w:t>
      </w:r>
    </w:p>
    <w:p w14:paraId="7A9C447C" w14:textId="77777777" w:rsidR="00133AC8" w:rsidRPr="003730B5" w:rsidRDefault="00133AC8" w:rsidP="00133AC8">
      <w:pPr>
        <w:pStyle w:val="Dvodovzprva"/>
        <w:numPr>
          <w:ilvl w:val="0"/>
          <w:numId w:val="89"/>
        </w:numPr>
        <w:ind w:left="777" w:hanging="357"/>
        <w:outlineLvl w:val="9"/>
        <w:rPr>
          <w:rFonts w:ascii="Times New Roman" w:hAnsi="Times New Roman"/>
          <w:color w:val="auto"/>
          <w:sz w:val="24"/>
          <w:szCs w:val="24"/>
        </w:rPr>
      </w:pPr>
      <w:r w:rsidRPr="003730B5">
        <w:rPr>
          <w:rFonts w:ascii="Times New Roman" w:hAnsi="Times New Roman"/>
          <w:color w:val="auto"/>
          <w:sz w:val="24"/>
          <w:szCs w:val="24"/>
        </w:rPr>
        <w:t xml:space="preserve">příjmy podle § 10 odst. 1 písm. b), c) a f) bodu 2 zákona o daních z příjmů, které jsou osvobozeny za podmínek upravených v ustanovení § 4, </w:t>
      </w:r>
    </w:p>
    <w:p w14:paraId="57FC414E" w14:textId="77777777" w:rsidR="00133AC8" w:rsidRPr="003730B5" w:rsidRDefault="00133AC8" w:rsidP="00133AC8">
      <w:pPr>
        <w:pStyle w:val="Dvodovzprva"/>
        <w:numPr>
          <w:ilvl w:val="0"/>
          <w:numId w:val="89"/>
        </w:numPr>
        <w:ind w:left="777" w:hanging="357"/>
        <w:outlineLvl w:val="9"/>
        <w:rPr>
          <w:rFonts w:ascii="Times New Roman" w:hAnsi="Times New Roman"/>
          <w:color w:val="auto"/>
          <w:sz w:val="24"/>
          <w:szCs w:val="24"/>
          <w:u w:val="single"/>
        </w:rPr>
      </w:pPr>
      <w:r w:rsidRPr="003730B5">
        <w:rPr>
          <w:rFonts w:ascii="Times New Roman" w:hAnsi="Times New Roman"/>
          <w:color w:val="auto"/>
          <w:sz w:val="24"/>
          <w:szCs w:val="24"/>
        </w:rPr>
        <w:t>příjmy podle § 10 odst. 1 písm. h) bodů 2 až 6, m) a n) zákona o daních z příjmů, které jsou osvobozeny za podmínek stanovených v ustanovení § 10 odst. 3 písm. b) a c)zákona o daních z příjmů.</w:t>
      </w:r>
    </w:p>
    <w:p w14:paraId="03623BB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Navrhované osvobození podle § 10 odst. 3 písm. a) zákona o daních z příjmů se rovněž nevztahuje na příjmy podle § 10 odst. 1 písm. p) zákona o daních z příjmů. V tomto případě se jedná o příjmy, které vznikly v důsledku uplatnění nezdanitelné části základu daně a následného nesplnění podmínek pro uplatnění nezdanitelné části daně. Tyto příjmy jsou tak důsledkem dodatečného zdanění dříve poskytnutých daňových výhod, u kterých následně došlo ke ztrátě možnosti jejich využití. Vzhledem k charakteru těchto příjmů není žádoucí, aby byly od daně osvobozovány, a to bez ohledu na jejich výši, neboť osvobození těchto příjmů by bylo v rozporu s jejich smyslem.</w:t>
      </w:r>
    </w:p>
    <w:p w14:paraId="6A99579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Ostatní příjmy, které v rámci zákona o daních z příjmů nemají stanoveny zvláštní podmínky pro jejich osvobození a budou moci být osvobozeny na základě § 10 odst. 3 písm. a) lze dělit na dvě skupiny z hlediska toho, jak u nich bude limit 50 000 Kč posuzován. Ostatní příjmy, které nepodléhají dani vybírané srážkou podle zvláštní sazby daně, budou od daně z příjmů osvobozeny, pokud jejich úhrn v rámci jednotlivého druhu příjmu nepřesáhne za kalendářní rok 50 000 Kč. U těchto ostatních příjmů je rozhodující, zda součet těchto příjmů spadajících do jednoho druhu příjmu nepřesáhl stanovený limit. V případě ostatních příjmů, které podléhají dani vybírané srážkou podle zvláštní sazby daně (tj. příjmy podle písmene f) bodu 1, g), h) bodu 1, ch), k) a o)), se limit pro osvobození neposuzuje úhrnně za jednotlivý druh příjmu, ale za každý příjem samostatně. Důvodem je skutečnost, že u příjmů, z nichž je daň vybírána srážkou podle zvláštní sazby daně, mnohdy různými plátci daně, by bylo jen obtížně zjistitelné, zda daný poplatník již limit v rámci jednotlivého druhu příjmu překročil a srážka má být provedena, či nikoliv, čímž by byly na plátce daně vyplácející tyto ostatní příjmy kladeny nepřiměřené administrativní nároky. Stejně se bude postupovat i v případě, kdy se bude jednat o ostatní příjmem plynoucí ze zahraničí, který lze podle § 10 odst. 9 zákona o daních z příjmů (dosavadní § 10 odst. 10) zahrnout do samostatného základu daně zdaňovaného sazbou podle § 16a zákona o daních z příjmů.</w:t>
      </w:r>
    </w:p>
    <w:p w14:paraId="17C1DE4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Dále se ruší samostatně stanovené osvobození v současném § 10 odst. 3 písm. a) zákona o daních z příjmů pro poplatníky mající příjmy z chovu včel. Navrhovaná úprava zamezuje situacím, kdy někteří profesionální včelaři využívají tuto výjimku, která je konstruována pro „příležitostnou činnost“, a v režimu osvobození obsluhují např. 200 včelstev (rozepsáno formálně na členy rodiny), čímž se vyhýbají zdanění příjmů z jejich činnosti a způsobují distorzi zejména ve vztahu ke standardně podnikajícím včelařům.</w:t>
      </w:r>
    </w:p>
    <w:p w14:paraId="0377FF0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rámci navrhovaného obecného limitu tak bude posuzováno i osvobození některých druhů </w:t>
      </w:r>
      <w:r w:rsidRPr="003730B5">
        <w:rPr>
          <w:rFonts w:ascii="Times New Roman" w:hAnsi="Times New Roman"/>
          <w:color w:val="auto"/>
          <w:sz w:val="24"/>
        </w:rPr>
        <w:lastRenderedPageBreak/>
        <w:t>příjmů, jejichž výslovné osvobození se navrhuje zrušit. Jedná se například o příjem v podobě ceny z veřejné soutěže a ocenění v oblasti kultury (doposud osvobozen podle § 4 odst. 1 písm. f) zákona o daních z příjmů), příjem ze státního příspěvku na stavební spoření (doposud osvobozen podle § 4 odst. 1 písm. t) zákona o daních z příjmů, příjem v podobě kurzového zisku při směnách peněž z účtu vedeného v cizí měně (doposud osvobozen podle § 4 odst. 1 písm. ze) zákona o daních z příjmů).</w:t>
      </w:r>
    </w:p>
    <w:p w14:paraId="2D7FE88B"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10 odst. 3 písm. b) bod 1)</w:t>
      </w:r>
    </w:p>
    <w:p w14:paraId="1F08E20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návaznosti na navrhované zavedení obecného limitu pro osvobození ostatních příjmů v § 10 odst. 3 písm. a) zákona o daních z příjmů se navrhuje v dotčeném ustanovení vypustit bod 1, který stanoví limit pro osvobození příjmů v podobě výhry z loterie a tomboly. V souladu s principy ochrany veřejného zdraví a bojem se závislostmi bude osvobození těchto příjmů nově posuzováno podle nižšího obecného limitu pro osvobození upraveného ustanovením § 10 odst. 3 písm. a) zákona o daních z příjmů, který je 50 000 Kč. Vzhledem k tomu, že příjem v podobě výhry z loterie nebo tomboly podléhá dani vybírané srážkou podle zvláštní sazby daně (§ 36 odst. 2 písm. i) zákona o daních z příjmů), bude se limit 50 000 Kč posuzovat z hlediska každé výhry z těchto hazardních her zvlášť a nikoliv v úhrnu za jednotlivý druh příjmu. </w:t>
      </w:r>
    </w:p>
    <w:p w14:paraId="32D415F6"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10 odst. 3 písm. b))</w:t>
      </w:r>
    </w:p>
    <w:p w14:paraId="0D5B5C0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navrhované zavedení obecného limitu pro osvobození ostatních příjmů v ustanovení § 10 odst. 3 písm. a) zákona o daních z příjmů se navrhuje sjednotit limit pro osvobození příjmu v podobě výhry z vybraných druhů hazardních her. V souladu s principy ochrany veřejného zdraví a bojem se závislostmi tak bude osvobození těchto příjmů oproti současnému limitu 1 mil. Kč posuzováno podle nižšího obecného limitu 50 000 Kč. Úplné zrušení osvobození příjmu z hazardních her nepředstavuje z hlediska administrativní zátěže efektivní řešení, neboť v takovém případě by každému poplatníkovi daně z příjmů fyzických osob s tímto příjmem vznikla povinnost podat daňově přiznání a v něm dokládat nejen výhry, ale rovněž výdaje (tj. každý vklad do hazardní hry). Způsob, jakým se naplnění tohoto limitu posuzuje, tj. zda rozdíl mezi úhrnem výher a úhrn vkladů v rámci jednoho druhu příjmu za zdaňovací období nepřesáhl stanovený limit, není touto změnou dotčen.</w:t>
      </w:r>
    </w:p>
    <w:p w14:paraId="04E65456"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10 odst. 3 písm. c) bod 5)</w:t>
      </w:r>
    </w:p>
    <w:p w14:paraId="133E07E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navrhované zavedení obecného limitu pro osvobození ostatních příjmů v ustanovení § 10 odst. 3 písm. a) zákona o daních z příjmů se navrhuje sjednotit limit pro osvobození příležitostných bezúplatných příjmů z 15 000 Kč na 50 000 Kč. Podmínky tohoto osvobození, tj. úhrn těchto příjmů od téhož poplatníka ve zdaňovacím období nepřesáhl stanovený limit, nejsou touto změnou dotčeny.</w:t>
      </w:r>
    </w:p>
    <w:p w14:paraId="4DC256FA"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10 odst. 4 věta druhá)</w:t>
      </w:r>
    </w:p>
    <w:p w14:paraId="338F8CC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Navrhovaná změna navazuje na nově navržené ustanovení § 4 odst. 3 zákona o daních z příjmů, které pro osvobození příjmu plynoucího z úplatného převodu podílu v obchodní korporaci, který není představován cenným papírem, a z úplatného převodu cenného papíru, nad rámec časového testu podle § 4 odst. 1 písm. q) a u) zákona o daních z příjmů (dosavadní § 4 odst. 1 písm. s) a x) zákona o daních z příjmů) stanoví další podmínku pro osvobození těchto příjmů, a sice úhrnnou horní hranici ve výši 40 mil. Kč ve zdaňovacím období. Hranice 40 mil. Kč se vztahuje pouze na příjmy, které splňují podmínky pro osvobození podle písmene q) a u) zákona o daních z příjmů, tj. na příjmy, u nichž byl splněn časový test a je posuzována v úhrnu za příjmy osvobozené podle písm. q) i u) zákona o daních z příjmů za jedno zdaňovací období. </w:t>
      </w:r>
    </w:p>
    <w:p w14:paraId="2518DE4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 základě navrhovaného ustanovení § 4 odst. 3 zákona o daních z příjmů budou tyto příjmy splňující podmínky pro osvobození podle § 4 odst. 1 písm. q) a u) zákona o daních z příjmů do </w:t>
      </w:r>
      <w:r w:rsidRPr="003730B5">
        <w:rPr>
          <w:rFonts w:ascii="Times New Roman" w:hAnsi="Times New Roman"/>
          <w:color w:val="auto"/>
          <w:sz w:val="24"/>
        </w:rPr>
        <w:lastRenderedPageBreak/>
        <w:t xml:space="preserve">základu daně zahrnuty pouze v rozsahu, ve kterém převyšují hranici 40 mil. Kč, tedy v poměrné části vypočítané podle podílu části úhrnu těchto příjmů převyšující 40 mil. Kč a celkového úhrnu těchto příjmů. V části, která nebude osvobozena od daně z příjmů na základě § 4 odst. 1 písm. q) nebo u) zákona o daních z příjmů ve spojení s § 4 odst. 3 zákona o daních z příjmů, se bude jednat o příjmy podle § 10 odst. 1 písm. b) bod 2 a podle § 10 odst. 1 písm. c) zákona o daních z příjmů. Vzhledem k tomu, že tyto příjmy podléhají dani z příjmů pouze částečně, navrhuje se stanovit, že i výdaje snižující tyto příjmy v souladu s § 10 odst. 4 zákona o daních, je možné uplatnit pouze v části, která odpovídá poměru, v němž příjmy, na jejichž dosažení byly výdaje prokazatelně vynaloženy, podléhají dani z příjmů, tj. v části, ve které tyto příjmy nejsou osvobozeny. </w:t>
      </w:r>
    </w:p>
    <w:p w14:paraId="4614FD4C" w14:textId="77777777" w:rsidR="00133AC8" w:rsidRPr="003730B5" w:rsidRDefault="00133AC8" w:rsidP="00133AC8">
      <w:pPr>
        <w:pStyle w:val="Dvodovzprva"/>
        <w:widowControl w:val="0"/>
        <w:outlineLvl w:val="9"/>
        <w:rPr>
          <w:rFonts w:ascii="Times New Roman" w:hAnsi="Times New Roman"/>
          <w:color w:val="auto"/>
          <w:sz w:val="24"/>
          <w:u w:val="single"/>
        </w:rPr>
      </w:pPr>
      <w:r w:rsidRPr="003730B5">
        <w:rPr>
          <w:rFonts w:ascii="Times New Roman" w:hAnsi="Times New Roman"/>
          <w:color w:val="auto"/>
          <w:sz w:val="24"/>
          <w:u w:val="single"/>
        </w:rPr>
        <w:t>Příklad:</w:t>
      </w:r>
    </w:p>
    <w:p w14:paraId="2E4637D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Pokud poplatníkovi daně z příjmů fyzických osob plynou příjmy z úplatného převodu podílu v obchodní korporaci, který není představován cenným papírem, osvobozené na základě § 4 odst. 1 písm. q) zákona o daních z příjmů ve výši 21 mil. Kč a příjmy z úplatného převodu cenného papíru osvobozené na základě § 4 odst. 1 písm. u) zákona o daních z příjmů ve výši 39 mil. Kč, pak úhrn těchto příjmů poplatníka činí 60 mil. Kč. Na dosažení tohoto příjmu z úplatného převodu podílu v obchodní korporaci poplatník prokazatelně vynaložil 9 mil. Kč (nabývací cena podílu) a na dosažení příjmu z úplatného převodu cenného papíru prokazatelně vynaložil 42 mil. Kč (pořizovací cena). Poplatníkovi neplynou jiné příjmy z úplatného převodu cenného papíru, ani z převodu podílu v obchodní korporaci, který není představován cenným papírem.</w:t>
      </w:r>
    </w:p>
    <w:p w14:paraId="56D8BD7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Příjmy z úplatného převodu podílu v obchodní korporaci budou na základě § 4 odst. 3 zákona o daních z příjmů od daně osvobozeny ze dvou třetin (tj. poměr podílu 40 mil. Kč a 60 mil. Kč), tedy ve výši 14 mil. Kč a do základu daně budou zahrnuty z jedné třetiny (tj. poměr podílu 20 mil. Kč a 60 mil. Kč), tedy ve výši 7 mil. Kč. Příjmy z úplatného převodu cenného papíru budou rovněž od daně osvobozeny ze dvou třetin (tj. ve výši 26 mil. Kč) a do základu daně budou zahrnuty z jedné třetiny, tedy ve výši 13 mil. Kč. </w:t>
      </w:r>
    </w:p>
    <w:p w14:paraId="53E89AC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Jednotlivý druh příjmu podle § 10 odst. 1 písm. b) bodu 2 a § 10 odst. 1 písm. c) zákona o daních z příjmů lze snížit o výdaje prokazatelně vynaložené na jeho dosažení. Příjem z úplatného převodu podílu v obchodní korporaci zahrnutý do základu daně z jedné třetiny, tj. ve výši 7 mil. Kč, tak lze snížit o výdaj prokazatelně vynaložený na jeho dosažení ve výši 3 mil. Kč. Příjem z úplatného převodu cenného papíru zahrnutý do základu daně z jedné třetiny, tj. ve výši 13 mil. Kč, lze rovněž snížit o výdaj prokazatelně vynaložený na jeho dosažení ve výši jedné třetiny, tedy ve výši 14 mil. Kč. V případě příjmu z úplatného převodu cenného papíru výdaje prokazatelně vynaložené na jeho dosažení převyšují tento příjem a v souladu s § 10 odst. 4 zákona o daních z příjmů se k rozdílu nepřihlíží a daňová ztráta tudíž nevzniká. V případě příjmu z úplatného převodu podílu v obchodní korporaci základ daně, resp. dílčí základ daně, představuje částka 4 mil. Kč.</w:t>
      </w:r>
    </w:p>
    <w:p w14:paraId="1D8782E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případě, že poplatníkovi plynou příjmy pouze v rámci jednotlivého druhu příjmu podle § 10 odst. 1 zákona o daních z příjmů, tj. například pouze příjmy z úplatného převodu cenných papírů podle § 10 odst. 1 písm. b) bodu 2 zákona o daních z příjmů, které jsou od daně z příjmů osvobozeny podle § 4 odst. 1 písm. u) zákona o daních z příjmů, dani z příjmů podléhá pouze taková část úhrnu těchto příjmů, která převyšuje částku 40 mil. Kč. Tuto část příjmů pak lze snížit o výdaje prokazatelně vynaložené na dosažení těchto příjmů ve výši, která odpovídá poměru, v jakém tento příjem přesahuje částku 40 mil Kč. </w:t>
      </w:r>
    </w:p>
    <w:p w14:paraId="72B5253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Navrhovaná úprava má přitom obecný charakter a lze ji využít ve všech případech, kdy je ostatní příjem od daně částečně osvobozen, tedy nejen v případě, že se jedná o příjmy podle § 10 odst. 1 písm. b) bodu 2 nebo § 10 odst. 1 písm. c) zákona o daních z příjmů částečně </w:t>
      </w:r>
      <w:r w:rsidRPr="003730B5">
        <w:rPr>
          <w:rFonts w:ascii="Times New Roman" w:hAnsi="Times New Roman"/>
          <w:color w:val="auto"/>
          <w:sz w:val="24"/>
        </w:rPr>
        <w:lastRenderedPageBreak/>
        <w:t>osvobozené na základě § 4 odst. 1 písm. q) nebo u) zákona o daních z příjmů ve spojení s § 4 odst. 3 zákona o daních z příjmů.</w:t>
      </w:r>
    </w:p>
    <w:p w14:paraId="2A60A3C4"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10 odst. 5 věta čtvrtá)</w:t>
      </w:r>
    </w:p>
    <w:p w14:paraId="58775D7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legislativně-technická změna navazující na změny navržené v § 4 odst. 1 písm. a) a b) a § 10 odst. 1 písm. b) zákona o daních z příjmů, kdy se navrhuje příjem z prodeje pro účely těchto ustanovení rozšířit na příjem z jakéhokoliv úplatného převodu nebo přechodu nemovité věci. Příjem z prodeje se tak navrhuje rozšířit na příjem z jakéhokoliv úplatného převodu nebo přechodu i v tomto ustanovení, neboť na ustanovení § 10 odst. 1 písm. b) zákona o daních z příjmů přímo navazuje.</w:t>
      </w:r>
    </w:p>
    <w:p w14:paraId="764947BD"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 10 odst. 9)</w:t>
      </w:r>
    </w:p>
    <w:p w14:paraId="74520FA0" w14:textId="7611C7EB"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plat prezidenta republiky, víceúčelovou paušální náhradu výdajů spojených s výkonem jeho funkce podle zvláštního právního předpisu (zákon č. 236/1995 Sb.) a dále také rentu a víceúčelovou paušální náhradu poskytovanou bývalému prezidentu republiky podle zákona č. 48/2004 Sb. vyloučit z ostatních příjmů (§ 10 zákona o daních z příjmů). Plat prezidenta republiky a víceúčelová paušální náhrada výdajů vyplácené podle zákona č. 236/1995 Sb. představují příjmy vyplácené v souvislosti s výkonem funkce, zatímco renta a víceúčelová paušální náhrada vyplácené na základě zákona č. 48/2004 Sb. jsou příjmy poskytované v souvislosti s dřívějším výkonem funkce. Tyto příjmy jsou tedy svou podstatou příjmy ze závislé činnosti, tj. platy a plněními spojenými se současným či dřívějším výkonem funkce a v rámci systematiky zákona o daních z příjmů by proto měly být zdaňovány jako příjmy ze závislé činnosti ve smyslu § 6 odst. 1 písm. a) bodu 2 a písm. d) zákona o daních z příjmů. </w:t>
      </w:r>
    </w:p>
    <w:p w14:paraId="0B2E519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Vypuštění platu a renty prezidenta republiky z ustanovení § 10 zákona o daních z příjmů představuje systémové řešení, které sjednotí režim zdanění příjmů prezidenta republiky a bývalého prezidenta republiky s daňovým režimem příjmů ostatních představitelů státní moci. </w:t>
      </w:r>
    </w:p>
    <w:p w14:paraId="0AFD711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Obsah dosavadního odstavec 9 se navrhuje nahradit nový ustanovením navazujícím na nově navržené ustanovení § 4 odst. 3 zákona o daních z příjmů, které pro osvobození příjmu plynoucího z úplatného převodu podílu v obchodní korporaci, který není představován cenným papírem, a z úplatného převodu cenného papíru, nad rámec časového testu podle § 4 odst. 1 písm. q) a u) zákona o daních z příjmů (dosavadní § 4 odst. 1 písm. s) a x) zákona o daních z příjmů) stanoví další podmínku pro osvobození těchto příjmů, a sice úhrnnou horní hranici ve výši 40 mil. Kč ve zdaňovacím období. Hranice 40 mil. Kč se vztahuje pouze na příjmy, které splňují podmínky pro osvobození podle písmene q) a u) zákona o daních z příjmů, tj. na příjmy, u nichž byl splněn časový test a je posuzována v úhrnu za příjmy osvobozené podle písm. q) i u) zákona o daních z příjmů za jedno zdaňovací období. </w:t>
      </w:r>
    </w:p>
    <w:p w14:paraId="37E93C2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 základě navrhovaného ustanovení § 4 odst. 3 zákona o daních z příjmů budou příjmy splňující podmínky pro osvobození podle § 4 odst. 1 písm. q) a u) zákona o daních z příjmů do základu daně zahrnuty pouze v rozsahu, ve kterém převyšují hranici 40 mil Kč., tedy v poměrné části vypočítané podle podílu části úhrnu těchto příjmů převyšující částku 40 mil. Kč a celkového úhrnu těchto příjmů. V části, která nebude osvobozena od daně z příjmů na základě § 4 odst. 1 písm. q) nebo u) zákona o daních z příjmů ve spojení s § 4 odst. 3 zákona o daních z příjmů, se bude jednat o příjmy podle § 10 odst. 1 písm. b) bod 2 a podle § 10 odst. 1 písm. c) zákona o daních z příjmů. </w:t>
      </w:r>
    </w:p>
    <w:p w14:paraId="09B57D1D" w14:textId="232F8B7E"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Jednotlivý druh příjmu podle § 10 odst. 1 písm. b) bodu 2 nebo § 10 odst. 1 písm. c) zákona o daních z příjmů lze v souladu s § 10 odst. 4 zákona o daních z příjmů snížit o výdaje prokazatelně vynaložené na jeho dosažení, přičemž výdaje pro tyto jednotlivé druhy příjmů jsou specifikovány v § 10 odst. 5 a 6 zákona o daních z příjmů. Vzhledem k zavedení výše </w:t>
      </w:r>
      <w:r w:rsidRPr="003730B5">
        <w:rPr>
          <w:rFonts w:ascii="Times New Roman" w:hAnsi="Times New Roman"/>
          <w:color w:val="auto"/>
          <w:sz w:val="24"/>
        </w:rPr>
        <w:lastRenderedPageBreak/>
        <w:t xml:space="preserve">uvedeného limitu pro osvobození těchto příjmů, který bude dopadat i na podíl v obchodní korporaci, který není představován cenným papírem, a na cenné papíry, které byly nabyty před nabytím účinnosti tohoto zákona, se navrhuje umožnit poplatníkovi jako výdaj uplatnit jinou částku, než kterou by uplatnil podle odstavce 5 nebo 6 ustanovení § 10 zákona o daních z příjmů. V případech, kdy se jedná o příjem podle § 10 odst. 1 písm. b) bodu 2 nebo § 10 odst. 1 písm. c) zákona o daních z příjmů plynoucí z podílů nebo cenných papírů nabytých před účinností tohoto zákona a zároveň se jedná o příjem, který je od daně částečně osvobozen podle § 4 odst. 1 písm. q) nebo u) zákona o daních z příjmů ve spojení s § 4 odst. 3 zákona o daních z příjmů, může poplatník jako výdaj prokazatelně vynaložený na dosažení tohoto příjmu uplatnit namísto výdajů podle odstavce 5 ustanovení § 10 zákona o daních z příjmů (tj. nabývací ceny akcie nebo kmenového listu nebo pořizovací ceny ostatních cenných papírů a výdajů souvisejících s uskutečněním úplatného převodu, jakož i výdajů v podobě plateb za obchodování na trhu s cennými papíry při pořízení cenných papírů) nebo odstavce 6 ustanovení § 10 zákona o daních z příjmů (tj. nabývací ceny podílu v obchodní korporaci, který není představován cenným papírem), tržní hodnotu tohoto podílu nebo cenného papíru, která je určena podle zákona č. 151/1997 Sb., o oceňování majetku a o změně některých zákonů (zákon o oceňování majetku), a to k 31. </w:t>
      </w:r>
      <w:r w:rsidR="006348FF" w:rsidRPr="003730B5">
        <w:rPr>
          <w:rFonts w:ascii="Times New Roman" w:hAnsi="Times New Roman"/>
          <w:color w:val="auto"/>
          <w:sz w:val="24"/>
        </w:rPr>
        <w:t>12.</w:t>
      </w:r>
      <w:r w:rsidRPr="003730B5">
        <w:rPr>
          <w:rFonts w:ascii="Times New Roman" w:hAnsi="Times New Roman"/>
          <w:color w:val="auto"/>
          <w:sz w:val="24"/>
        </w:rPr>
        <w:t xml:space="preserve"> 2023. Pokud předmětný příjem plyne z úplatného převodu cenného papíru, je společně s touto tržní hodnotou (obdobně jako podle odstavce 5 ustanovení § 10 zákona o daních z příjmů) jako výdaj prokazatelně vynaložený na dosažení příjmu možné uplatnit i výdaj související s uskutečněním úplatného převodu tohoto cenného papíru a výdaj v podobě platby za obchodování na trhu s cennými papíry při pořízení tohoto cenného papíru, protože poplatník tyto výdaje vynaložil a vlivem přecenění na tržní hodnotu by je nemohl uplatnit, i když v režimu § 10 odst. 5 zákona o daních z příjmů je uplatnit může.</w:t>
      </w:r>
    </w:p>
    <w:p w14:paraId="128D65F4" w14:textId="16F69206"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Poplatníkovi, který uskutečňuje úplatný převod podílů v obchodní korporaci nebo cenných papírů nabytých přede dnem účinnosti tohoto zákona, je tak dána možnost, v případě, kdy by jeho příjem z tohoto úplatného převodu nebyl z důvodu zavedení nového limitu v § 4 odst. 3 zákona o daních z příjmů osvobozen od daně v plné výši jako za dosavadních podmínek, uplatnit jako výdaj, namísto standardní nabývací či pořizovací ceny, tržní hodnotu, kterou by převáděný cenný papír či podíl v obchodní korporaci měl k 31. </w:t>
      </w:r>
      <w:r w:rsidR="006348FF" w:rsidRPr="003730B5">
        <w:rPr>
          <w:rFonts w:ascii="Times New Roman" w:hAnsi="Times New Roman"/>
          <w:color w:val="auto"/>
          <w:sz w:val="24"/>
        </w:rPr>
        <w:t>12.</w:t>
      </w:r>
      <w:r w:rsidRPr="003730B5">
        <w:rPr>
          <w:rFonts w:ascii="Times New Roman" w:hAnsi="Times New Roman"/>
          <w:color w:val="auto"/>
          <w:sz w:val="24"/>
        </w:rPr>
        <w:t xml:space="preserve"> 2023. Tímto bude zajištěno, že dani z příjmů bude fakticky podléhat pouze hodnota, o kterou se hodnota těchto cenných papírů nebo podílů zvýšila od okamžiku nabytí účinnosti tohoto zákona do okamžiku jejich úplatného převodu. </w:t>
      </w:r>
    </w:p>
    <w:p w14:paraId="558CFFC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Tímto ustanovením není dotčeno ustanovení § 10 odst. 4 zákona o daních z příjmů, které stanoví, že v případě příjmů podléhajících dani z příjmů pouze částečně, se i výdaje snižující tyto příjmy v souladu s § 10 odst. 4 zákona o daních z příjmů, uplatní pouze v části, která odpovídá poměru, v němž příjmy, na jejichž dosažení byly výdaje prokazatelně vynaloženy, podléhají dani z příjmů (tj. v části, ve které tyto příjmy nejsou osvobozeny).</w:t>
      </w:r>
    </w:p>
    <w:p w14:paraId="1D3C7F35"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15 odst. 3)</w:t>
      </w:r>
    </w:p>
    <w:p w14:paraId="34E8E3E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souvislosti s rozšířením okruhu subjektů oprávněných poskytovat stavební spoření tímto zákonem dochází k použití obecnějšího pojmu „poskytovatel stavebního spoření“ namísto pojmu „stavební spořitelna“ a vypuštění poznámky pod čarou č. 56. K této změně dochází na všech místech zákona, kde dosud byl použit termín „stavební spořitelna“, a to z důvodu konzistentnosti předpisu a jednotnosti pojmů. Zároveň dochází) k drobné úpravě textace s cílem zvýšit srozumitelnost zákona. Cílem je vyjasnit, že od základu daně je možné odečíst i úroky z úvěru poskytnutého v souvislosti s úvěrem ze stavebního spoření (tzv. překlenovacího úvěru) a také z úvěru poskytnutého bankou v souvislosti s hypotečním úvěrem (tzv. předhypoteční úvěry nebo doplňkové úvěry k hypotečním úvěrům). To je v souladu s příslušným pokynem Generálního finančního ředitelství (Pokyn č. GFŘ – D – 59 k jednotnému postupu při uplatňování některých ustanovení zákona č. 586/1992 Sb., o daních </w:t>
      </w:r>
      <w:r w:rsidRPr="003730B5">
        <w:rPr>
          <w:rFonts w:ascii="Times New Roman" w:hAnsi="Times New Roman"/>
          <w:color w:val="auto"/>
          <w:sz w:val="24"/>
        </w:rPr>
        <w:lastRenderedPageBreak/>
        <w:t>z příjmů, ve znění pozdějších předpisů).</w:t>
      </w:r>
    </w:p>
    <w:p w14:paraId="657BF1FA" w14:textId="553BAC8E" w:rsidR="00133AC8" w:rsidRPr="003730B5" w:rsidRDefault="00133AC8" w:rsidP="00A24C00">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xml:space="preserve"> (§ 15 odst. 7 a 8)</w:t>
      </w:r>
    </w:p>
    <w:p w14:paraId="5EFEF496" w14:textId="77777777" w:rsidR="00133AC8" w:rsidRPr="003730B5" w:rsidRDefault="00133AC8" w:rsidP="00133AC8">
      <w:pPr>
        <w:pStyle w:val="Dvodovzprva"/>
        <w:outlineLvl w:val="4"/>
        <w:rPr>
          <w:rFonts w:ascii="Times New Roman" w:hAnsi="Times New Roman"/>
          <w:color w:val="auto"/>
          <w:sz w:val="24"/>
          <w:szCs w:val="24"/>
          <w:u w:val="single"/>
        </w:rPr>
      </w:pPr>
      <w:r w:rsidRPr="003730B5">
        <w:rPr>
          <w:rFonts w:ascii="Times New Roman" w:hAnsi="Times New Roman"/>
          <w:color w:val="auto"/>
          <w:sz w:val="24"/>
          <w:szCs w:val="24"/>
          <w:u w:val="single"/>
        </w:rPr>
        <w:t>K § 15 odst. 7:</w:t>
      </w:r>
    </w:p>
    <w:p w14:paraId="75FA067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zrušit možnost uplatnění nezdanitelné části základu daně z titulu zaplacených členských příspěvků členem odborové organizace této odborové organizaci, která podle svých stanov obhajuje hospodářské a sociální zájmy zaměstnanců.</w:t>
      </w:r>
    </w:p>
    <w:p w14:paraId="13D7EE1C" w14:textId="0C4CBC89"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Daňové zvýhodnění členských příspěvků odborovým organizacím bylo do zákona o daních z příjmů zavedeno zákonem č. 438/2003 Sb. s účinností od 1. </w:t>
      </w:r>
      <w:r w:rsidR="00D6156C" w:rsidRPr="003730B5">
        <w:rPr>
          <w:rFonts w:ascii="Times New Roman" w:hAnsi="Times New Roman"/>
          <w:color w:val="auto"/>
          <w:sz w:val="24"/>
        </w:rPr>
        <w:t>1.</w:t>
      </w:r>
      <w:r w:rsidRPr="003730B5">
        <w:rPr>
          <w:rFonts w:ascii="Times New Roman" w:hAnsi="Times New Roman"/>
          <w:color w:val="auto"/>
          <w:sz w:val="24"/>
        </w:rPr>
        <w:t xml:space="preserve"> 2004. Účelem bylo posílit odborové organizace, motivovat fyzické osoby ke členství v odborových organizacích a zkvalitnit sociální dialog v rámci tripartity tím, že si člen odborové organizace bude moci snížit základ daně z příjmů o výši zaplacených členských příspěvků, a to až do výše 1,5 % svých zdanitelných příjmů, nejvýše však o 3 000 Kč. Při stanovení maximální částky, o kterou lze snížit základ daně (tj. 3 000 Kč) se vycházelo z předpokládané průměrné měsíční mzdy pro rok 2003, která činila 15 000 Kč a roční průměrná mzda v roce 2003 tudíž činila 180 000 Kč. Částka ve výši 1,5 % z roční průměrné mzdy tak činila 2 700 Kč a následně byla zaokrouhlena na celé tisíce nahoru, tj. na 3 000 Kč. </w:t>
      </w:r>
    </w:p>
    <w:p w14:paraId="5DD6760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Daňové zvýhodnění členských příspěvků tak postupem času přestalo plnit svůj účel a v současné době představuje jednu z nesystémových daňových výjimek prohlubujících nerovnost mezi daňovými poplatníky, neboť toto ustanovení může využít pouze úzký okruh daňových poplatníků z řad fyzických osob. Z pohledu zásad rovnosti a spravedlnosti je obtížné zdůvodnit, proč právě členství v tomto neziskovém subjektu je daňově zvýhodňováno, zatímco na členství v jiných neziskových organizacích vyvíjejících činnost v nejrůznějších oblastech (např. výchova a vzdělávání mládeže nebo sport) se toto daňové zvýhodnění nevztahuje.   Zrušením ustanovení § 15 odst. 7 zákona o daních z příjmů tak dojde k žádoucí redukci nesystémových daňových výjimek s pozitivním rozpočtovým dopadem a zároveň bude u daně z příjmů naplněn obecný princip její jednoduchosti, transparentnosti a neutrality.</w:t>
      </w:r>
    </w:p>
    <w:p w14:paraId="077A9375" w14:textId="77777777" w:rsidR="00133AC8" w:rsidRPr="003730B5" w:rsidRDefault="00133AC8" w:rsidP="00133AC8">
      <w:pPr>
        <w:pStyle w:val="Dvodovzprva"/>
        <w:outlineLvl w:val="4"/>
        <w:rPr>
          <w:rFonts w:ascii="Times New Roman" w:hAnsi="Times New Roman"/>
          <w:color w:val="auto"/>
          <w:sz w:val="24"/>
          <w:szCs w:val="24"/>
          <w:u w:val="single"/>
        </w:rPr>
      </w:pPr>
      <w:r w:rsidRPr="003730B5">
        <w:rPr>
          <w:rFonts w:ascii="Times New Roman" w:hAnsi="Times New Roman"/>
          <w:color w:val="auto"/>
          <w:sz w:val="24"/>
          <w:szCs w:val="24"/>
          <w:u w:val="single"/>
        </w:rPr>
        <w:t>K § 15 odst. 8:</w:t>
      </w:r>
    </w:p>
    <w:p w14:paraId="0477A9B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zrušit možnost uplatnění nezdanitelné části základu daně z titulu úhrady za zkoušky ověřující výsledky dalšího vzdělávání podle zákona č. 179/2006 Sb., o ověřování a uznávání výsledků dalšího vzdělávání a o změně některých zákonů, ve znění pozdějších předpisů (dále jen „zákon o uznávání výsledků dalšího vzdělávání“).</w:t>
      </w:r>
    </w:p>
    <w:p w14:paraId="7DB6FD3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Pro možnost uplatnění odpočtu podle § 15 odst. 8 zákona o daních z příjmů je rozhodující, zda se jedná o zkoušky ve smyslu zákona o uznávání výsledků dalšího vzdělávání a zda úhrady za tyto zkoušky nebyly hrazeny zaměstnavatelem nebo nebyly uplatněny jako výdaj podle § 24 odst. 2 písm. zo) zákona o daních z příjmů poplatníkem s příjmy ze samostatné činnosti. Zároveň zákon o daních z příjmů stanoví maximální výši tohoto odpočtu za zdaňovací období, a to 10 000 Kč. V případě poplatníka, který je osobou se zdravotním postižením, se tento limit navyšuje tak, že za zdaňovací období lze odečíst až 13 000 Kč, přičemž jedná-li se o poplatníka, který je osobou s těžším zdravotním postižením, lze odečíst až 15 000 Kč. </w:t>
      </w:r>
    </w:p>
    <w:p w14:paraId="701D0D1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Podle výše uvedeného zákona o uznávání výsledků dalšího vzdělávání je dalším vzděláváním takové vzdělávání, které není počátečním vzděláváním, tj. nejedná se o vzdělávání v rámci školského systému. Za počáteční vzdělávání se považuje také studium v akreditovaných studijních programech vysokých škol nebo jejich součástí. Jedná se o jednu ze skutečností, která oslabuje motivační funkci k dalšímu vzdělávání dospělých poplatníků a propojení počátečního a dalšího vzdělávání, ke kterému by mělo předmětné daňové zvýhodnění přispívat. V rámci tohoto daňového odpočtu je možné uplatnit pouze úhrady za závěrečnou zkoušku </w:t>
      </w:r>
      <w:r w:rsidRPr="003730B5">
        <w:rPr>
          <w:rFonts w:ascii="Times New Roman" w:hAnsi="Times New Roman"/>
          <w:color w:val="auto"/>
          <w:sz w:val="24"/>
        </w:rPr>
        <w:lastRenderedPageBreak/>
        <w:t xml:space="preserve">a nikoli úhrady za samotné další vzdělávání, což rovněž vede k tomu, že předmětný daňový odpočet dostatečně neplní funkci motivovat dospělou populaci v České republice k dalšímu vzdělávání. Žádné jiné úhrady a poplatky na vzdělání, které nejsou v režimu zákona o uznávání výsledků dalšího vzdělávání nelze v rámci této nezdanitelné části základu daně uplatnit. </w:t>
      </w:r>
    </w:p>
    <w:p w14:paraId="258CB4D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Vzhledem ke skutečnosti, že ustanovení zvláštních právních předpisů upravující vzdělávání, hodnocení a ověřování výsledků vzdělávání, profesní přípravu nebo podmínky způsobilosti a hodnocení a uznávání odborné kvalifikace a jiné způsobilosti pro zahájení závislé nebo nezávislé regulované činnosti a pro její výkon na území České republiky nejsou zákonem o uznávání výsledků dalšího vzdělávání dotčena (viz § 1 odst. 2 zákona o uznávání výsledků dalšího vzdělávání), paralelně zde existuje řada dalších právních předpisů upravujících vzdělávání a požadavky na odbornou způsobilost a její ověřování. Zcela jistě tedy existují i další formy studia sloužící k doplnění, zvýšení, rozšíření, prohloubení či změně kvalifikace v podobě školení, kurzů, programů a dalších vzdělávacích aktivit zakončených vydáním osvědčení, certifikátu či diplomu o jejich absolvování, které mají ambice zvýšit uplatnitelnost a konkurenceschopnost poplatníků na trhu práce, avšak nenaplňují podmínky pro uplatnění úhrad za jejich vykonání jako nezdanitelných částí základu daně ve smyslu § 15 odst. 8 zákona o daních z příjmů. </w:t>
      </w:r>
    </w:p>
    <w:p w14:paraId="2201F1C6" w14:textId="76E98AC4"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Přestože zákon o uznávání výsledků dalšího vzdělávání rozšířil možnosti poplatníků získávat ověření a uznávání výsledků dalšího vzdělávání pro novou kvalifikaci a zlepšovat tak jejich uplatnění a konkurenceschopnost na trhu práce, je skutečné využití tohoto daňového zvýhodnění, nejen v důsledku úzkého navázání na tento zákon, relativně omezené a současně představuje nesystémovou daňovou výjimku prohlubující nerovnost mezi daňovými poplatníky. Zrušení ustanovení § 15 odst. 8 zákona o daních z příjmů představuje žádoucí redukci nesystémových daňových výjimek s pozitivním rozpočtovým dopadem, přispívá k naplnění obecných principů jednoduchosti, transparentnosti a neutrality daní z příjmů, a zároveň realizuje jeden z cílů Programového prohlášení vlády </w:t>
      </w:r>
      <w:r w:rsidR="00A42930" w:rsidRPr="003730B5">
        <w:rPr>
          <w:rFonts w:ascii="Times New Roman" w:hAnsi="Times New Roman"/>
          <w:color w:val="auto"/>
          <w:sz w:val="24"/>
        </w:rPr>
        <w:t>České republiky</w:t>
      </w:r>
      <w:r w:rsidRPr="003730B5">
        <w:rPr>
          <w:rFonts w:ascii="Times New Roman" w:hAnsi="Times New Roman"/>
          <w:color w:val="auto"/>
          <w:sz w:val="24"/>
        </w:rPr>
        <w:t xml:space="preserve"> pro oblast veřejných financí, tj. cestou rozpočtových úspor směřovat ke stabilitě veřejných financí.</w:t>
      </w:r>
    </w:p>
    <w:p w14:paraId="3FA4FAB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vypuštění § 15 odst. 8 zákona o daních z příjmů se navrhuje vypustit i zvláštní úpravu v § 24 odst. 2 písm. zo) zákona o daních z příjmů, podle kterého je úhrada za zkoušky ověřující výsledky dalšího vzdělávání podle zákona o ověřování a uznávání výsledků dalšího vzdělávání v případě poplatníka s příjmy ze samostatné činnosti daňově uznatelným výdajem do stejné výše, jako je uznatelný odpočet podle § 15 odst. 8 zákona o daních z příjmů. Obecně tedy budou výdaje na uhrazení úhrad za zkoušky ověřující výsledky dalšího vzdělávání v případě poplatníka s příjmy ze samostatné činnosti posuzovány testem podle § 24 odst. 1 zákona o daních z příjmů, tj. musí se jednat o výdaje vynaložené na dosažení, zajištění a udržení zdanitelných příjmů.</w:t>
      </w:r>
    </w:p>
    <w:p w14:paraId="37332AC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zrušení odstavců 7 a 8 se současně navrhuje legislativně-technická změna spočívající ve změně označení následujícího odstavce.</w:t>
      </w:r>
    </w:p>
    <w:p w14:paraId="40FBF3A6" w14:textId="77777777" w:rsidR="00133AC8" w:rsidRPr="003730B5" w:rsidRDefault="00133AC8" w:rsidP="00A24C00">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15 odst. 7)</w:t>
      </w:r>
    </w:p>
    <w:p w14:paraId="1CBEF05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Jedná se o legislativně technickou úpravu, která zohledňuje přečíslování odstavců v důsledku zrušení stávajících odstavců 7 a 8 v § 15 zákona o daních z příjmů.</w:t>
      </w:r>
    </w:p>
    <w:p w14:paraId="6417D715"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16 odst. 1)</w:t>
      </w:r>
    </w:p>
    <w:p w14:paraId="01A31C6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Současná sazba daně z příjmů fyzických osob činí 15% pro část základu daně do 48násobku průměrné mzdy a 23 % pro část základu daně přesahující 48násobek průměrné mzdy.</w:t>
      </w:r>
    </w:p>
    <w:p w14:paraId="6985FBE7" w14:textId="2258B14F"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Pro účely daní z příjmů se podle § 21g odst. 2 zákona o daních z příjmů průměrnou mzdou rozumí průměrná mzda stanovená podle zákona upravujícího pojistné na sociální zabezpečení </w:t>
      </w:r>
      <w:r w:rsidRPr="003730B5">
        <w:rPr>
          <w:rFonts w:ascii="Times New Roman" w:hAnsi="Times New Roman"/>
          <w:color w:val="auto"/>
          <w:sz w:val="24"/>
        </w:rPr>
        <w:lastRenderedPageBreak/>
        <w:t xml:space="preserve">(tj. zákon o pojistném na sociální zabezpečení). </w:t>
      </w:r>
    </w:p>
    <w:p w14:paraId="541DAE4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Podle § 23b odst. 4 zákona o pojistném na sociální zabezpečení a příspěvku na státní politiku zaměstnanosti se za průměrnou mzdu pro účely tohoto zákona považuje částka, která se vypočte jako součin všeobecného vyměřovacího základu za kalendářní rok, který o 2 roky předchází kalendářnímu roku, pro který se průměrná mzda zjišťuje, a přepočítacího koeficientu pro úpravu tohoto všeobecného vyměřovacího základu; vypočtená částka se zaokrouhluje na celé koruny nahoru.</w:t>
      </w:r>
    </w:p>
    <w:p w14:paraId="11B2B0A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upravit konstrukci sazby daně tak, aby druhé pásmo sazby daně dopadalo na příjmy přesahující 36násobek průměrné mzdy, tj. aby sazba daně z příjmů fyzických osob nově činila 15% pro část základu daně do 36násobku průměrné mzdy a 23 % pro část základu daně přesahující 36násobek průměrné mzdy. Účelem této změny je zvýšit míru solidarity a participace poplatníků daně z příjmů fyzických osob s vyššími příjmy na konsolidaci veřejných financí.</w:t>
      </w:r>
    </w:p>
    <w:p w14:paraId="0F30DE7A"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19 odst. 1 písm. zd))</w:t>
      </w:r>
    </w:p>
    <w:p w14:paraId="60D3AAF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obdobně jako v případě daně z příjmů fyzických osob zrušit osvobození příjmu v podobě ocenění v oblasti kultury podle jiných právních předpisů, které představuje nesystémovou daňovou výjimku. Uvedené příjmy tak budou zdaňovány v obecném základu daně. </w:t>
      </w:r>
    </w:p>
    <w:p w14:paraId="3351910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Namísto úplného vypuštění tohoto ustanovení se navrhuje obsah tohoto ustanovení nahradit obsahem ustanovení § 19 odst. 1 písm. zm) zákona o daních z příjmů, aby nedošlo ke změně označení všech následujících pododstavců.</w:t>
      </w:r>
    </w:p>
    <w:p w14:paraId="5B34A8B5"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19 odst. 1 písm. zg))</w:t>
      </w:r>
    </w:p>
    <w:p w14:paraId="0E38FD5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Příjem poplatníka daně z příjmů právnických osob v podobě náhrady za odnětí vlastnického práva podle zákona o vyvlastnění, je v současné době osvobozeným příjmem podle § 19 odst. 1 písm. zg) zákona o daních z příjmů. </w:t>
      </w:r>
    </w:p>
    <w:p w14:paraId="3B5B1D4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Náhrada za odnětí vlastnického práva je vyvlastňovanému přiznána jakožto náhrada újmy, která mu vyvlastněním byla způsobena a podle § 10 odst. 3 zákona o vyvlastnění se náhrada stanoví takovým způsobem a v takové výši, aby odpovídala újmě, která se u vyvlastňovaného projeví v důsledku vyvlastnění. Vyvlastnění je však přípustné jen tehdy, předcházelo-li mu jednání vyvlastňovaného s vyvlastnitelem směřující k uzavření smlouvy o získání práv k pozemku nebo ke stavbě potřebných pro uskutečnění účelu vyvlastnění stanoveného zákonem, tj. například k uzavření kupní smlouvy. V případě, že bude taková smlouva uzavřena a dojde k prodeji pozemku nebo stavby namísto jeho vyvlastnění, bude příjem vyvlastňovaného z prodeje předmětného pozemku nebo stavby předmětem daně z příjmů, zatímco v případě, že by došlo k jeho vyvlastnění a poskytnutí náhrady za vyvlastnění, tato náhrada by podle dosavadního znění § 19 odst. 1 písm. zg) zákona o daních z příjmů byla od daně osvobozena. Tento stav zakládá rozdílné zacházení s poplatníky nacházejícími se v obdobné situaci, přičemž z daňového hlediska bude příznivější situace pro poplatníka, kterému byl pozemek nebo stavba odňat v rámci vyvlastnění, než pro poplatníka, který uzavřel s vyvlastnitelem kupní smlouvu. Osvobození náhrady za odnětí vlastnického práva tak představuje nesystémovou daňovou výjimku a, stejně jako v případě fyzických osob, se navrhuje její zrušení.</w:t>
      </w:r>
    </w:p>
    <w:p w14:paraId="317E717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případech kdy nedojde k vyvlastnění odnětím vlastnického práva, ale pouze k jeho omezení zřízením věcného břemene k pozemku nebo stavbě, bude tato náhrada i nadále osvobozena od daně z příjmů podle tohoto ustanovení. Stejně se toto ustanovení uplatní i na příjem v podobě náhrady za vyvlastnění odnětím nebo omezením práva odpovídajícího věcnému břemenu ve smyslu § 10 odst. 1 písm. b) zákona o vyvlastnění. Osvobození příjmu plynoucího jako náhrada </w:t>
      </w:r>
      <w:r w:rsidRPr="003730B5">
        <w:rPr>
          <w:rFonts w:ascii="Times New Roman" w:hAnsi="Times New Roman"/>
          <w:color w:val="auto"/>
          <w:sz w:val="24"/>
        </w:rPr>
        <w:lastRenderedPageBreak/>
        <w:t>za služebnost vzniklou ze zákona nebo rozhodnutím orgánu státní správy podle jiných právních předpisů přitom není dotčeno.</w:t>
      </w:r>
    </w:p>
    <w:p w14:paraId="5AD32803"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19 odst. 1 písm. zm))</w:t>
      </w:r>
    </w:p>
    <w:p w14:paraId="71B2CFC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Namísto úplného vypuštění § 19 odst. 1 písm. zd) zákona o daních z příjmů se navrhuje obsah tohoto ustanovení nahradit obsahem ustanovení § 19 odst. 1 písm. zm) zákona o daních z příjmů, aby nedošlo ke změně označení všech následujících pododstavců, čímž by došlo ke snížení přehlednosti nejen tohoto ustanovení a změn řady odkazů na jiná ustanovení.</w:t>
      </w:r>
    </w:p>
    <w:p w14:paraId="73D9290E"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21 odst. 1 věta první)</w:t>
      </w:r>
    </w:p>
    <w:p w14:paraId="6D08E75C" w14:textId="3F96E650"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zvýšení sazby daně z příjmů právnických osob o 2 % na 21 %, neboť současná sazba daně ve výši 19 % patří ve srovnání se sazbami daně z příjmů právnických osob v jiných členských státech Evropské unii mezi nižší a zvýšením na 21 % tak dojde k přiblížení k průměru v rámci členských států E</w:t>
      </w:r>
      <w:r w:rsidR="009655EE" w:rsidRPr="003730B5">
        <w:rPr>
          <w:rFonts w:ascii="Times New Roman" w:hAnsi="Times New Roman"/>
          <w:color w:val="auto"/>
          <w:sz w:val="24"/>
        </w:rPr>
        <w:t>vropské unie</w:t>
      </w:r>
      <w:r w:rsidRPr="003730B5">
        <w:rPr>
          <w:rFonts w:ascii="Times New Roman" w:hAnsi="Times New Roman"/>
          <w:color w:val="auto"/>
          <w:sz w:val="24"/>
        </w:rPr>
        <w:t>. Současně je navrhována úprava rozpočtového určení daní v rámci příslušného zákona, podle které by toto navýšení sazby daně mělo směřovat ve prospěch státního rozpočtu.</w:t>
      </w:r>
    </w:p>
    <w:p w14:paraId="09A09635" w14:textId="18235E49"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w:t>
      </w:r>
      <w:r w:rsidR="00F725B0" w:rsidRPr="003730B5">
        <w:rPr>
          <w:rFonts w:ascii="Times New Roman" w:hAnsi="Times New Roman"/>
          <w:color w:val="auto"/>
          <w:sz w:val="24"/>
          <w:szCs w:val="24"/>
        </w:rPr>
        <w:t xml:space="preserve">§ </w:t>
      </w:r>
      <w:r w:rsidRPr="003730B5">
        <w:rPr>
          <w:rFonts w:ascii="Times New Roman" w:hAnsi="Times New Roman"/>
          <w:color w:val="auto"/>
          <w:sz w:val="24"/>
          <w:szCs w:val="24"/>
        </w:rPr>
        <w:t>23 odst. 6 písm. a) bod 1)</w:t>
      </w:r>
    </w:p>
    <w:p w14:paraId="70AF246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úprava reaguje na nově vkládaný § 30e zákona o daních z příjmů, který u vozidel kategorie M1 omezuje zvyšování vstupní ceny o technické zhodnocení, pokud by byl přesažen stanovený limit 2 000 000 Kč. Může tedy nastat případ, že vlastník bude chtít zvýšit vstupní cenu takového vozidla o hodnotu technického zhodnocení provedeného nájemcem, ale nebude to moci učinit kvůli omezení v § 30e. Nezvýšení vstupní ceny z tohoto důvodu však nemá spadat pod bod 1, tedy příjmem nemá být pouze zůstatková cena, kterou by majetek měl při rovnoměrném odpisování, ale má se postupovat podle bodu 3, tedy jako by vlastník vstupní cenu o technické zhodnocení zvýšil a nepeněžní příjem vznikne ve výši výdajů vynaložených nájemcem.</w:t>
      </w:r>
    </w:p>
    <w:p w14:paraId="0A136EC4" w14:textId="008F430B"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w:t>
      </w:r>
      <w:r w:rsidR="00F725B0" w:rsidRPr="003730B5">
        <w:rPr>
          <w:rFonts w:ascii="Times New Roman" w:hAnsi="Times New Roman"/>
          <w:color w:val="auto"/>
          <w:sz w:val="24"/>
          <w:szCs w:val="24"/>
        </w:rPr>
        <w:t xml:space="preserve">§ </w:t>
      </w:r>
      <w:r w:rsidRPr="003730B5">
        <w:rPr>
          <w:rFonts w:ascii="Times New Roman" w:hAnsi="Times New Roman"/>
          <w:color w:val="auto"/>
          <w:sz w:val="24"/>
          <w:szCs w:val="24"/>
        </w:rPr>
        <w:t>23 odst. 6 písm. a) bod 3)</w:t>
      </w:r>
    </w:p>
    <w:p w14:paraId="268CFA4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úprava doplňuje změnu navrhovanou v bodě 1 a stanoví, že pokud ke zvýšení vstupní ceny u vlastníka o technické zhodnocení provedené nájemcem nedošlo pouze z důvodu, že tomu brání úprava v novém § 30e, vzniká vlastníkovi ve zdaňovacím období, ve kterém bylo technické zhodnocení uvedeno do užívání, příjem ve výši výdajů vynaložených nájemcem.</w:t>
      </w:r>
    </w:p>
    <w:p w14:paraId="096AE5B8" w14:textId="1B0E50E6"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xml:space="preserve">(§ 24 odst. </w:t>
      </w:r>
      <w:r w:rsidR="00F725B0" w:rsidRPr="003730B5">
        <w:rPr>
          <w:rFonts w:ascii="Times New Roman" w:hAnsi="Times New Roman"/>
          <w:color w:val="auto"/>
          <w:sz w:val="24"/>
          <w:szCs w:val="24"/>
        </w:rPr>
        <w:t>2</w:t>
      </w:r>
      <w:r w:rsidRPr="003730B5">
        <w:rPr>
          <w:rFonts w:ascii="Times New Roman" w:hAnsi="Times New Roman"/>
          <w:color w:val="auto"/>
          <w:sz w:val="24"/>
          <w:szCs w:val="24"/>
        </w:rPr>
        <w:t> písm. j) bod 4)</w:t>
      </w:r>
    </w:p>
    <w:p w14:paraId="64FB687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návaznosti na změny navržené v ustanovení § 6 odst. 9 písm. b) zákona o daních z příjmů, na základě nichž se podmínky upravené v tomto ustanovení pro daňovou uznatelnost výdaje na příspěvky na stravování na straně zaměstnavatele stávají podmínkami pro osvobození tohoto příspěvku na stravování na straně zaměstnance, se ustanovení § 24 odst. 1 písm. j) bod 4 zákona o daních z příjmů navrhuje vypustit. Na straně zaměstnavatele bude daňová uznatelnost výdajů na příspěvky na stravování nově posuzována podle § 24 odst. 2 písm. j) bodu 5 zákona o daních z příjmů, ve znění před účinností tohoto zákona, tj. daňově uznatelnými budou veškeré výdaje vynaložené na naplnění práv zaměstnanců týkajících se jejich pracovních a sociálních podmínek (tedy i stravování), která vyplývají z kolektivní smlouvy, vnitřního předpisu zaměstnavatele nebo smlouvy uzavřené se zaměstnancem. </w:t>
      </w:r>
    </w:p>
    <w:p w14:paraId="1BE4301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Poznámky pod čarou č. 23b a 110a se navrhují zrušit pro nadbytečnost.</w:t>
      </w:r>
    </w:p>
    <w:p w14:paraId="1C14DFE8"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24 odst. 2 písm. zo))</w:t>
      </w:r>
    </w:p>
    <w:p w14:paraId="67DE980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Zrušení ustanovení se navrhuje v návaznosti na zrušení § 15 odst. 8 zákona o daních z příjmů, podle kterého je nezdanitelnou částí základu daně úhrada za zkoušky ověřující výsledky dalšího vzdělávání podle zákona o ověřování a uznávání výsledků dalšího vzdělávání. V případě </w:t>
      </w:r>
      <w:r w:rsidRPr="003730B5">
        <w:rPr>
          <w:rFonts w:ascii="Times New Roman" w:hAnsi="Times New Roman"/>
          <w:color w:val="auto"/>
          <w:sz w:val="24"/>
        </w:rPr>
        <w:lastRenderedPageBreak/>
        <w:t>poplatníka s příjmy ze samostatné činnosti jsou podle § 24 odst. 2 písm. zo) zákona o daních z příjmů úhrady za zkoušky ověřující výsledky dalšího vzdělávání podle zákona o ověřování a uznávání výsledků dalšího vzdělávání daňově uznatelným výdajem do stejné výše, jako odpočet podle § 15 odst. 8 zákona o daních z příjmů. Zrušení tohoto ustanovení však nebude mít za následek ztrátu možnosti poplatníka s příjmy ze samostatné činnosti uplatnit úhrady za zkoušky ověřující výsledky dalšího vzdělávání jako daňově uznatelný výdaj, tyto výdaje pouze budou posuzovány obecným testem podle § 24 odst. 1 zákona o daních z příjmů, tj. musí se jednat o výdaje vynaložené na dosažení, zajištění a udržení zdanitelných příjmů. Zároveň pro daňovou uznatelnost těchto výdajů nebude rozhodné, zda se jedná o úhrady za zkoušky ve smyslu zákona o ověřování a uznávání výsledků dalšího vzdělávání.</w:t>
      </w:r>
    </w:p>
    <w:p w14:paraId="617C239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Namísto úplného vypuštění tohoto ustanovení se navrhuje obsah tohoto ustanovení nahradit obsahem ustanovení § 24 odst. 1 písm. zz) zákona o daních z příjmů, aby nedošlo ke změně označení všech následujících pododstavců, čímž by došlo ke snížení přehlednosti nejen tohoto ustanovení a změn řady odkazů na jiná ustanovení.</w:t>
      </w:r>
    </w:p>
    <w:p w14:paraId="726DE47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rámci rušeného ustanovení § 35bb odst. 6 zákona o daních z příjmů v souvislosti s navrhovaným zrušením slevy za umístění dítěte v předškolním zařízení byla zrušena také definice předškolního zařízení, kterou nadále vyžaduje ustanovení § 24 odst. 2 písm. zs) zákona o daních z příjmů. Aby nebylo nutné zvlášť v novém odstavci předškolní zařízení definovat, bylo přistoupeno k obdobnému řešení jako u dosavadního § 6 odst. 9 písm. d) bodu 2 zákona o daních z příjmů. Z věcného hlediska, pokud budou výdaje uznatelné na straně zaměstnavatele, zaměstnanec bude danit příjmy v důsledku zrušení osvobození podle dosavadního § 6 odst. 9 písm. d) zákona o daních z příjmů.</w:t>
      </w:r>
    </w:p>
    <w:p w14:paraId="7CE1B0AB" w14:textId="26D090D5"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24 odst. 2 písm. zs))</w:t>
      </w:r>
    </w:p>
    <w:p w14:paraId="2A50F347" w14:textId="736A8DDB" w:rsidR="00D8203B" w:rsidRPr="003730B5" w:rsidRDefault="00D8203B" w:rsidP="00A24C00">
      <w:pPr>
        <w:pStyle w:val="Dvodovzprva"/>
        <w:rPr>
          <w:rFonts w:ascii="Times New Roman" w:hAnsi="Times New Roman"/>
          <w:color w:val="auto"/>
          <w:sz w:val="24"/>
        </w:rPr>
      </w:pPr>
      <w:r w:rsidRPr="003730B5">
        <w:rPr>
          <w:rFonts w:ascii="Times New Roman" w:hAnsi="Times New Roman"/>
          <w:color w:val="auto"/>
          <w:sz w:val="24"/>
        </w:rPr>
        <w:t>V rámci rušeného ustanovení § 35bb odst. 6 zákona o daních z příjmů v souvislosti s navrhovaným zrušením slevy za umístění dítěte v předškolním zařízení byla zrušena také definice předškolního zařízení, kterou nadále vyžaduje ustanovení § 24 odst. 2 písm. zs) zákona o daních z příjmů. Aby nebylo nutné zvlášť v novém odstavci předškolní zařízení definovat, bylo přistoupeno k obdobnému řešení jako u dosavadního § 6 odst. 9 písm. d) bodu 2 zákona o daních z příjmů. Z věcného hlediska, pokud budou výdaje uznatelné na straně zaměstnavatele, zaměstnanec bude danit příjmy v důsledku zrušení osvobození podle dosavadního § 6 odst. 9 písm. d) zákona o daních z příjmů.</w:t>
      </w:r>
    </w:p>
    <w:p w14:paraId="7943866E"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24 odst. 2 písm. zz))</w:t>
      </w:r>
    </w:p>
    <w:p w14:paraId="2E8922F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Namísto úplného vypuštění § 24 odst. 2 písm. zo) zákona o daních z příjmů se navrhuje obsah tohoto ustanovení nahradit obsahem ustanovení § 24 odst. 1 písm. zz) zákona o daních z příjmů, aby nedošlo ke změně označení všech následujících pododstavců, čímž by došlo ke snížení přehlednosti nejen tohoto ustanovení a změn řady odkazů na jiná ustanovení. </w:t>
      </w:r>
    </w:p>
    <w:p w14:paraId="5E0F6B6B"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25 odst. 1 písm. h))</w:t>
      </w:r>
    </w:p>
    <w:p w14:paraId="1098D43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zrušení osvobození nepeněžního plnění poskytovaného zaměstnavatelem zaměstnancům z fondu kulturních a sociálních potřeb, ze sociálního fondu nebo ze zisku (příjmu) po jeho zdanění a u zaměstnavatelů, kteří nevytvořili zisk, na vrub výdajů (nákladů), které nejsou výdaji (náklady) na dosažení, zajištění a udržení příjmů, ve formě vymezené v jednotlivých bodech ustanovení § 6 odst. 9 písm. d) zákona o daních z příjmů, se rovněž navrhuje vypustit ustanovení § 25 odst. 1 písm. h) zákona o daních z příjmů, podle kterého byly výdaje zaměstnavatele na tato nepeněžitá plnění daňově neuznatelnými výdaji. Uznatelnost těchto výdajů na straně zaměstnavatele bude nově posuzována podle § 24 odst. 2 písm. j) bodu 4 (dosavadní § 24 odst. 2 písm. j) bod 5) zákona o daních z příjmů.</w:t>
      </w:r>
    </w:p>
    <w:p w14:paraId="521234D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Namísto úplného vypuštění tohoto ustanovení se navrhuje obsah tohoto ustanovení nahradit obsahem ustanovení § 25 odst. 1 písm. zo) zákona o daních z příjmů, aby nedošlo ke změně označení všech následujících odstavců, čímž by došlo ke snížení přehlednosti nejen tohoto ustanovení.</w:t>
      </w:r>
    </w:p>
    <w:p w14:paraId="1F822DC5"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25 odst. 1 písm. k))</w:t>
      </w:r>
    </w:p>
    <w:p w14:paraId="6022963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návaznosti na zrušení osvobození ustanovení § 6 odst. 9 písm. d) zákona o daních z příjmů, se rovněž navrhuje vypustit ustanovení § 25 odst. 1 písm. k) zákona o daních z příjmů, které upravuje daňovou uznatelnost výdajů vynaložených v souvislosti se zařízením pro uspokojování potřeb zaměstnanců nebo jiných osob. </w:t>
      </w:r>
    </w:p>
    <w:p w14:paraId="29EA7A6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 základě ustanovení § 6 odst. 9 písm. d) zákona o daních z příjmů, jehož zrušení se navrhuje, byl doposud osvobozen také příjem zaměstnance poskytnutý zaměstnavatelem ve formě použití vzdělávacího nebo rekreačního zařízení. V návaznosti na toto daňové zvýhodnění právě ustanovení § 25 odst. 1 písm. k) zákona o daních z příjmů stanovilo, že daňově uznatelnými výdaji souvisejícími se zařízením pro uspokojování potřeb zaměstnanců jsou pouze výdaje do výše příjmů souvisejících s tímto zařízením. Výdaje vynaložené v souvislosti s provozem takového zařízení tak nyní nelze uplatnit v plné výši a v rozsahu v němž převyšují příjmy související s tímto zařízením, jsou daňově neuznatelnými výdaji. Za zařízení k uspokojování potřeb zaměstnanců nebo jiných osob lze přitom považovat např. rekreační zařízení, sportovní zařízení, kulturní zařízení, atd. Výjimku z tohoto pravidla představují výdaje podle § 24 odst. 2 písm. j) bodu 3 zákona o daních z příjmů (tj. např. výdaje na provoz vlastních vzdělávacích zařízení) a výdaje podle § 24 odst. 2 písm. zs) zákona o daních z příjmů, tedy např. výdaje na provoz vlastního předškolního zařízení. Tyto výdaje lze jako daňově uznatelné uplatnit v celé jejich výši.</w:t>
      </w:r>
    </w:p>
    <w:p w14:paraId="2367806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Vzhledem ke zrušení osvobození příjmu v podobě užívání takového zařízení na straně zaměstnance se tedy navrhuje vypustit předmětné ustanovení § 25 odst. 1 písm. k) zákona o daních z příjmů upravující uznatelnost výdajů na provoz takového zařízení na straně zaměstnavatele. Nadále již nebude nutné uznatelnost těchto výdajů nijak omezovat z důvodu, že nízká cena pro zaměstnance za poskytnuté služby v těchto zařízeních sloužících k uspokojování jejich potřeb, která by potenciálně generovala ztrátu z této činnosti (kterou by pro účely daní z příjmů bylo nutné upravit jako daňově neuznatelný výdaj), bude podléhat dani z příjmů jako příjem zaměstnance.</w:t>
      </w:r>
    </w:p>
    <w:p w14:paraId="54B5392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Uznatelnost těchto výdajů na straně zaměstnavatele bude nově posuzována podle § 24 odst. 2 písm. j) bodu 4 (dosavadní § 24 odst. 2 písm. j) bod 5) zákona o daních z příjmů.</w:t>
      </w:r>
    </w:p>
    <w:p w14:paraId="475F135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Namísto úplného vypuštění tohoto ustanovení se navrhuje obsah tohoto ustanovení nahradit obsahem ustanovení § 25 odst. 1 písm. zn) zákona o daních z příjmů, aby nedošlo ke změně označení všech následujících odstavců, čímž by došlo ke snížení přehlednosti nejen tohoto ustanovení.</w:t>
      </w:r>
    </w:p>
    <w:p w14:paraId="2575DFF3"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25 odst. 1 písm. t))</w:t>
      </w:r>
    </w:p>
    <w:p w14:paraId="361D43F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v ustanovení § 25 odst. 1 písm. t) zákona o daních z příjmů, podle kterého jsou z daňově uznatelných výdajů vyloučeny výdaje na reprezentaci, kterými jsou zejména výdaje na pohoštění, občerstvení a dar, přičemž za dar se nepovažuje reklamní nebo propagační předmět, který je opatřen jménem nebo ochrannou známkou poskytovatele tohoto předmětu nebo názvem propagovaného zboží nebo služby, jehož hodnota bez daně z přidané hodnoty nepřesahuje 500 Kč a který není předmětem spotřební daně, vyloučit výjimku pro tiché víno. </w:t>
      </w:r>
    </w:p>
    <w:p w14:paraId="1BC5610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Jedná se o nesystémovou výjimku z obecného režimu výdajů na reprezentaci, resp. o výjimku z výjimky, kdy se obecně za dar nepovažují taková plnění, která nejsou předmětem spotřební </w:t>
      </w:r>
      <w:r w:rsidRPr="003730B5">
        <w:rPr>
          <w:rFonts w:ascii="Times New Roman" w:hAnsi="Times New Roman"/>
          <w:color w:val="auto"/>
          <w:sz w:val="24"/>
        </w:rPr>
        <w:lastRenderedPageBreak/>
        <w:t>daně (s hodnotou bez DPH do 500 Kč). Tiché víno obecně předmětem spotřební daně je, avšak doposud ho za zákonem stanovených podmínek bylo možné do daňových výdajů jako dar na reprezentaci zahrnout na rozdíl od dalších plnění, která předmětem spotřební daně jsou (např. pivo, lihoviny apod.).</w:t>
      </w:r>
    </w:p>
    <w:p w14:paraId="7E272A04"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25 odst. 1 písm. zn a zo))</w:t>
      </w:r>
    </w:p>
    <w:p w14:paraId="3F83E6A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Namísto úplného vypuštění § 25 odst. 1 písm. h) zákona o daních z příjmů se navrhuje obsah tohoto ustanovení nahradit obsahem ustanovení § 25 odst. 1 písm. zo) zákona o daních z příjmů, aby nedošlo ke změně označení všech následujících pododstavců, čímž by došlo ke snížení přehlednosti nejen tohoto ustanovení a změn řady odkazů na jiná ustanovení. Z téhož důvodu se rovněž v případě § 25 odst. 1 písm. k) zákona o daních z příjmů namísto jeho úplného vypuštění navrhuje jeho obsah nahradit obsahem ustanovení § 25 odst. 1 písm. zn) zákona o daních z příjmů.</w:t>
      </w:r>
    </w:p>
    <w:p w14:paraId="42351AD8"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 29 odst. 5 věta první)</w:t>
      </w:r>
    </w:p>
    <w:p w14:paraId="0A53997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změna v souvislosti se zavedením nového § 30e zákona o daních z příjmů, který pro vozidla kategorie M1 zavádí omezení výše vstupní ceny. Je tedy třeba, aby se i při určení vstupní ceny spoluvlastnického podílu na takovém vozidlu vycházelo z toho, že celková vstupní cena takového vozidla (tedy souhrn vstupních cen všech spoluvlastnických podílů) podléhá uvedenému omezení. Protože dosavadní znění dané věty odkazovalo na vstupní cenu podle § 29 odst. 1, je třeba větu přeformulovat tak, aby odkazovala obecně na vstupní cenu, tedy včetně použití § 30e. Dále se znění daného ustanovení upřesňuje v tom smyslu, že spoluvlastník vlastní spoluvlastnický podíl, nikoli dané společné vozidlo, a proto se jedná o vstupní cenu spoluvlastnického podílu na vozidle.</w:t>
      </w:r>
    </w:p>
    <w:p w14:paraId="4432A778"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30a odst. 1)</w:t>
      </w:r>
    </w:p>
    <w:p w14:paraId="664F8680" w14:textId="7C88E06F"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Vzhledem k tomu, že ustanovení § 30a odst. 1 a 2 v dosavadním znění se vztahují pouze na majetek pořízený do 31. </w:t>
      </w:r>
      <w:r w:rsidR="006348FF" w:rsidRPr="003730B5">
        <w:rPr>
          <w:rFonts w:ascii="Times New Roman" w:hAnsi="Times New Roman"/>
          <w:color w:val="auto"/>
          <w:sz w:val="24"/>
        </w:rPr>
        <w:t>12.</w:t>
      </w:r>
      <w:r w:rsidRPr="003730B5">
        <w:rPr>
          <w:rFonts w:ascii="Times New Roman" w:hAnsi="Times New Roman"/>
          <w:color w:val="auto"/>
          <w:sz w:val="24"/>
        </w:rPr>
        <w:t xml:space="preserve"> 2023, ruší se tato ustanovení vzhledem k tomuto majetku k tomuto dni a skutečnost, že se na daný majetek a na technické zhodnocení na něm provedené použijí i nadále, stanoví pouze přechodné ustanovení, viz čl. </w:t>
      </w:r>
      <w:r w:rsidR="00152E20" w:rsidRPr="003730B5">
        <w:rPr>
          <w:rFonts w:ascii="Times New Roman" w:hAnsi="Times New Roman"/>
          <w:color w:val="auto"/>
          <w:sz w:val="24"/>
        </w:rPr>
        <w:t>XV</w:t>
      </w:r>
      <w:r w:rsidRPr="003730B5">
        <w:rPr>
          <w:rFonts w:ascii="Times New Roman" w:hAnsi="Times New Roman"/>
          <w:color w:val="auto"/>
          <w:sz w:val="24"/>
        </w:rPr>
        <w:t xml:space="preserve"> bod 7.</w:t>
      </w:r>
    </w:p>
    <w:p w14:paraId="13E7C986"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30a odst. 1 věta první)</w:t>
      </w:r>
    </w:p>
    <w:p w14:paraId="3E2AD82C" w14:textId="504D00D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rámci podpory elektromobility a podpoření zájmu poplatníků se navrhuje prodloužení účinnosti možnosti uplatňovat mimořádné daňové odpisy dlouhodobého majetku, a to pouze pro motorová silniční vozidla používající jako palivo výlučně elektrickou energii. Mimořádné odpisy budou moci být uplatněny i na taková vozidla pořízena mezi 1. </w:t>
      </w:r>
      <w:r w:rsidR="00BF7A36" w:rsidRPr="003730B5">
        <w:rPr>
          <w:rFonts w:ascii="Times New Roman" w:hAnsi="Times New Roman"/>
          <w:color w:val="auto"/>
          <w:sz w:val="24"/>
        </w:rPr>
        <w:t xml:space="preserve">1. </w:t>
      </w:r>
      <w:r w:rsidRPr="003730B5">
        <w:rPr>
          <w:rFonts w:ascii="Times New Roman" w:hAnsi="Times New Roman"/>
          <w:color w:val="auto"/>
          <w:sz w:val="24"/>
        </w:rPr>
        <w:t xml:space="preserve">2024 a 31. </w:t>
      </w:r>
      <w:r w:rsidR="006348FF" w:rsidRPr="003730B5">
        <w:rPr>
          <w:rFonts w:ascii="Times New Roman" w:hAnsi="Times New Roman"/>
          <w:color w:val="auto"/>
          <w:sz w:val="24"/>
        </w:rPr>
        <w:t xml:space="preserve">12. </w:t>
      </w:r>
      <w:r w:rsidRPr="003730B5">
        <w:rPr>
          <w:rFonts w:ascii="Times New Roman" w:hAnsi="Times New Roman"/>
          <w:color w:val="auto"/>
          <w:sz w:val="24"/>
        </w:rPr>
        <w:t>2028. Toto vozidlo může poplatník odepsat bez přerušení za 24 měsíců, přičemž za prvních 12 měsíců uplatní odpisy rovnoměrně do výše 60 % vstupní ceny a za dalších 12 měsíců rovnoměrně do výše 40 % vstupní ceny. Odpisy se tedy stanoví s přesností na měsíce, nikoli na roky. Dané ustanovení však představuje pouze možnost, kterou poplatník může využít, pokud tak neučiní, postupuje i u uvedeného majetku podle obecné právní úpravy odpisování.</w:t>
      </w:r>
    </w:p>
    <w:p w14:paraId="0CB3D63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Mimořádné odpisy se projevují i v případě finančního leasingu, kdy pro daňové účely pro tento majetek platí i kratší minimální doba finančního leasingu, kdy v daném období tak je možné uzavřít leasingovou smlouvu s dobou trvání pouze 2 roky.</w:t>
      </w:r>
    </w:p>
    <w:p w14:paraId="6A2CF735" w14:textId="76615472"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Spojení „vozidlo pořízené“ je převzato z dosavadního znění § 30a zákona o daních z příjmů a je dlouhodobě (KDP 284/16.09.09) vykládáno jako okamžik, kdy i) je odpisovatelem nabyt hmotný majek (nabytí majetku ve stavu způsobilém k obvyklému užívání, tj. majetek splňující podmínky ustanovení § 26 odst. 10 zákona o daních z příjmů), ii) kdy je již nabytý majetek (věc) uveden do stavu způsobilého užívání a stane se hmotným majetkem podle § 26 zákona o daních z příjmů způsobilým k odpisování.</w:t>
      </w:r>
    </w:p>
    <w:p w14:paraId="0EF18F94" w14:textId="57C2969F" w:rsidR="00141831" w:rsidRPr="003730B5" w:rsidRDefault="00141831"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Záměrem navrhovaného ustanovení je v současné ekonomicky obtížné době dočasně podpořit zájem poplatníků o pořízení ekologicky vhodnějšího vozidla, a to tím, že bude umožněno rychlejší uplatnění jeho pořizovací ceny v daňově uznatelných nákladech a v důsledku toho i dočasné snížení základu daně.</w:t>
      </w:r>
    </w:p>
    <w:p w14:paraId="5A148B30"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30a odst. 2 věta první)</w:t>
      </w:r>
    </w:p>
    <w:p w14:paraId="612C8F9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legislativně technická úprava související se zrušením odstavce 1 a přečíslováním následujících odstavců.</w:t>
      </w:r>
    </w:p>
    <w:p w14:paraId="058DAE49"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30a odst. 3)</w:t>
      </w:r>
    </w:p>
    <w:p w14:paraId="2763E7D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Odstavec 3 (doposud odstavec 4) je nadbytečný vzhledem k tomu, že § 30a se nyní vztahuje na omezený okruh majetku, do kterého nespadá majetek odpisovaný podle § 30 odst. 4 a 5.</w:t>
      </w:r>
    </w:p>
    <w:p w14:paraId="3EC2A562"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30a odst. 3 věta první)</w:t>
      </w:r>
    </w:p>
    <w:p w14:paraId="4C4F7ED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legislativně technická úprava související se zrušením odstavce 1 a přečíslováním následujících odstavců.</w:t>
      </w:r>
    </w:p>
    <w:p w14:paraId="20C2AB18"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30e)</w:t>
      </w:r>
    </w:p>
    <w:p w14:paraId="672A842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u vozidel kategorie M1, která jsou používána pro podnikání, zavést limit vstupní ceny a současně limit výše nájemného při pořízení takového vozidla formou finančního leasingu, a to v částce 2 000 000 Kč. Výjimka je v odstavci 9 stanovena pro sanitní a pohřební automobily, vozidla využívaná k provozování silniční motorové dopravy na základě koncese a vozidla poplatníků, kteří je poskytují jako předmět finančního leasingu. Vychází se z právní úpravy provedené zákonem č. 438/2003 Sb., kdy se vstupní cena stropovala částkou 900 000 Kč (následně byla zákonem č. 669/2004 Sb. zvýšena na 1 500 000 Kč). Cílem omezení vstupní ceny vybraných vozidel je snížení dopadu na veřejné rozpočty, neboť na vrub daňových nákladů jsou uplatňovány vysoké částky, což však ve svém důsledku znamená, že na komfort vlastníků nebo uživatelů těchto vozidel přispívají de facto všichni poplatníci.</w:t>
      </w:r>
    </w:p>
    <w:p w14:paraId="651C63C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Vozidla kategorie M1 jsou vymezena v příloze 2 vyhlášky č. 341/2014 Sb., o schvalování technické způsobilosti a o technických podmínkách provozu vozidel na pozemních komunikacích, ve znění pozdějších předpisů, a to jako vozidla kategorie M (tj. motorová vozidla konstruovaná a vyrobená především pro dopravu osob a jejich zavazadel), s nejvýše osmi místy k sezení kromě místa k sezení řidiče. Vozidla náležející do kategorie M1 nesmí mít prostor pro stojící cestující. Počet míst k sezení může být omezen na jedno (tj. místo k sezení řidiče).</w:t>
      </w:r>
    </w:p>
    <w:p w14:paraId="0D2C5EB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Odstavec 1 stanoví základní pravidlo, podle kterého je vstupní cena vozidel kategorie M1 nejvýše 2 000 000 Kč. To znamená, že tato vozidla se odpisují z částky nejvýše 2 000 000 Kč (viz stanovení odpisů v § 31 a 32 zákona o daních z příjmů), a pokud byla pořízena za vyšší cenu, částka nad 2 000 000 Kč nemůže být uplatněna jako daňový výdaj prostřednictvím odpisů. Stejný limit je stanoven i pro zvýšenou vstupní cenu a změněnou vstupní cenu. Zvýšená vstupní cena vzniká u majetku odpisovaného rovnoměrně v případě, že je na něm provedeno technické zhodnocení (viz § 29 odst. 3 zákona o daních z příjmů) a její limitace na 2 000 000 Kč tedy znamená, že pokud bude na vozidle kategorie M1, jehož vstupní cena je nižší než 2 000 000 Kč, provedeno technické zhodnocení, zvýší vstupní cenu nejvýše na 2 000 000 Kč, jeho část, která by v součtu se vstupní cenou převyšovala 2 000 000 Kč, tedy vstupní cenu nezvyšuje a nemůže být uplatněna jako výdaj prostřednictvím odpisů. Pokud je vstupní cena daného vozidla 2 000 000 Kč, znamená uvedené pravidlo, že se na základě technického zhodnocení nezvyšuje vůbec a dané technické zhodnocení se ve výdajích prostřednictvím odpisů neprojeví. Změněná vstupní cena vzniká podle § 29 odst. 7 zákona o daních z příjmů při zvýšení nebo snížení vstupní ceny již odpisovaného majetku z jiného důvodu než provedení </w:t>
      </w:r>
      <w:r w:rsidRPr="003730B5">
        <w:rPr>
          <w:rFonts w:ascii="Times New Roman" w:hAnsi="Times New Roman"/>
          <w:color w:val="auto"/>
          <w:sz w:val="24"/>
        </w:rPr>
        <w:lastRenderedPageBreak/>
        <w:t xml:space="preserve">technického zhodnocení, pokud by byla podle obecné právní úpravy vyšší než 2 000 000 Kč, použije se také omezení podle § 30e odst. 1 zákona o daních z příjmů. </w:t>
      </w:r>
    </w:p>
    <w:p w14:paraId="7A3AB71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Odstavec 2 řeší situace provedení technického zhodnocení na vozidlu kategorie M1, které je odpisováno zrychleně. Případy, kdy je takové vozidlo odpisováno rovnoměrně, jsou vyřešeny v odstavci 1 prostřednictvím limitace zvýšené vstupní ceny. V případě zrychleného odpisování však není zvyšována vstupní cena, ale zůstatková cena, viz § 29 odst. 3 zákona o daních z příjmů. Zůstatková cena je vstupní cena snížená o odpisy, viz § 29 odst. 2 zákona o daních z příjmů, tedy limitace 2 000 000 Kč nemůže být stanovena pro zvýšenou zůstatkovou cenu, ale pro vstupní cenu a technické zhodnocení. To je vyjádřeno tak, že zůstatková cena se zvyšuje pouze o takovou část technického zhodnocení, aby úhrn vstupní ceny vozidla, případného dřívějšího technického zhodnocení, které již zvýšilo zůstatkovou cenu, a této části tohoto technického zhodnocení nepřesáhl 2 000 000 Kč. Jinými slovy součet všech částek, které jsou daňově uznatelnými výdaji vstupujícími do ceny daného vozidla, nesmí přesáhnout 2 000 000 Kč. Vstupní cenou se přitom rozumí vstupní cena po aplikaci odst. 1, tedy omezená na 2 000 000 Kč (pokud je vstupní cena 2 000 000 Kč, nezvyšuje technické zhodnocení zůstatkovou cenu vůbec). </w:t>
      </w:r>
    </w:p>
    <w:p w14:paraId="398F166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Odstavec 3 se vztahuje na vozidla kategorie M1, u kterých se uplatňují mimořádné odpisy podle § 30a zákona o daních z příjmů. I na jejich vstupní cenu se vztahuje limit uvedený v odstavci 1. Vzhledem k tomu, že podle § 30a odst. 3 zákona o daních z příjmů je technické zhodnocení majetku, ke kterému jsou uplatňovány mimořádné odpisy, odpisováno jako hmotný majetek – jiný majetek), je třeba i pro něj zavést takové pravidlo, aby se v souvislosti s daným vozidlem uplatnila do výdajů prostřednictvím odpisů nejvýše částka 2 000 000 Kč. Věta první proto stanoví, že vstupní cena takového technického zhodnocení, jeho zvýšená vstupní cena (tedy vstupní cena technického zhodnocení, které je odpisováno rovnoměrně, zvýšená o další technické zhodnocení provedené na daném vozidle) a změněná vstupní cena činí nejvýše rozdíl mezi částkou 2 000 000 Kč a vstupní cenou nebo změněnou vstupní cenou daného vozidla (vozidlo odpisované podle § 30a nemůže mít zvýšenou vstupní cenu, protože jeho vstupní cena se nezvyšuje o technické zhodnocení, ale může mít změněnou vstupní cenu podle § 29 odst. 7 zákona o daních z příjmů). Tím je dosaženo toho, že jako výdaje prostřednictvím odpisů se v souvislosti s daným vozidlem bude moci uplatnit nejvýše částka 2 000 000 Kč.</w:t>
      </w:r>
    </w:p>
    <w:p w14:paraId="415AF22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Věta druhá se týká situace, kdy je technické zhodnocení provedené na uvedeném vozidle odpisováno zrychleně a poté je provedeno další technické zhodnocení. V takovém případě další technické zhodnocení nezvyšuje vstupní cenu prvního technického zhodnocení, ale jeho zůstatkovou cenu, limitace 2 000 000 Kč proto musí být vyjádřena odlišně od věty první. Další technické zhodnocení může zvýšit zůstatkovou cenu prvního technického zhodnocení jen o tolik, aby součet vstupní ceny nebo změněné vstupní ceny vozidla, vstupní ceny nebo změněné vstupní ceny prvního technického zhodnocení (určené podle věty první) a dalšího technického zhodnocení nepřevýšil 2 000 000 Kč. Zároveň se může stát, že na daném vozidle je provedeno ještě další (třetí) technické zhodnocení, potom se do limitu 2 000 000 Kč musí vejít jak vstupní cena nebo změněná vstupní cena vozidla a vstupní cena prvního technického zhodnocení, tak předchozí (druhé) technické zhodnocení, které zvýšilo zůstatkovou cenu.</w:t>
      </w:r>
    </w:p>
    <w:p w14:paraId="5908139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Odstavec 4 se týká případů, kdy je vozidlo kategorie M1 pořizováno na finanční leasing. V takovém případě je podle § 24 odst. 4 zákona o daních z příjmů daňově uznatelným výdajem úplata u finančního leasingu (tedy splátky v průběhu přenechání majetku k užití). Odstavec 4 proto stanoví, že tyto úplaty jsou daňově uznatelným výdajem pouze do úhrnné výše 2 000 000 Kč a v každém zdaňovacím období, kdy jsou placeny, do poměrné výše vypočítané podle poměru částky 2 000 000 Kč a počtu zdaňovacích období, po která má finanční leasing trvat.</w:t>
      </w:r>
    </w:p>
    <w:p w14:paraId="25E355E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Pokud je předmět finančního leasingu po uplynutí sjednané doby užívání na poplatníka převeden za kupní cenu, je tato kupní cena jeho vstupní cenou. Protože však v souvislosti s daným majetkem již byly daňově uznatelným výdajem úplaty placené v průběhu užívání, je v odstavci 5 limitována tato vstupní cena nikoli částkou 2 000 000 Kč jako v případech ostatních způsobů nabytí, ale výší rozdílu mezi 2 000 000 Kč a úhrnem úplat u finančního leasingu, které byly výdajem na dosažení, zajištění a udržení příjmů. Tím je zajištěno, že celkově nebude jako výdaj uplatněno více než 2 000 000 Kč. Pokud už samy úplaty dosáhly výše 2 000 000 Kč, bude vstupní cena daného vozidla nulová, tedy nijak se neprojeví v daňově uznatelných výdajích.</w:t>
      </w:r>
    </w:p>
    <w:p w14:paraId="1D63498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Odstavec 6 se týká situace, kdy je technické zhodnocení provedeno na zrychleně odpisovaném vozidle kategorie M1, které bylo pořízeno na finanční leasing. Vzhledem k tomu, že výdajem na dosažení, zajištění a udržení zdanitelných příjmů jsou i úplaty u finančního leasingu, musí se i ty započítat do dvoumilionového limitu; jinak jde o pravidlo obdobné odstavci 2, který upravuje situace provedení technického zhodnocení na zrychleně odpisovaném vozidle, které bylo pořízeno jinak než na finanční leasing.</w:t>
      </w:r>
    </w:p>
    <w:p w14:paraId="0509566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případě pořízení vozidla na finanční leasing může poplatníkovi v průběhu jeho užívání před jeho převodem vzniknout tzv. jiný majetek, a to podle § 26 odst. 3 písm. a) nebo c) zákona o daních z příjmů, podle toho, zda jde o technické zhodnocení provedené na užívaném vozidle, nebo o výdaje jím hrazené, které podle právních předpisů upravujících nebo podle daňové evidence tvoří součást ocenění daného vozidla. Tento jiný majetek tedy také souvisí s daným vozidlem, ale má vlastní vstupní cenu. Tato vstupní cena se tedy také musí limitovat tak, aby v souvislosti s daným vozidlem nebylo do daňově uznatelných výdajů uplatněno více než 2 000 000 Kč, a vzhledem k tomu, že je placena i úplata u finančního leasingu, vstupní cena, zvýšená vstupní cena i změněná vstupní cena tohoto jiného majetku je limitována rozdílem mezi částkou 2 000 000 Kč a úhrnem úplat u finančního leasingu, které jsou (tedy byly v minulosti, nebo ještě budou v budoucnu po dobu užívání vozidla) výdajem na dosažení, zajištění a udržení zdanitelných příjmů. Druhá věta odstavce 7 upravuje situaci, kdy je majetek podle věty první odpisován zrychleně a na vozidle je provedeno (další) technické zhodnocení. (V případě jiného majetku podle § 26 odst. 3 písm. a) a c) zákona o daních z příjmů není technické zhodnocení prováděno na daném jiném majetku, ale jeho vstupní nebo zvýšená vstupní cena se zvyšuje o technické zhodnocení provedené na původním majetku, v tomto případě na vozidle, viz § 29 odst. 3 zákona o daních z příjmů věta druhá část za středníkem). Jedná se o analogii k odstavci 2, kdy musí být limitována výše, o kterou technické zhodnocení zvyšuje zůstatkovou cenu jiného majetku. Ke zvýšení může tedy dojít jen do té míry, aby součet vstupní ceny majetku, úhrnu úplat u finančního leasingu, které jsou výdajem na dosažení, zajištění a udržení zdanitelných příjmů, případného dřívějšího technického zhodnocení, které zvýšilo zůstatkovou cenu, a daného technického zhodnocení nepřevýšil 2 000 000 Kč.</w:t>
      </w:r>
    </w:p>
    <w:p w14:paraId="52447F6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Věty třetí a čtvrtá upravují situace při nabytí vozidla kategorie M1 jako předmětu finančního leasingu v případě, kdy již existoval jiný majetek upravený v předchozích větách. V takovém případě totiž vozidlo nepředstavuje samostatný majetek, ale jeho kupní cena zvýší vstupní nebo zůstatkovou cenu uvedeného jiného majetku. Opět se jedná o to, aby celkové daňově uznatelné výdaje spojené s daným vozidlem představované odpisy nepřevýšily 2 000 000 Kč, a proto se stanoví, že kupní cena vozidla zvyšuje vstupní cenu jiného majetku jen o tu část, která v úhrnu se vstupní cenou, zvýšenou vstupní cenou nebo změněnou vstupní cenou daného majetku a úplatami u finančního leasingu, které byly daňovým výdajem, nepřesáhne 2 000 000 Kč. Věta čtvrtá upravuje toto pro případ, kdy je daný jiný majetek odpisován zrychleně, jde tedy opět o to, že je zvyšována jeho zůstatková cena. Vztah této věty a věty třetí je analogický jako vztah druhé a první věty.</w:t>
      </w:r>
    </w:p>
    <w:p w14:paraId="28D7EE3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Odstavec 8 se týká specifické situace, kdy se vstupní cena na základě § 29 odst. 6 zákona </w:t>
      </w:r>
      <w:r w:rsidRPr="003730B5">
        <w:rPr>
          <w:rFonts w:ascii="Times New Roman" w:hAnsi="Times New Roman"/>
          <w:color w:val="auto"/>
          <w:sz w:val="24"/>
        </w:rPr>
        <w:lastRenderedPageBreak/>
        <w:t>o daních z příjmů zvyšuje u pronajímatele o částku nepeněžního příjmu stanoveného podle § 23 odst. 6 písm. a) bodu 1 nebo 2 zákona o daních z příjmů, je-li nájemcem provedeno technické zhodnocení na pronajatém majetku. Pokud technické zhodnocení neodpisoval nájemce ani o něj pronajímatel nezvýšil vstupní cenu majetku, vzniká pronajímateli ve zdaňovacím období, kdy došlo k ukončení nájmu, nepeněžní příjem (podle § 23 odst. 6 písm. a) bodu 1) zákona o daních z příjmů, který zvyšuje vstupní cenu jeho majetku, na kterém bylo technické zhodnocení provedeno, podle § 29 odst. 6 zákona o daních z příjmů závěrečné části ustanovení. Pokud technické zhodnocení odpisoval nájemce, vzniká při ukončení nájmu nebo zrušení souhlasu s odpisování ze strany pronajímatele pronajímateli nepeněžní příjem (podle § 23 odst. 6 písm. a) bodu 2) zákona o daních z příjmů, který zvyšuje vstupní cenu jeho majetku, na kterém bylo technické zhodnocení provedeno, podle § 29 odst. 6 písm. a) zákona o daních z příjmů. Protože je § 29 odst. 6 zákona o daních z příjmů formulován tak, že se vstupní cena zvyšuje o částku nepeněžního příjmu, a nikoli o technické zhodnocení, musí být v § 30e zákona o daních z příjmů výslovně uvedeno, že pro účely výpočtů v § 30e odst. 1 až 7 se za technické zhodnocení považuje i tento nepeněžní příjem, aby byla také limitována částka, o kterou může zvýšit vstupní cenu.</w:t>
      </w:r>
    </w:p>
    <w:p w14:paraId="7EDB0B2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Odstavec 9 stanoví, že omezení pro vstupní a zůstatkovou cenu uvedená v předchozích odstavcích se nepoužijí pro jiné účely, než je stanovení odpisů a odpisování majetku (tedy uplatňování odpisů jako daňových výdajů). To znamená, že jen pro účely výpočtu odpisů a jejich uplatňování jako daňových výdajů se vychází z cen upravených podle předchozích odstavců, protože limitace vstupní, zvýšené vstupní, změněné vstupní a zvýšené zůstatkové ceny podle předchozích odstavců se má vztahovat pouze na dobu, kdy poplatník vozidlo drží a odpisuje. Pro účely jiného daňového zacházení s vozidly kategorie M1 se však vstupní cena i zůstatková cena vypočítají podle obecných pravidel. Ustanoveními, pro která se odstavce 1 až 8 nepoužijí, jsou zejména</w:t>
      </w:r>
    </w:p>
    <w:p w14:paraId="34488A9A" w14:textId="77777777" w:rsidR="00133AC8" w:rsidRPr="003730B5" w:rsidRDefault="00133AC8" w:rsidP="00133AC8">
      <w:pPr>
        <w:pStyle w:val="Dvodovzprva"/>
        <w:numPr>
          <w:ilvl w:val="0"/>
          <w:numId w:val="91"/>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 xml:space="preserve">§ 10 odst. 5 zákona o daních z příjmů, podle kterého je zůstatková cena výdajem na dosažení příjmu z úplatného převodu automobilu, který byl zahrnuta v obchodním majetku poplatníka, v tomto případě se uplatní zůstatková cena v takové výši, jaká by byla, kdyby bylo odpisováno ze vstupní ceny bez limitace uvedené v předchozích odstavcích, </w:t>
      </w:r>
    </w:p>
    <w:p w14:paraId="5DF9F3E9" w14:textId="77777777" w:rsidR="00133AC8" w:rsidRPr="003730B5" w:rsidRDefault="00133AC8" w:rsidP="00133AC8">
      <w:pPr>
        <w:pStyle w:val="Dvodovzprva"/>
        <w:numPr>
          <w:ilvl w:val="0"/>
          <w:numId w:val="91"/>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 20 odst. 8 zákona o daních z příjmů, podle kterého se zůstatková cena použije pro potřeby určení hodnoty vozidla, které je poskytováno jako položka snižující základ daně,</w:t>
      </w:r>
    </w:p>
    <w:p w14:paraId="590F13CD" w14:textId="77777777" w:rsidR="00133AC8" w:rsidRPr="003730B5" w:rsidRDefault="00133AC8" w:rsidP="00133AC8">
      <w:pPr>
        <w:pStyle w:val="Dvodovzprva"/>
        <w:numPr>
          <w:ilvl w:val="0"/>
          <w:numId w:val="91"/>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 23 odst. 3 písm. c) bod 7 zákona o daních z příjmů, podle kterého je o zůstatkovou cenu snižován základ daně při odvolání daru,</w:t>
      </w:r>
    </w:p>
    <w:p w14:paraId="3277775D" w14:textId="77777777" w:rsidR="00133AC8" w:rsidRPr="003730B5" w:rsidRDefault="00133AC8" w:rsidP="00133AC8">
      <w:pPr>
        <w:pStyle w:val="Dvodovzprva"/>
        <w:numPr>
          <w:ilvl w:val="0"/>
          <w:numId w:val="90"/>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23 odst. 6 písm. a) zákona o daních z příjmů, podle kterého vzniká nepeněžní příjem ve výši zůstatkové ceny,</w:t>
      </w:r>
    </w:p>
    <w:p w14:paraId="2C2B0719" w14:textId="77777777" w:rsidR="00133AC8" w:rsidRPr="003730B5" w:rsidRDefault="00133AC8" w:rsidP="00133AC8">
      <w:pPr>
        <w:pStyle w:val="Dvodovzprva"/>
        <w:numPr>
          <w:ilvl w:val="0"/>
          <w:numId w:val="90"/>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 24 odst. 2 písm. b) a c) zákona o daních z příjmů, podle kterých lze zůstatkovou cenu uplatnit jako daňový výdaj při vyřazení vozidla; v tomto případě se uplatní zůstatková cena v takové výši, jaká by byla, kdyby bylo odpisováno ze vstupní ceny bez limitace uvedené v předchozích odstavcích,</w:t>
      </w:r>
    </w:p>
    <w:p w14:paraId="09BC1B88" w14:textId="77777777" w:rsidR="00133AC8" w:rsidRPr="003730B5" w:rsidRDefault="00133AC8" w:rsidP="00133AC8">
      <w:pPr>
        <w:pStyle w:val="Dvodovzprva"/>
        <w:numPr>
          <w:ilvl w:val="0"/>
          <w:numId w:val="90"/>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 24 odst. 2 písm. t) bod 2 zákona o daních z příjmů, který upravuje, kdy je výdajem vstupní cena u veřejně prospěných poplatníků,</w:t>
      </w:r>
    </w:p>
    <w:p w14:paraId="1078F4E5" w14:textId="77777777" w:rsidR="00133AC8" w:rsidRPr="003730B5" w:rsidRDefault="00133AC8" w:rsidP="00133AC8">
      <w:pPr>
        <w:pStyle w:val="Dvodovzprva"/>
        <w:numPr>
          <w:ilvl w:val="0"/>
          <w:numId w:val="90"/>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 24 odst. 5 písm. a) zákona o daních z příjmů, které zůstatkovou cenou limituje cenu za nabytí předmětu nájmu</w:t>
      </w:r>
    </w:p>
    <w:p w14:paraId="0B57A96C" w14:textId="77777777" w:rsidR="00133AC8" w:rsidRPr="003730B5" w:rsidRDefault="00133AC8" w:rsidP="00133AC8">
      <w:pPr>
        <w:pStyle w:val="Dvodovzprva"/>
        <w:numPr>
          <w:ilvl w:val="0"/>
          <w:numId w:val="90"/>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lastRenderedPageBreak/>
        <w:t>§ 24 odst. 7 písm. b) zákona o daních z příjmů, podle kterého se zůstatková cena použije pro určení hodnoty nepeněžitého vkladu člena obchodní korporace,</w:t>
      </w:r>
    </w:p>
    <w:p w14:paraId="3D0B3880" w14:textId="77777777" w:rsidR="00133AC8" w:rsidRPr="003730B5" w:rsidRDefault="00133AC8" w:rsidP="00133AC8">
      <w:pPr>
        <w:pStyle w:val="Dvodovzprva"/>
        <w:numPr>
          <w:ilvl w:val="0"/>
          <w:numId w:val="90"/>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 24 odst. 12 písm. a) a e) zákona o daních z příjmů, která upravují daňové výdaje v případě prodeje vozidel jako součásti obchodního závodu,</w:t>
      </w:r>
    </w:p>
    <w:p w14:paraId="72835D0A" w14:textId="77777777" w:rsidR="00133AC8" w:rsidRPr="003730B5" w:rsidRDefault="00133AC8" w:rsidP="00133AC8">
      <w:pPr>
        <w:pStyle w:val="Dvodovzprva"/>
        <w:numPr>
          <w:ilvl w:val="0"/>
          <w:numId w:val="90"/>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 30 odst. 10 písm. g) zákona o daních z příjmů, které limituje odpisy při pokračování v odpisování v závislosti na vstupní ceně</w:t>
      </w:r>
    </w:p>
    <w:p w14:paraId="349540F8" w14:textId="77777777" w:rsidR="00133AC8" w:rsidRPr="003730B5" w:rsidRDefault="00133AC8" w:rsidP="00133AC8">
      <w:pPr>
        <w:pStyle w:val="Dvodovzprva"/>
        <w:numPr>
          <w:ilvl w:val="0"/>
          <w:numId w:val="90"/>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 34g odst. 1 zákona o daních z příjmů, podle kterého je odpočet na podporu pořízení majetku na odborné vzdělávání počítán na základě vstupní ceny.</w:t>
      </w:r>
    </w:p>
    <w:p w14:paraId="5CEA392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Odstavec 10 stanoví, na která vozidla se předcházející odstavce nepoužijí, přestože jde o vozidla kategorie M1. První výjimka je stanovena pro sanitní a pohřební automobily. Sanitní a pohřební automobily patří mezi vozidla zvláštního určení, která mohou být podkategorií kategorie M, viz příloha 2 vyhlášky č. 341/2014 Sb., o schvalování technické způsobilosti a o technických podmínkách provozu vozidel na pozemních komunikacích, ve znění pozdějších předpisů, a jsou definovány v příloze 1 část A bodě 5.4 nařízení Evropského parlamentu a Rady (EU) 2018/858, které nahradilo směrnici Evropského parlamentu a Rady 2007/46/ES, na kterou odkazuje příloha 2 vyhlášky č. 341/2014 Sb., o schvalování technické způsobilosti a o technických podmínkách provozu vozidel na pozemních komunikacích, ve znění pozdějších předpisů. Druhá výjimka je stanovena pro vozidla využívaná na základě koncese k provozování živnosti silniční motorová doprava. Poslední výjimka se týká poskytovatele, který vozidlo kategorie M1 poskytuje na finanční leasing. Záměrem této výjimky je nelimitovat poskytovatele finančního leasingu, limitace daňově uznatelných nákladů je navržena u uživatele a není nutné, aby omezení nákladů postihlo oba účastníky leasingové smlouvy. Dále platí, že poskytovatel finančního leasingu může automobily poskytovat i běžným osobám, které auto kupují pro svou osobní potřebu, a  tuto situaci není záměr omezovat. Naopak u poskytovatelů operativního leasingu, kdy smluvní vztah zpravidla představuje standardní nájem, bude omezení daňově uznatelných nákladů probíhat na straně pronajímatele, na straně nájemce již žádná limitace nebude. V takovém případě se na straně poskytovatelů operativního leasingu neuplatní § 23 odst. 4 písm. e), protože navržená úprava podle § 30e  neupravuje daňovou neuznatelnost výdaje, ale specifické určení výše ocenění daného majetku.</w:t>
      </w:r>
    </w:p>
    <w:p w14:paraId="209F0C1F"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35ba odst. 1 písm. b))</w:t>
      </w:r>
    </w:p>
    <w:p w14:paraId="10A0C64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 důvodu přehlednosti legislativního textu bylo přistoupeno k vymezení podmínek pro uplatnění slevy na manžela a k úpravě jejích dalších podobností v samostatném § 35bb zákona o daních z příjmů, viz odůvodnění k tomu.</w:t>
      </w:r>
    </w:p>
    <w:p w14:paraId="02E32A13"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35ba odst. 1 písm. f) a g))</w:t>
      </w:r>
    </w:p>
    <w:p w14:paraId="5FD1C8AF" w14:textId="77777777" w:rsidR="00133AC8" w:rsidRPr="003730B5" w:rsidRDefault="00133AC8" w:rsidP="00133AC8">
      <w:pPr>
        <w:pStyle w:val="Dvodovzprva"/>
        <w:keepNext/>
        <w:outlineLvl w:val="4"/>
        <w:rPr>
          <w:rFonts w:ascii="Times New Roman" w:hAnsi="Times New Roman"/>
          <w:color w:val="auto"/>
          <w:sz w:val="24"/>
          <w:szCs w:val="24"/>
          <w:u w:val="single"/>
        </w:rPr>
      </w:pPr>
      <w:r w:rsidRPr="003730B5">
        <w:rPr>
          <w:rFonts w:ascii="Times New Roman" w:hAnsi="Times New Roman"/>
          <w:color w:val="auto"/>
          <w:sz w:val="24"/>
          <w:szCs w:val="24"/>
          <w:u w:val="single"/>
        </w:rPr>
        <w:t>K § 35ba odst. 1 písm. f):</w:t>
      </w:r>
    </w:p>
    <w:p w14:paraId="0E0CBAB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zrušit možnost uplatnění slevy na dani na studenta u poplatníka daně z příjmů fyzických osob po dobu, po kterou se soustavně připravuje na budoucí povolání studiem nebo předepsaným výcvikem.</w:t>
      </w:r>
    </w:p>
    <w:p w14:paraId="1964DB5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Sleva na studenta je zakotvena v § 35ba odst. 1 písm. f) zákona o daních z příjmů a v současné době činí 4 020 Kč za zdaňovací období na poplatníka (popř. 1/12 této částky za každý měsíc, na jehož počátku byly podmínky pro uplatnění nároku na snížení daně splněny). </w:t>
      </w:r>
    </w:p>
    <w:p w14:paraId="4D3FB46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Institut slevy na dani představuje výjimečný prostředek k řešení mimořádných situací za účelem kompenzace neočekávaných událostí nebo skutečností, které poplatníka oproti ostatním nějakým způsobem znevýhodňují. Z tohoto pohledu však v oblasti daní z příjmů pro slevu na studenta není dostatečné opodstatnění, neboť studium nelze považovat za mimořádnou událost </w:t>
      </w:r>
      <w:r w:rsidRPr="003730B5">
        <w:rPr>
          <w:rFonts w:ascii="Times New Roman" w:hAnsi="Times New Roman"/>
          <w:color w:val="auto"/>
          <w:sz w:val="24"/>
        </w:rPr>
        <w:lastRenderedPageBreak/>
        <w:t xml:space="preserve">či skutečnost tohoto charakteru. </w:t>
      </w:r>
    </w:p>
    <w:p w14:paraId="1FF7DF4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Hlavním důvodem je poměrně nízký efekt této slevy na dani v případě běžných studentů, kterým by v principu postačovala základní sleva na poplatníka podle § 35ba odst. 1 písm. a) zákona o daních z příjmů, v jejímž důsledku nebude dani z příjmů podléhat příjem až do výše 205 600 Kč ročně, což odpovídá průměrnému měsíčnímu přivýdělku ve výši cca 17 100 Kč. Sleva na studenta tak je ve skutečnosti využitelná pouze pro studenta, který má vyšší příjem, naopak studenti s nižšími příjmy tuto slevu nevyužijí. Zrušení slevy na studenta současně přispěje k omezení stimulu pro nežádoucí jev, kdy poplatníci daně z příjmů fyzických osob vykonávající pravidelnou výdělečnou činnost využívají status studenta pouze formálně (tj. jsou ke studiu zapsáni, ale vzdělávací instituci nenavštěvují a studiu se skutečně nevěnují) pro účely čerpání tohoto daňového zvýhodnění.</w:t>
      </w:r>
    </w:p>
    <w:p w14:paraId="033D922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Daňová politika a sociální systém České republiky podporuje rodiny s vyživovanými dětmi formou široké škály daňových výjimek, zvýhodnění, dávek a dalších příspěvků z veřejných rozpočtů. V rámci daně z příjmů i nadále zůstane zachováno daňového zvýhodnění na vyživované dítě, které činí 15 204 Kč ročně na jedno dítě, 22 320 Kč ročně na druhé dítě a 27 840 Kč ročně na třetí a každé další dítě, přičemž za vyživované dítě se pro tyto účely považuje i zletilé dítě až do dovršení věku 26 let, jestliže se soustavně připravuje na budoucí povolání. Toto daňové zvýhodnění lze využít jak v podobě slevy na dani, tak v podobě daňového bonusu využívaného zejména nízkopříjmovými domácnostmi, případně kombinací obou.</w:t>
      </w:r>
    </w:p>
    <w:p w14:paraId="6C1D3A42" w14:textId="77777777" w:rsidR="00133AC8" w:rsidRPr="003730B5" w:rsidRDefault="00133AC8" w:rsidP="00133AC8">
      <w:pPr>
        <w:pStyle w:val="Dvodovzprva"/>
        <w:outlineLvl w:val="4"/>
        <w:rPr>
          <w:rFonts w:ascii="Times New Roman" w:hAnsi="Times New Roman"/>
          <w:color w:val="auto"/>
          <w:sz w:val="24"/>
          <w:szCs w:val="24"/>
          <w:u w:val="single"/>
        </w:rPr>
      </w:pPr>
      <w:r w:rsidRPr="003730B5">
        <w:rPr>
          <w:rFonts w:ascii="Times New Roman" w:hAnsi="Times New Roman"/>
          <w:color w:val="auto"/>
          <w:sz w:val="24"/>
          <w:szCs w:val="24"/>
          <w:u w:val="single"/>
        </w:rPr>
        <w:t>K § 35ba odst. 1 písm. g):</w:t>
      </w:r>
    </w:p>
    <w:p w14:paraId="3850F07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zrušit možnost uplatnění slevy na dani za umístění dítěte do předškolního zařízení, tzv. školkovné.</w:t>
      </w:r>
    </w:p>
    <w:p w14:paraId="1426B53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Zákon o daních z příjmů umožňuje poplatníkům daně z příjmů fyzických osob uplatnit slevu na dani za umístění dítěte v předškolním zařízení ve smyslu dosavadního § 35bb odst. 6 zákona o daních z příjmů. Sleva za umístění dítěte může být uplatněna maximálně ve výši minimální mzdy za každé vyživované dítě za zdaňovací období. V roce 2023 tedy maximální výše této slevy činí 17 300 Kč za každé vyživované dítě.</w:t>
      </w:r>
    </w:p>
    <w:p w14:paraId="2C02D59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Institut slevy za umístění dítěte byl do zákona o daních z příjmů doplněn zákonem č. 247/2014 Sb., o poskytování služby péče o dítě v dětské skupině a o změně souvisejících zákonů. Sleva na dani z příjmů při úhradě péče o děti měla být pozitivní motivací rodičů k participaci na trhu práce, která v konečném důsledku povede ke zvýšení daně z příjmů fyzických osob, čímž zároveň dojde ke kompenzaci akutního snížení daňového výnosu z důvodu zavedení předmětné slevy. Za téměř desetiletou existenci této slevy je však zřejmé, že původní předpoklady nebyly naplněny. Jak uvádí jako úsudek resp. shrnutí ve své analýze nazvané “Školkovné: drahá sleva nic nevyřešila“, publikované v Mladé frontě DNES dne 16. 6. 2015 ekonom Daniel Münich z akademického pracoviště IDEA při CERGE-EIK: „Jaké mělo školkovné smysl? Pro nízkopříjmové rodiče, kteří díky slevám žádné daně z příjmů neplatí, žádný. Pro ostatní je příjemným příspěvkem do domácího rozpočtu.“. I přesto, že předmětná analýza zde obsažená zahrnuje rozbor situace z roku 2015, lze v souvislosti s růstem výše školkovného, jakož i rodičovského příspěvku, předpokládat pouze nárůst zde předložených problémů. Tomuto závěru odpovídají i výsledky Studie IDEA „Vliv zvýšení rodičovského příspěvku na participaci žen na trhu práce“ z roku 2022, která ve svém „Shrnutí klíčových skutečností“ uvádí následující údaje: „Vyhodnocujeme dopady navýšení rodičovského příspěvku v roce 2020 o 80 tis. Kč (o 36 %) na zapojení matek mladších dětí na trhu práce. Příjmový efekt zvýšení příspěvku se do rozhodování matek o pracovním zapojení promítl a u mnohých z nich došlo k prodloužení doby čerpání rodičovského příspěvku. U matek tříletých dětí došlo k poklesu míry participace na trhu práce ze 70 % na 60 %, tedy o celých 10 procentních bodů (p. b.). U matek dvouletých dětí poklesla míra participace na trhu práce o 6 p. b. na úroveň 20 %. V obou skupinách </w:t>
      </w:r>
      <w:r w:rsidRPr="003730B5">
        <w:rPr>
          <w:rFonts w:ascii="Times New Roman" w:hAnsi="Times New Roman"/>
          <w:color w:val="auto"/>
          <w:sz w:val="24"/>
        </w:rPr>
        <w:lastRenderedPageBreak/>
        <w:t>adekvátně poklesl i počet odpracovaných hodin týdně. Efekty reformy byly různé i dle počtu dětí. K výraznějšímu poklesu pracovního zapojení (o 10 p. b.) došlo u matek, které pobíraly rodičovský příspěvek na své první dítě. Je pravděpodobné, že matky s prvním dítětem plánovaly mít dítě další a peníze navíc využily na překlenutí doby do narození druhého dítěte, tj. aby se nemusely v mezidobí vrátit do práce. Z hlediska dosaženého vzdělání se dopad navýšení rodičovského příspěvku projevil zejména u matek se vzděláním vysokoškolským. Podíl pracujících matek v této skupině poklesl o celou třetinu (o 16,4 p. b.) a jimi odpracovaný počet hodin se snížil o 4,8 hodiny týdně (pokles o 30 %).“ Jak vyplývá z uvedeného, zavedení školkovného nemělo předpokládaný efekt. Vzhledem k tomu, že slevu čerpá jeden z rodičů, slouží tato daňová výhoda k obstarání péče o dítě, aniž by zásadně motivovala druhého rodiče ke vstupu do zaměstnání. Přitom nízkopříjmové rodiny jsou i nadále závislé na systému sociálních dávek.</w:t>
      </w:r>
    </w:p>
    <w:p w14:paraId="03C9278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Vzhledem k tomu, že slevu může uplatnit pouze jeden z rodičů, slouží tato daňová výhoda k obstarání péče o dítě, aniž by zásadně motivovala druhého rodiče ke vstupu do zaměstnání. Z hlediska výše slevy za umístění dítěte v poměru k výši skutečných nákladů vynakládaných za umístění dítěte do předškolního zařízení, které by dle dosavadního § 35bb odst. 1 zákona o daních z příjmů měla kompenzovat, je rovněž patrné, že v současné době často pokrývá jen zlomek takových nákladů, v důsledku čehož je její motivační funkce potlačena. Podstata dané slevy navíc v zásadě vylučuje její uplatnění nízkopříjmovými rodinami, které jsou i nadále závislé na systému státní sociální podpory a u nichž se tak zamýšlený motivační účinek rovněž nemůže projevit.</w:t>
      </w:r>
    </w:p>
    <w:p w14:paraId="56FE0A75" w14:textId="35261AB6"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Zrušení slevy na studenta a slevy za umístění dítěte tak představuje žádoucí redukci nesystémových daňových zvýhodnění, čímž přispívá k naplnění obecných principů jednoduchosti, transparentnosti a neutrality daní z příjmů a zároveň realizuje jeden z cílů Programového prohlášení vlády </w:t>
      </w:r>
      <w:r w:rsidR="00A42930" w:rsidRPr="003730B5">
        <w:rPr>
          <w:rFonts w:ascii="Times New Roman" w:hAnsi="Times New Roman"/>
          <w:color w:val="auto"/>
          <w:sz w:val="24"/>
        </w:rPr>
        <w:t>České republiky</w:t>
      </w:r>
      <w:r w:rsidRPr="003730B5">
        <w:rPr>
          <w:rFonts w:ascii="Times New Roman" w:hAnsi="Times New Roman"/>
          <w:color w:val="auto"/>
          <w:sz w:val="24"/>
        </w:rPr>
        <w:t xml:space="preserve"> pro oblast veřejných financí, tj. cestou rozpočtových úspor směřovat ke stabilitě veřejných financí.  </w:t>
      </w:r>
    </w:p>
    <w:p w14:paraId="6AE40EFB"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35ba odst. 2)</w:t>
      </w:r>
    </w:p>
    <w:p w14:paraId="4A1FA34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legislativně-technická změna v návaznosti na navržené zrušení ustanovení § 35ba odst. 1 písm. g) zákona o daních z příjmů. Vzhledem k návrhu na zrušení slevy za umístění dítěte je nutné odpovídajícím způsobem změnit označení odkazů na ustanovení, která je před jejich zrušením upravovala.</w:t>
      </w:r>
    </w:p>
    <w:p w14:paraId="3AC7AA71"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35ba odst. 3)</w:t>
      </w:r>
    </w:p>
    <w:p w14:paraId="18E28E1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legislativně-technická změna v návaznosti na zrušení ustanovení § 35ba odst. 1 písm. f) zákona o daních z příjmů. Vzhledem ke zrušení slevy na studenta je nutné odpovídajícím způsobem změnit označení odkazů na ustanovení, která je před jejich zrušením upravovala.</w:t>
      </w:r>
    </w:p>
    <w:p w14:paraId="4672B8F0" w14:textId="77777777" w:rsidR="00133AC8" w:rsidRPr="003730B5" w:rsidRDefault="00133AC8" w:rsidP="00133AC8">
      <w:pPr>
        <w:pStyle w:val="Dvodovzprvakbodu"/>
        <w:keepNext w:val="0"/>
        <w:outlineLvl w:val="3"/>
        <w:rPr>
          <w:rFonts w:ascii="Times New Roman" w:hAnsi="Times New Roman"/>
          <w:b w:val="0"/>
          <w:color w:val="auto"/>
          <w:sz w:val="24"/>
          <w:szCs w:val="24"/>
        </w:rPr>
      </w:pPr>
      <w:r w:rsidRPr="003730B5">
        <w:rPr>
          <w:rFonts w:ascii="Times New Roman" w:hAnsi="Times New Roman"/>
          <w:color w:val="auto"/>
          <w:sz w:val="24"/>
          <w:szCs w:val="24"/>
        </w:rPr>
        <w:t>(§ 35bb)</w:t>
      </w:r>
    </w:p>
    <w:p w14:paraId="3A2DB73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 důvodu zrušení slevy za umístění dítěte se navrhuje přistoupit ke zrušení § 35bb zákona o daních z příjmů upravující její maximální výši, podmínky uplatnění a definici předškolního zařízení. </w:t>
      </w:r>
    </w:p>
    <w:p w14:paraId="06D98AC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Ustanovení § 35bb bude nově upravovat slevu na manžela a podmínky pro její uplatnění. Zákon o daních z příjmů umožňuje poplatníkům, kteří jsou fyzickými osobami, uplatnit slevu na dani na manžela, nemá-li manžel vlastní nebo dostatečné příjmy. Odstavec 1 nově upravuje výši této slevy, kterou si poplatník může uplatnit. Základní výše činí 24 840 Kč ročně (popř. 1/12 této částky za každý měsíc, na jehož počátku byly podmínky pro uplatnění nároku na snížení daně splněny). Pokud je manžel držitelem průkazu ZTP/P, lze uplatnit slevu ve dvojnásobné výši. </w:t>
      </w:r>
    </w:p>
    <w:p w14:paraId="62AD9BB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Odstavec 2 upravuje podmínky, za kterých lze slevu na manžela uplatnit. Navrhuje se oproti dosavadnímu stavu upravit podmínky pro uplatnění slevy na dani na druhého z manželů žijícího s poplatníkem ve společně hospodařící domácnosti, pokud nemá vlastní příjem přesahující částku 68 000 Kč, a to tak, že slevu na dani na druhého z manželů bude možné uplatnit za podmínky, že poplatník žije ve společně hospodařící domácnosti nejen s manželem, na kterého je sleva na dani uplatňována, ale zároveň i s vyživovaným dítětem poplatníka do 3 let věku (tj. do okamžiku dovršení věku 3 let). Pro posouzení vyživovaného dítěte poplatníka se vychází z ustanovení § 35c odst. 6 zákona o daních z příjmů. Vyživovaným dítětem pro možnost uplatnění daňové slevy tak bude dítě vlastní, osvojenec, dítě v péči, která nahrazuje péči rodičů, dítě druhého z manželů. Podmínka soužití ve společně hospodařící domácnosti s vyživovaným dítětem do 3 let věku ale bude u vlastního vnuka nebo vnuka druhého z manželů splněna pouze tehdy, pokud jsou takové děti v péči, která nahrazuje péči rodičů (jedná se o výjimku, která je v současné právní úpravě uplatňována u rušeného školkovného podle § 35bb odst. 3 zákona o daních z příjmů), viz navržený odstavec 3.</w:t>
      </w:r>
    </w:p>
    <w:p w14:paraId="393B370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Úprava podmínek pro uplatnění slevy na manžela má podpořit plnohodnotný nástup druhého člena rodiny (manželku nebo manžela) na trh práce. Zavedením podmínky uplatnění této slevy za předpokladu, že ve společně hospodařící domácnosti žije poplatník a manželka (manžel) s vyživovaným dítětem do věku 3 let, se má omezit často účelové využívání předmětné slevy, kdy manželka (manžel) nemá potřebu si hledat dlouhodobé zaměstnání, neboť by poplatník, který je obvykle finančně dobře zajištěn, ztratil nárok na předmětnou daňovou úlevu.</w:t>
      </w:r>
    </w:p>
    <w:p w14:paraId="2FBC1F27" w14:textId="77777777" w:rsidR="00133AC8" w:rsidRPr="003730B5" w:rsidRDefault="00133AC8" w:rsidP="00133AC8">
      <w:pPr>
        <w:pStyle w:val="Dvodovzprva"/>
        <w:widowControl w:val="0"/>
        <w:outlineLvl w:val="9"/>
        <w:rPr>
          <w:rFonts w:ascii="Times New Roman" w:hAnsi="Times New Roman"/>
          <w:color w:val="auto"/>
          <w:sz w:val="24"/>
          <w:u w:val="single"/>
        </w:rPr>
      </w:pPr>
      <w:r w:rsidRPr="003730B5">
        <w:rPr>
          <w:rFonts w:ascii="Times New Roman" w:hAnsi="Times New Roman"/>
          <w:color w:val="auto"/>
          <w:sz w:val="24"/>
          <w:u w:val="single"/>
        </w:rPr>
        <w:t>Příklady:</w:t>
      </w:r>
    </w:p>
    <w:p w14:paraId="5F03F9CD" w14:textId="77777777" w:rsidR="00133AC8" w:rsidRPr="003730B5" w:rsidRDefault="00133AC8" w:rsidP="00133AC8">
      <w:pPr>
        <w:pStyle w:val="Dvodovzprva"/>
        <w:numPr>
          <w:ilvl w:val="0"/>
          <w:numId w:val="92"/>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Vlastní dítě obou manželů, jeden z manželů bez příjmů, všichni žijí ve společně hospodařící domácnosti – slevu lze uplatnit.</w:t>
      </w:r>
    </w:p>
    <w:p w14:paraId="3693171F" w14:textId="77777777" w:rsidR="00133AC8" w:rsidRPr="003730B5" w:rsidRDefault="00133AC8" w:rsidP="00133AC8">
      <w:pPr>
        <w:pStyle w:val="Dvodovzprva"/>
        <w:numPr>
          <w:ilvl w:val="0"/>
          <w:numId w:val="92"/>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Dítě obou manželů – ve společně hospodařící domácnosti žije s každým z nich střídavě jednotlivě, matka samoživitelka (bez nového manžela) bez příjmů, poplatník – otec se znovu neoženil – slevu nelze uplatnit.</w:t>
      </w:r>
    </w:p>
    <w:p w14:paraId="43EADE72" w14:textId="77777777" w:rsidR="00133AC8" w:rsidRPr="003730B5" w:rsidRDefault="00133AC8" w:rsidP="00133AC8">
      <w:pPr>
        <w:pStyle w:val="Dvodovzprva"/>
        <w:numPr>
          <w:ilvl w:val="0"/>
          <w:numId w:val="92"/>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 xml:space="preserve">Otec dítěte se svým vlastním dítětem a novou manželkou bez příjmů, dítě žije (i občas) ve společně hospodařící domácnosti. Z pohledu manželky se jedná o vyvdané dítě manžela – slevu (příp. částečně) lze uplatnit.  </w:t>
      </w:r>
    </w:p>
    <w:p w14:paraId="2464A19E" w14:textId="77777777" w:rsidR="00133AC8" w:rsidRPr="003730B5" w:rsidRDefault="00133AC8" w:rsidP="00133AC8">
      <w:pPr>
        <w:pStyle w:val="Dvodovzprva"/>
        <w:numPr>
          <w:ilvl w:val="0"/>
          <w:numId w:val="92"/>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Manžel s novou manželkou bez příjmů s jejím vlastním dítětem (i občas) ve společně hospodařící domácnosti – slevu (příp. částečně) lze uplatnit.</w:t>
      </w:r>
    </w:p>
    <w:p w14:paraId="4398FAF2" w14:textId="77777777" w:rsidR="00133AC8" w:rsidRPr="003730B5" w:rsidRDefault="00133AC8" w:rsidP="00133AC8">
      <w:pPr>
        <w:pStyle w:val="Dvodovzprva"/>
        <w:numPr>
          <w:ilvl w:val="0"/>
          <w:numId w:val="92"/>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Dědeček s babičkou bez příjmů s vlastním vnukem do 3 let věku žijí ve společně hospodařící domácnosti, vnuk rozhodnutím svěřen do péče nahrazující péči rodičů – slevu lze uplatnit.</w:t>
      </w:r>
    </w:p>
    <w:p w14:paraId="5EDFF9DE" w14:textId="77777777" w:rsidR="00133AC8" w:rsidRPr="003730B5" w:rsidRDefault="00133AC8" w:rsidP="00133AC8">
      <w:pPr>
        <w:pStyle w:val="Dvodovzprva"/>
        <w:numPr>
          <w:ilvl w:val="0"/>
          <w:numId w:val="92"/>
        </w:numPr>
        <w:ind w:left="714" w:hanging="357"/>
        <w:outlineLvl w:val="9"/>
        <w:rPr>
          <w:rFonts w:ascii="Times New Roman" w:hAnsi="Times New Roman"/>
          <w:color w:val="auto"/>
          <w:sz w:val="24"/>
          <w:szCs w:val="24"/>
        </w:rPr>
      </w:pPr>
      <w:r w:rsidRPr="003730B5">
        <w:rPr>
          <w:rFonts w:ascii="Times New Roman" w:hAnsi="Times New Roman"/>
          <w:color w:val="auto"/>
          <w:sz w:val="24"/>
          <w:szCs w:val="24"/>
        </w:rPr>
        <w:t xml:space="preserve">Poplatník – rodič s manželkou bez příjmů a současně prarodič, se studujícím dítětem a s jeho dítětem ve věku do 3 let žije ve společně hospodařící domácnosti – nadále bude platit situace, že tento poplatník nesmí uplatnit slevu na manželku (vnuk nebyl svěřen poplatníkovi do péče nahrazující péči rodičů), ale dále může uplatnit daňové zvýhodnění na dceru a i na vnouče. </w:t>
      </w:r>
    </w:p>
    <w:p w14:paraId="51819F53" w14:textId="11DB9375"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Zavedení nové podmínky pro uplatnění slevy na manžela představuje žádoucí redukci nesystémových daňových zvýhodnění, čímž přispívá k naplnění obecných principů jednoduchosti, transparentnosti a neutrality daní z příjmů a zároveň realizuje jeden z cílů Programového prohlášení vlády </w:t>
      </w:r>
      <w:r w:rsidR="00A42930" w:rsidRPr="003730B5">
        <w:rPr>
          <w:rFonts w:ascii="Times New Roman" w:hAnsi="Times New Roman"/>
          <w:color w:val="auto"/>
          <w:sz w:val="24"/>
        </w:rPr>
        <w:t>České republiky</w:t>
      </w:r>
      <w:r w:rsidRPr="003730B5">
        <w:rPr>
          <w:rFonts w:ascii="Times New Roman" w:hAnsi="Times New Roman"/>
          <w:color w:val="auto"/>
          <w:sz w:val="24"/>
        </w:rPr>
        <w:t xml:space="preserve"> pro oblast veřejných financí, tj. cestou rozpočtových úspor směřovat ke stabilitě veřejných financí.</w:t>
      </w:r>
    </w:p>
    <w:p w14:paraId="74CA1FA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Odstavec 4 v zásadě přebírá dosavadní vymezení vlastního příjmu manžela pro účely uplatnění slevy na manžela.  Nad rámec dosavadního vymezení příjmů, které se nezahrnují do limitu </w:t>
      </w:r>
      <w:r w:rsidRPr="003730B5">
        <w:rPr>
          <w:rFonts w:ascii="Times New Roman" w:hAnsi="Times New Roman"/>
          <w:color w:val="auto"/>
          <w:sz w:val="24"/>
        </w:rPr>
        <w:lastRenderedPageBreak/>
        <w:t>vlastních příjmů manžela, se navrhuje doplnit příjmy, které vznikly jako důsledek porušení podmínek osvobození příjmu nebo uplatnění nezdanitelné části základu daně. Jedná se o příjmy, jejichž osvobození je vázáno na splnění určitých podmínek, které následně nebyly splněny nebo příjmy, které by nepodléhaly dani z příjmů (resp. podléhaly by dani z příjmů v nižší výši), kdyby podmínky pro uplatnění nezdanitelné části základu daně byly splněny. K tomu dochází například v situacích podle § 4b odst. 4 a 5 ve vazbě na § 4 odst. 1 písm. a) a b) zákona na o daních z příjmů, podle § 4a písm. j) zákona o daních z příjmů nebo podle § 15 odst. 4, 5 a 6 zákona o daních z příjmů. Má-li být takový příjem dodatečně zdaněn, je klasifikován jako příjem ke zdanění v zákonem stanoveném zdaňovacím období. Vzhledem k tomu, že tyto příjmy jsou důsledkem dodatečného zdanění dříve poskytnutých daňových výhod, u kterých následně došlo ke ztrátě možnosti jejich využití, tj. nejedná se o vznik nového příjmu, navrhuje se tyto příjmy výslovně zahrnout do výčtu příjmů, které se pro účely slevy na dani na manžela nezahrnují do vlastního příjmu tohoto manžela.</w:t>
      </w:r>
    </w:p>
    <w:p w14:paraId="092CFDBF"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35c odst. 8)</w:t>
      </w:r>
    </w:p>
    <w:p w14:paraId="1E0F452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 ohledem na ustanovení § 30 zákona č. 89/2012 Sb., občanský zákoník, ve znění pozdějších předpisů, podle které lze zletilosti dosáhnout nabytím plné svéprávnosti, tzn. nikoliv sňatkem na základě rozhodnutí soudu, nelze podle stávající právní úpravy v § 35c odst. 8 zákona o daních z příjmů vyloučit, že na nezletilé dítě v případě uzavření sňatku (do nabytí 18 let věku) budou jakožto příslušníci společně hospodařící domácnosti souběžně uplatňovat daňové zvýhodnění nadále rodiče a slevu na dani též i manžel tohoto dítěte. Aby se zabránilo duplicitnímu uplatňování daňových výhod na tutéž vyživovanou osobu, navrhuje se upravit text v § 35c odst. 8 zákona o daních z příjmů vypuštěním odkazu na „písm. b)“. Tím dojde ke zpřesnění, že na dítě, které uzavře manželství před dovršením věku 18 let, bude možné za stanovených podmínek uplatnit buď slevu na manžela (manželku) podle § 35ba odst. 1 písm. b) zákona o daních z příjmů, anebo jen daňové zvýhodnění.  </w:t>
      </w:r>
    </w:p>
    <w:p w14:paraId="4ADCCEE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Vzhledem k věcné změně v oblasti podmínek uplatnění slevy na manžela se navrhuje dále upravit § 35c odst. 8 zákona o daních z příjmů s odkazem na podmínku žití vyživovaného dítěte podle § 35c odst. 6 zákona o daních z příjmů, které uzavřelo manželství, s manželem a rovněž tak s vyživovaným dítětem do věku 3 let ve společně hospodařící domácnosti. Při aplikaci § 35c odst. 8 zákona o daních z příjmů dochází nově ke změně práva na daňovou úlevu z manžela na rodiče vyživovaného dítěte podle § 35c odst. 6 zákona o daních z příjmů, za předpokladu, že toto vyživované dítě žije ve společně hospodařící domácnosti též s vyživovaným dítětem do věku 3 let. Pouze za této situace může manželovi (manželce) vzniknout nárok na slevu na manželku (manžela), který je nevyhnutelným předpokladem pro uplatnění postupu podle § 35c odst. 8 zákona o daních z příjmů.</w:t>
      </w:r>
    </w:p>
    <w:p w14:paraId="13FB00D7"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35d odst. 1 a 2)</w:t>
      </w:r>
    </w:p>
    <w:p w14:paraId="1F5BE81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legislativně-technická změna v návaznosti na navrhované zrušení ustanovení § 35ba odst. 1 písm. f) zákona o daních z příjmů. Vzhledem ke zrušení slevy na studenta je nutné odpovídajícím způsobem změnit označení odkazů</w:t>
      </w:r>
      <w:r w:rsidRPr="003730B5" w:rsidDel="00AA188B">
        <w:rPr>
          <w:rFonts w:ascii="Times New Roman" w:hAnsi="Times New Roman"/>
          <w:color w:val="auto"/>
          <w:sz w:val="24"/>
        </w:rPr>
        <w:t xml:space="preserve"> </w:t>
      </w:r>
      <w:r w:rsidRPr="003730B5">
        <w:rPr>
          <w:rFonts w:ascii="Times New Roman" w:hAnsi="Times New Roman"/>
          <w:color w:val="auto"/>
          <w:sz w:val="24"/>
        </w:rPr>
        <w:t>na ustanovení, která je před jejich zrušením upravovala.</w:t>
      </w:r>
    </w:p>
    <w:p w14:paraId="23E26AE2"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36 odst. 5 úvodní část ustanovení)</w:t>
      </w:r>
    </w:p>
    <w:p w14:paraId="402B150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změnu sazby daně z příjmů právnických osob se navrhuje legislativně-technická změna spočívající v úpravě zvláštní sazby daně v ustanovení § 36 odst. 5 zákona o daních z příjmů, neboť podle tohoto ustanovení příjmy, které z administrativních důvodů u vybraných poplatníků daně z příjmů právnických osob podléhají srážkové dani, podléhají zdanění ve stejné výši, jako u ostatních poplatníků daně z příjmů právnických osob v rámci obecného základu daně.</w:t>
      </w:r>
    </w:p>
    <w:p w14:paraId="4FD183FB"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lastRenderedPageBreak/>
        <w:t>(§ 38d odst. 10)</w:t>
      </w:r>
    </w:p>
    <w:p w14:paraId="33C10C00" w14:textId="4463C171"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Institut plátcovy pokladny je obecně vymezen v ustanovení § 21</w:t>
      </w:r>
      <w:r w:rsidR="00581D37" w:rsidRPr="003730B5">
        <w:rPr>
          <w:rFonts w:ascii="Times New Roman" w:hAnsi="Times New Roman"/>
          <w:color w:val="auto"/>
          <w:sz w:val="24"/>
        </w:rPr>
        <w:t xml:space="preserve"> </w:t>
      </w:r>
      <w:r w:rsidRPr="003730B5">
        <w:rPr>
          <w:rFonts w:ascii="Times New Roman" w:hAnsi="Times New Roman"/>
          <w:color w:val="auto"/>
          <w:sz w:val="24"/>
        </w:rPr>
        <w:t>daňov</w:t>
      </w:r>
      <w:r w:rsidR="00581D37" w:rsidRPr="003730B5">
        <w:rPr>
          <w:rFonts w:ascii="Times New Roman" w:hAnsi="Times New Roman"/>
          <w:color w:val="auto"/>
          <w:sz w:val="24"/>
        </w:rPr>
        <w:t>ého</w:t>
      </w:r>
      <w:r w:rsidRPr="003730B5">
        <w:rPr>
          <w:rFonts w:ascii="Times New Roman" w:hAnsi="Times New Roman"/>
          <w:color w:val="auto"/>
          <w:sz w:val="24"/>
        </w:rPr>
        <w:t xml:space="preserve"> řád</w:t>
      </w:r>
      <w:r w:rsidR="00581D37" w:rsidRPr="003730B5">
        <w:rPr>
          <w:rFonts w:ascii="Times New Roman" w:hAnsi="Times New Roman"/>
          <w:color w:val="auto"/>
          <w:sz w:val="24"/>
        </w:rPr>
        <w:t>u</w:t>
      </w:r>
      <w:r w:rsidRPr="003730B5">
        <w:rPr>
          <w:rFonts w:ascii="Times New Roman" w:hAnsi="Times New Roman"/>
          <w:color w:val="auto"/>
          <w:sz w:val="24"/>
        </w:rPr>
        <w:t xml:space="preserve"> jako organizační jednotka plátce daně, v níž dochází k výkonu povinností podle daňových zákonů a kde jsou</w:t>
      </w:r>
      <w:r w:rsidRPr="003730B5" w:rsidDel="000040E7">
        <w:rPr>
          <w:rFonts w:ascii="Times New Roman" w:hAnsi="Times New Roman"/>
          <w:color w:val="auto"/>
          <w:sz w:val="24"/>
        </w:rPr>
        <w:t xml:space="preserve"> </w:t>
      </w:r>
      <w:r w:rsidRPr="003730B5">
        <w:rPr>
          <w:rFonts w:ascii="Times New Roman" w:hAnsi="Times New Roman"/>
          <w:color w:val="auto"/>
          <w:sz w:val="24"/>
        </w:rPr>
        <w:t xml:space="preserve">pro tyto účely uloženy potřebné doklady. Plátcovou pokladnou je však tato organizační složka plátce daně pouze tehdy, stanoví-li tak zákon. Zákon o daních z příjmů na toto ustanovení navazuje, když v ustanovení § 38d odst. 10 zákona o daních z příjmů prohlašuje organizační složku nebo pobočku banky, spořitelního a úvěrního družstva a pojišťovny pro účely daně vybírané srážkou podle zvláštní sazby daně za plátcovu pokladnu. </w:t>
      </w:r>
    </w:p>
    <w:p w14:paraId="0FF6315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souvislosti s realizací připravovaného projektu Individualizace daně z příjmů fyzických osob ze závislé činnosti, v rámci kterého budou získávána individualizovaná data o příjmech poplatníků daně z příjmů ze závislé činnosti od plátců daně, se institut plátcovy pokladny ze zákona o daních z příjmů navrhuje vypustit tak, aby mohly být ze strany plátce daně řádně plněny povinnosti související se sběrem dat. Centralizací výkonu povinností plátce daně tak dojde ke zvýšení efektivity sběru těchto dat a urychlení realizace projektu Individualizace daně z příjmů fyzických osob ze závislé činnosti postupnou realizací dílčích aspektů tohoto projektu. Zrušení plátcových pokladen přinese možnost podávat pouze jedno vyúčtování za plátce daně, zjednoduší kontrolu plnění daňových povinností, sníží nadbytečnou administrativní zátěž na straně správce daně a rovněž se předpokládá snížení chybovosti v údajích zasílaných plátcem daně správci daně. Souběžně s předložením tohoto návrhu probíhá technická diskuze se zástupci zaměstnavatelů ohledně realizovatelnosti tohoto opatření.</w:t>
      </w:r>
    </w:p>
    <w:p w14:paraId="72CFD28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 výše zmíněných důvodů se ustanovení § 38d odst. 10 zákona o daních z příjmů, včetně poznámky pod čarou č. 39g, navrhuje vypustit. </w:t>
      </w:r>
    </w:p>
    <w:p w14:paraId="29CCBC3F"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38da odst. 1)</w:t>
      </w:r>
    </w:p>
    <w:p w14:paraId="2E5E74B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Povinnost plátce daně oznamovat správci daně příjmy plynoucí daňovému nerezidentovi ze zdrojů na území České republiky, z nichž je daň vybírána srážkou podle zvláštní sazby daně, byla upravena zákonem o daních z příjmů s účinností již od roku 1995. Zákonem č. 80/2019 Sb., kterým se mění některé zákony v oblasti daní a některé další zákony, byla s účinností od 1. 4. 2019 tato oznamovací povinnost plátců daně vůči správci daně rozšířena i na příjmy, z nichž by daň byla vybírána srážkou podle zvláštní daně, kdyby tyto příjmy nebyly od daně osvobozeny nebo se nejednalo o příjmy, které na základě mezinárodní smlouvy o zamezení dvojímu zdanění nepodléhají zdanění v České republice. Plátce daně však nebyl povinen tyto osvobozené příjmy nebo příjmy nepodléhající zdanění v České republice oznámit, pokud souhrnná hodnota příjmu stejného druhu nepřesáhla v kalendářním měsíci, v němž by jinak byla provedena srážka daně, hodnotu 300 000 Kč.</w:t>
      </w:r>
    </w:p>
    <w:p w14:paraId="78B029F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Oznamovací povinnost plátce daně ve vztahu k osvobozeným příjmům a příjmům nepodléhajícím podle mezinárodní smlouvy zdanění v České republice zakládá potřebu administrativně náročné evidence, kdy u některých typů příjmů jsou oznamované informace obtížně zjistitelné. To platí zejména o příjmech ze služeb, které podle mezinárodní smlouvy o zamezení dvojímu zdanění nepodléhají zdanění v České republice, a to i z důvodů obtížné alokace příjmů mezi jednotlivé státy a vypočtení jejich přesné výše (zejména z tohoto důvodu jsou tyto příjmy na základě mezinárodních smluv o zamezení dvojímu zdanění často vyjímány ze zdanění). Míra administrativní zátěže dotčených plátců daně však není přiměřená významu zjištěných informací pro správce daně, neboť skutečnost, že předmětné příjmy nepodléhají zdanění v České republice nebo jsou od daně osvobozeny, v konečném důsledku vyplývá ze smluv o zamezení dvojímu zdanění nebo z právních předpisů evropské unie. Poznatky správce daně o těchto příjmech tak nemohou být relevantní pro úvahy o úpravě jejich daňového režimu. </w:t>
      </w:r>
    </w:p>
    <w:p w14:paraId="19466C8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souladu s Programovým prohlášením vlády České republiky směřujícím k omezení </w:t>
      </w:r>
      <w:r w:rsidRPr="003730B5">
        <w:rPr>
          <w:rFonts w:ascii="Times New Roman" w:hAnsi="Times New Roman"/>
          <w:color w:val="auto"/>
          <w:sz w:val="24"/>
        </w:rPr>
        <w:lastRenderedPageBreak/>
        <w:t>nadbytečné administrativní zátěže a s úkolem z návrhu tzv. Antibyrokratického balíčku II se navrhuje snížit rozsah požadovaných informací od plátců daně pouze na informace o příjmech, které správce daně nezbytně potřebuje. Oznamovací povinnost plátce daně se tak nově bude vztahovat pouze na příjmy plynoucí daňovému nerezidentovi ze zdrojů na území České republiky, z nichž byla daň vybrána srážkou podle zvláštní sazby daně, tj. nebude se vztahovat na příjmy plynoucí daňovému nerezidentovi ze zdrojů na území České republiky, které by podléhaly dani vybírané srážkou podle zvláštní sazby daně, avšak jsou od daně osvobozeny nebo na základě mezinárodní smlouvy o zamezení dvojímu zdanění nepodléhají zdanění v České republice. Současně se navrhuje zrušit limit pro tyto osvobozené příjmy a příjmy nepodléhající zdanění v České republice podle § 38da odst. 6 písm. a) zákona o daních z příjmů. Oznamovací povinnosti tak nově nebudou podléhat žádné osvobozené příjmy a příjmy nepodléhající zdanění v České republice na základě mezinárodní smlouvy, a to bez ohledu na jejich výši.</w:t>
      </w:r>
    </w:p>
    <w:p w14:paraId="3DBF414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Výjimku představuje pouze oznámení příjmů plynoucích daňovému nerezidentovi ze zdrojů na území České republiky podléhajících srážkové dani, pokud se jedná o příjmy z podílu na zisku nebo o příjmy z licenčních poplatků. Tyto příjmy bude plátce daně povinen oznámit správci daně vždy, a to i tehdy, budou-li od daně osvobozeny nebo nebudou-li podléhat zdanění na území České republiky na základě mezinárodní smlouvy zamezující dvojímu zdanění, bez ohledu na jejich výši. Získávání informací o příjmech z licenčních poplatků vyplácených daňovým nerezidentům je pro správce daně nezbytné v souvislosti s řádnou implementací směrnice Rady 2021/514 ze dne 22. března 2021, kterou se mění směrnice 2011/16/EU o správní spolupráci v oblasti daní (tzv. DAC7). Informace o příjmech z podílů na zisku vyplácených daňovým nerezidentům se rovněž navrhuje ponechat v režimu oznamovací povinnosti (a to včetně příjmů od daně osvobozených a těch, které podle mezinárodní smlouvy nepodléhají zdanění v České republice), neboť v rámci přípravy právních předpisů na úrovni Evropské unie týkajících se spolupráce v oblasti daní se očekává rozšíření výměny informací i na tento druh příjmů. Budou-li tyto příjmy z licenčních poplatků a podílů na zisku příjmy osvobozenými, i nadále platí pro jejich oznámení správci daně lhůta stanovená v ustanovení § 38da odst. 2 zákona o daních z příjmů pro oznámení osvobozených příjmů.</w:t>
      </w:r>
    </w:p>
    <w:p w14:paraId="6D3720E5"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38da odst. 3)</w:t>
      </w:r>
    </w:p>
    <w:p w14:paraId="76F5D990" w14:textId="36553AF3"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návaznosti na nález Ústavního soudu ze dne 12. </w:t>
      </w:r>
      <w:r w:rsidR="006348FF" w:rsidRPr="003730B5">
        <w:rPr>
          <w:rFonts w:ascii="Times New Roman" w:hAnsi="Times New Roman"/>
          <w:color w:val="auto"/>
          <w:sz w:val="24"/>
        </w:rPr>
        <w:t>11.</w:t>
      </w:r>
      <w:r w:rsidRPr="003730B5">
        <w:rPr>
          <w:rFonts w:ascii="Times New Roman" w:hAnsi="Times New Roman"/>
          <w:color w:val="auto"/>
          <w:sz w:val="24"/>
        </w:rPr>
        <w:t xml:space="preserve"> 2019 sp. zn. Pl. ÚS 19/17 bylo zákonem č. 283/2020 Sb., kterým se mění zákon č. 280/2009 Sb., daňový řád, ve znění pozdějších předpisů, a další související zákony, změněno ustanovení § 72 daňového řádu. Vzhledem k tomu, že ustanovení § 38da odst. 3 až 5 bylo do zákona o daních z příjmů doplněno zákonem č. 80/2019 Sb., kterým se mění některé zákony v oblasti daní a některé další zákony, tj. před novelizací příslušného ustanovení daňového řádu, navrhuje se změna, jejímž účelem je navazovat na příslušná ustanovení daňového řádu, který je obecným právním předpisem upravujícím daňový proces, a tím eliminovat nadbytečná duplicitní ustanovení v zákoně o daních z příjmů. </w:t>
      </w:r>
    </w:p>
    <w:p w14:paraId="50A86A9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dotčeném odstavci 3 se proto, i s ohledem na poslední vývoj judikatury v oblasti formulářových podání, navrhuje stanovit, že oznámení plátce daně o příjmech plynoucích ze zdrojů na území České republiky daňovému nerezidentovi, z nichž je daň vybírána srážkou, je formulářovým podáním. Jestliže toto oznámení bude formulářovým podáním ve smyslu § 72 daňového řádu, bude jej možné podat pouze způsobem vymezeným ustanovení § 72 odst. 2 a 6 daňového řádu a správce daně bude na základě ustanovení § 72 odst. 4 a 5 daňového řádu zmocněn vydat vyhlášku, kterou stanoví podrobnosti údajů, které má toto oznámení obsahovat. Z tohoto důvodu není nutné, aby ustanovení odstavce 3 upravovalo způsob podání oznámení, neboť taková úprava by byla duplicitní k ustanovení § 72 odst. 3 a 6 daňového řádu.</w:t>
      </w:r>
    </w:p>
    <w:p w14:paraId="680CFCE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V návaznosti na navrženou úpravu odstavce 3, kdy oznámení plátce daně podle § 38da odst. 1 zákona o daních z příjmů bude formulářovým podáním, se předpokládá, že v souladu s § 72 odst. 4 a 5 daňového řádu bude Ministerstvem financí vydána vyhláška podrobně upravující údaje vyžadované pro účely tohoto formulářového podání. Bude tak výslovně stanoveno podzákonným právním předpisem, jaký formát a náležitosti, včetně jejich podrobností a uspořádání (tj. i obsahovou strukturu podání) bude toto oznámení mít. Tomu bude odpovídat i datová struktura elektronického formuláře zveřejněná správcem daně.</w:t>
      </w:r>
    </w:p>
    <w:p w14:paraId="554E83DA" w14:textId="7EC35C42"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38da odst. 4)</w:t>
      </w:r>
    </w:p>
    <w:p w14:paraId="402537E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změny navržené v § 38da odst. 3 zákona o daních z příjmů, kdy oznámení plátce daně o příjmech plynoucích ze zdrojů na území České republiky daňovému nerezidentovi, z nichž je daň vybírána srážkou, bude formulářovým podáním ve smyslu § 72 daňového řádu, se navrhuje odstavec 4 vypustit. Dosavadní úprava obsažená v odstavci 4 týkající se elektronické formy oznámení v návaznosti na datovou schránku zřizovanou ze zákona nebo na povinné ověření účetní závěrky auditorem je totiž duplicitní k § 72 odst. 6 daňového řádu, který se na toto oznámení, jakožto formulářové podání, vztahuje.</w:t>
      </w:r>
    </w:p>
    <w:p w14:paraId="6EDEA6D4"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38da odst. 4)</w:t>
      </w:r>
    </w:p>
    <w:p w14:paraId="6EB3144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návaznosti na změny navrhované v ustanovení § 38da odst. 3 zákona o daních z příjmů, kdy oznámení plátce daně o příjmech plynoucích ze zdrojů na území České republiky daňovému nerezidentovi, z nichž je daň vybírána srážkou, bude formulářovým podáním ve smyslu § 72 daňového řádu, se navrhuje upravit ustanovení odstavce 4 tak, aby nedocházelo k duplicitní úpravě vymezení obsahových náležitostí tohoto oznámení ve vztahu k § 72 odst. 3 daňového řádu. Ustanovení odstavce § 72 odst. 3 daňového řádu vymezuje údaje, které lze ve formulářovém podání (nad rámec obecných náležitostí) požadovat. Mezi tyto náležitosti patří rovněž identifikační údaje osob zúčastněných na správě daní, kterými jsou také poplatník nebo plátce daně jakožto daňové subjekty. Podrobnosti týkající se těchto údajů může stanovit Ministerstvo financí vyhláškou v souladu s § 72 odst. 5 daňového řádu a není proto již nutné, aby ustanovení odstavce 4 upravovalo stejný okruh náležitostí oznámení. </w:t>
      </w:r>
    </w:p>
    <w:p w14:paraId="671D5B4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ustanovení odstavce 4 se navrhuje ponechat pouze požadavek na uvedení údajů týkajících se předmětného příjmu a daně sražené nebo vybrané z tohoto příjmu, neboť tyto nejsou pokryty výčtem údajů obsaženým v § 72 odst. 3 daňového řádu. V návaznosti na tyto zákonem o daních z příjmů stanovené údaje o příjmu a sražené nebo vybrané dani tak bude možné související podrobnosti upravit vyhláškou Ministerstva financí vydanou na základě zmocnění v § 72 odst. 5 písm. b) daňového řádu.</w:t>
      </w:r>
    </w:p>
    <w:p w14:paraId="6C43A641"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38da odst. 5 písm. a))</w:t>
      </w:r>
    </w:p>
    <w:p w14:paraId="7A4E084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souvislosti se změnami navrženými v § 38da odst. 1 zákona o daních z příjmů, v důsledku kterých bude plátce daně povinen správci daně oznamovat pouze příjmy plynoucí ze zdrojů na území České republiky daňovému nerezidentovi, z nichž je daň vybírána srážkou podle zvláštní sazby daně, a nikoliv příjmy od daně osvobozené a příjmy nepodléhající zdanění v České republice na základě mezinárodní smlouvy o zamezení dvojímu zdanění, se navrhuje limit pro výjimku z této oznamovací povinnosti vypustit. Odlišný režim oznamování bude nově platit pouze pro příjmy z podílů na zisku a z licenčních poplatků plynoucí ze zdrojů na území České republiky daňovému nerezidentovi podléhající srážkové dani. V těchto případech je žádoucí, aby tyto příjmy plátce daně oznámil správci daně vždy, bez ohledu na to, zda jsou od daně osvobozeny nebo nepodléhají zdanění na území České republiky a bez ohledu na jejich výši. Informace o veškerých takových příjmech jsou pro správce daně nezbytné s ohledem na směrnici Rady 2021/514 ze dne 22. března 2021, kterou se mění směrnice 2011/16/EU o správní spolupráci v oblasti daní (tzv. DAC7) a na navazující přípravy právních předpisů </w:t>
      </w:r>
      <w:r w:rsidRPr="003730B5">
        <w:rPr>
          <w:rFonts w:ascii="Times New Roman" w:hAnsi="Times New Roman"/>
          <w:color w:val="auto"/>
          <w:sz w:val="24"/>
        </w:rPr>
        <w:lastRenderedPageBreak/>
        <w:t xml:space="preserve">Evropské unie upravujících spolupráci v oblasti daní. Vzhledem k těmto navrženým změnám není úprava limitu v písmenu a) nadále účelná a dotčené ustanovení se proto navrhuje vypustit. </w:t>
      </w:r>
    </w:p>
    <w:p w14:paraId="1EA108AE"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38g odst. 1)</w:t>
      </w:r>
    </w:p>
    <w:p w14:paraId="22D6B03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Podle obecného pravidla v § 38g odst. 1 zákona o daních z příjmů doposud nebyl daňové přiznání povinen podat poplatník daně z příjmů fyzických osob, jehož zdanitelné příjmy (s výjimkou příjmů vybíraných srážkou podle zvláštní sazby daně) nepřesáhly 50 000 Kč ve zdaňovacím období. Vykazuje-li však poplatník daňovou ztrátu, je povinen podat daňové přiznání v každém případě. </w:t>
      </w:r>
    </w:p>
    <w:p w14:paraId="2131E50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změna navazuje na nový obecný limit pro osvobození příjmů v § 10 odst. 3 písm. a) zákona o daních z příjmů, který se však nebude vztahovat na příjmy podle § 10 odst. 1 písm. p) zákona o daních z příjmů, tj. na ostatní příjmy, které vznikly jako důsledek porušení podmínek uplatnění nezdanitelné části základu daně. Příjmy podle § 10 odst. 3 písm. p) zákona o daních z příjmů jsou důsledkem dodatečného zdanění dříve poskytnutých daňových výhod, u kterých následně došlo ke ztrátě možnosti jejich využití, tj. nejedná se o vznik nového příjmu. Vzhledem k charakteru těchto příjmů není žádoucí, aby byly od daně osvobozovány, a to bez ohledu na jejich výši, neboť osvobození těchto příjmů by bylo v rozporu s jejich smyslem. Účelem navrhované úpravy je zajistit, aby poplatník s příjmy vzniklými v důsledku porušení podmínek uplatnění nezdanitelné části základu daně (tj. příjmy podle § 10 odst. 1 písm. p) zákona o daních z příjmů) byl povinen podat daňové přiznání vždy, a to bez ohledu na výši jeho zdanitelných příjmů. V případě těchto příjmů tak bude platit obdobná výjimka, jako v případě daňové ztráty. Absence této úpravy by znamenala, že pokud by zdanitelné příjmy poplatníka nepřesáhly částku 50 000 Kč, nebyl by povinen podat daňové přiznání a příjmy podle § 10 odst. 1 písm. p) zákona o daních z příjmů by dani z příjmů v konečném důsledku nepodléhaly, byť by nebyly osvobozeny. V důsledku navrhované úpravy tak tyto příjmy budou nejen podléhat dani z příjmů, ale daň z příjmu z nich bude muset být poplatníkem také vypočtena a tvrzena.</w:t>
      </w:r>
    </w:p>
    <w:p w14:paraId="122BEAE1"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38g odst. 2)</w:t>
      </w:r>
    </w:p>
    <w:p w14:paraId="39DE691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legislativně-technická změna v návaznosti na navrhované zrušení ustanovení § 35ba odst. 1 písm. g) zákona o daních z příjmů. Vzhledem ke zrušení slevy za umístění dítěte je nutné odpovídajícím způsobem upravit odkazy na jednotlivé slevy podle § 35ba odst. 1 zákona o daních z příjmů. </w:t>
      </w:r>
    </w:p>
    <w:p w14:paraId="24728FC4"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38h odst. 2)</w:t>
      </w:r>
    </w:p>
    <w:p w14:paraId="5A022812" w14:textId="64F00F15"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legislativně-technická změna navazující na úpravu sazby daně z příjmů fyzických osob, na základě níž tato sazba nově činí 15</w:t>
      </w:r>
      <w:r w:rsidR="00581D37" w:rsidRPr="003730B5">
        <w:rPr>
          <w:rFonts w:ascii="Times New Roman" w:hAnsi="Times New Roman"/>
          <w:color w:val="auto"/>
          <w:sz w:val="24"/>
        </w:rPr>
        <w:t xml:space="preserve"> </w:t>
      </w:r>
      <w:r w:rsidRPr="003730B5">
        <w:rPr>
          <w:rFonts w:ascii="Times New Roman" w:hAnsi="Times New Roman"/>
          <w:color w:val="auto"/>
          <w:sz w:val="24"/>
        </w:rPr>
        <w:t>% pro část základu daně do 36násobku průměrné mzdy a 23 % pro část základu daně přesahující 36násobek průměrné mzdy. V důsledku této změny je nezbytné provést odpovídající úpravu i pro účely výpočtu zálohy na daň z příjmů fyzických osob ze závislé činnosti. Vzhledem k tomu, že tato záloha je plátcem daně srážena a odváděna na měsíční bázi, pro výpočet této zálohy se použije sazba v závislosti na tom, zda základ daně přesahuje 3násobek průměrné mzdy.</w:t>
      </w:r>
    </w:p>
    <w:p w14:paraId="1FC81A86"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35h odst. 6 a 13)</w:t>
      </w:r>
    </w:p>
    <w:p w14:paraId="5AAE544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legislativně-technická změna v návaznosti na navrhované zrušení ustanovení § 35ba odst. 1 písm. g) zákona o daních z příjmů. Vzhledem ke zrušení slevy za umístění dítěte se odkaz na ustanovení upravující tyto slevy stává nadbytečným.</w:t>
      </w:r>
    </w:p>
    <w:p w14:paraId="6CE51511"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38h odst. 14)</w:t>
      </w:r>
    </w:p>
    <w:p w14:paraId="2B661A20" w14:textId="27B743F8"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Institut plátcovy pokladny je obecně vymezen v ustanovení § 21 </w:t>
      </w:r>
      <w:r w:rsidR="00581D37" w:rsidRPr="003730B5">
        <w:rPr>
          <w:rFonts w:ascii="Times New Roman" w:hAnsi="Times New Roman"/>
          <w:color w:val="auto"/>
          <w:sz w:val="24"/>
        </w:rPr>
        <w:t>daňového řádu</w:t>
      </w:r>
      <w:r w:rsidRPr="003730B5">
        <w:rPr>
          <w:rFonts w:ascii="Times New Roman" w:hAnsi="Times New Roman"/>
          <w:color w:val="auto"/>
          <w:sz w:val="24"/>
        </w:rPr>
        <w:t xml:space="preserve"> jako organizační jednotka plátce daně, v níž dochází k výkonu povinností podle daňových zákonů </w:t>
      </w:r>
      <w:r w:rsidRPr="003730B5">
        <w:rPr>
          <w:rFonts w:ascii="Times New Roman" w:hAnsi="Times New Roman"/>
          <w:color w:val="auto"/>
          <w:sz w:val="24"/>
        </w:rPr>
        <w:lastRenderedPageBreak/>
        <w:t xml:space="preserve">a kde jsou pro tyto účely uloženy potřebné doklady. Plátcovou pokladnou je však tato organizační složka plátce daně pouze tehdy, stanoví-li tak zákon. Zákon o daních z příjmů na toto ustanovení navazuje, když v ustanovení § 38h odst. 14 prohlašuje organizační jednotku plátce daně, v níž dochází ke srážce záloh na daň a daně z příjmů fyzických osob ze závislé činnosti, za plátcovu pokladnu. </w:t>
      </w:r>
    </w:p>
    <w:p w14:paraId="0704F54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souvislosti s realizací připravovaného projektu Individualizace daně z příjmů fyzických osob ze závislé činnosti, v rámci kterého budou získávána individualizovaná data o příjmech poplatníků daně z příjmů ze závislé činnosti od plátců daně, se institut plátcovy pokladny ze zákona o daních z příjmů navrhuje vypustit tak, aby mohly být ze strany plátce daně řádně plněny povinnosti související se sběrem dat. Centralizací výkonu povinností plátce daně tak dojde ke zvýšení efektivity sběru těchto dat a urychlení realizace projektu Individualizace daně z příjmů fyzických osob ze závislé činnosti postupnou realizací dílčích aspektů tohoto projektu. Zrušení plátcových pokladen přinese možnost podávat pouze jedno vyúčtování za plátce daně, zjednoduší kontrolu plnění daňových povinností, sníží nadbytečnou administrativní zátěž na straně správce daně a rovněž se předpokládá snížení chybovosti v údajích zasílaných plátcem daně správci daně. Souběžně s předložením tohoto návrhu probíhá technická diskuze se zástupci zaměstnavatelů ohledně realizovatelnosti tohoto opatření.</w:t>
      </w:r>
    </w:p>
    <w:p w14:paraId="64433CD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 výše zmíněných důvodů se ustanovení § 38h odst. 14 zákona o daních z příjmů navrhuje vypustit.</w:t>
      </w:r>
    </w:p>
    <w:p w14:paraId="0283362B"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38k odst. 5 úvodní část ustanovení)</w:t>
      </w:r>
    </w:p>
    <w:p w14:paraId="7EC1CC7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legislativně-technická změna v návaznosti na zrušení ustanovení § 35ba odst. 1 písm. g) zákona o daních z příjmů. Vzhledem ke zrušení slevy za umístění dítěte se odkaz na ustanovení upravující tyto slevy stává nadbytečným.</w:t>
      </w:r>
    </w:p>
    <w:p w14:paraId="6BCDB797"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38k odst. 5 písm. c))</w:t>
      </w:r>
    </w:p>
    <w:p w14:paraId="4E08FBD7" w14:textId="3CB73B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souvislosti s úpravou podmínek pro uplatnění slevy na manžela je zapotřebí rozšířit také navazující ustanovení § 38k odst. 5 písm. c) zákona o daních z příjmů, které umožňuje poplatníkovi učinit prokazatelně do 15. </w:t>
      </w:r>
      <w:r w:rsidR="00D6156C" w:rsidRPr="003730B5">
        <w:rPr>
          <w:rFonts w:ascii="Times New Roman" w:hAnsi="Times New Roman"/>
          <w:color w:val="auto"/>
          <w:sz w:val="24"/>
        </w:rPr>
        <w:t xml:space="preserve">2. </w:t>
      </w:r>
      <w:r w:rsidRPr="003730B5">
        <w:rPr>
          <w:rFonts w:ascii="Times New Roman" w:hAnsi="Times New Roman"/>
          <w:color w:val="auto"/>
          <w:sz w:val="24"/>
        </w:rPr>
        <w:t>za bezprostředně uplynulé zdaňovací období prohlášení o tom, že manžel žijící ve společně hospodařící domácnosti, na kterého uplatňuje slevu na manžela, neměl v uplynulém zdaňovacím období vlastní příjem přesahující 68 000 Kč za zdaňovací období, o informaci, že poplatník žije ve společně hospodařící domácnosti s manželem a s vyživovaným dítětem do 3 let věku.</w:t>
      </w:r>
    </w:p>
    <w:p w14:paraId="49B234CE"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38k odst. 5 písm. e) úvodní části ustanovení)</w:t>
      </w:r>
    </w:p>
    <w:p w14:paraId="54A0AA8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souvislosti s rozšířením okruhu subjektů oprávněných poskytovat stavební spoření tímto zákonem dochází k použití obecnějšího pojmu „poskytovatel stavebního spoření“ namísto pojmu „stavební spořitelna“. K této změně dochází na všech místech zákona, kde dosud byl použit termín „stavební spořitelna“, a to z důvodu konzistentnosti předpisu a jednotnosti pojmů.</w:t>
      </w:r>
    </w:p>
    <w:p w14:paraId="32BB3298"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38k odst. 5 písm. h) až j))</w:t>
      </w:r>
    </w:p>
    <w:p w14:paraId="5290CF7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legislativně-technická změna reflektující zrušení ustanovení § 15 odst. 7 a 8 zákona o daních z příjmů, která za stanovených podmínek umožňují jako nezdanitelné části základu daně uplatnit zaplacené členské příspěvky odborové organizaci a úhrady za zkoušky ověřující výsledky dalšího vzdělávání podle zákona o ověřování a uznávání výsledků dalšího vzdělávání, a § 35ba odst. 1 písm. g) zákona o daních z příjmů, které v zákoně zakotvuje slevu za umístění dítěte. Zrušením těchto nezdanitelných částí základu daně a slevy za umístění dítěte pozbývá smyslu také povinnost poplatníka učinit prohlášení o skutečnostech relevantních pro jejich uplatnění v rámci ročního zúčtování záloh na daň z příjmů fyzických </w:t>
      </w:r>
      <w:r w:rsidRPr="003730B5">
        <w:rPr>
          <w:rFonts w:ascii="Times New Roman" w:hAnsi="Times New Roman"/>
          <w:color w:val="auto"/>
          <w:sz w:val="24"/>
        </w:rPr>
        <w:lastRenderedPageBreak/>
        <w:t>osob ze závislé činnosti a daňového zvýhodnění.</w:t>
      </w:r>
    </w:p>
    <w:p w14:paraId="1874687E"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38l odst. 1 písm. b))</w:t>
      </w:r>
    </w:p>
    <w:p w14:paraId="44D9763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souvislosti s rozšířením okruhu subjektů oprávněných poskytovat stavební spoření tímto zákonem dochází k použití obecnějšího pojmu „poskytovatel stavebního spoření“ namísto pojmu „stavební spořitelna“. K této změně dochází na všech místech zákona, kde dosud byl použit termín „stavební spořitelna“, a to z důvodu konzistentnosti předpisu a jednotnosti pojmů. </w:t>
      </w:r>
    </w:p>
    <w:p w14:paraId="659866DB" w14:textId="77B8AB72"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xml:space="preserve">(§ 38l odst. 1 písm. </w:t>
      </w:r>
      <w:r w:rsidR="00D8203B" w:rsidRPr="003730B5">
        <w:rPr>
          <w:rFonts w:ascii="Times New Roman" w:hAnsi="Times New Roman"/>
          <w:color w:val="auto"/>
          <w:sz w:val="24"/>
          <w:szCs w:val="24"/>
        </w:rPr>
        <w:t>j</w:t>
      </w:r>
      <w:r w:rsidRPr="003730B5">
        <w:rPr>
          <w:rFonts w:ascii="Times New Roman" w:hAnsi="Times New Roman"/>
          <w:color w:val="auto"/>
          <w:sz w:val="24"/>
          <w:szCs w:val="24"/>
        </w:rPr>
        <w:t>) a </w:t>
      </w:r>
      <w:r w:rsidR="00D8203B" w:rsidRPr="003730B5">
        <w:rPr>
          <w:rFonts w:ascii="Times New Roman" w:hAnsi="Times New Roman"/>
          <w:color w:val="auto"/>
          <w:sz w:val="24"/>
          <w:szCs w:val="24"/>
        </w:rPr>
        <w:t>k</w:t>
      </w:r>
      <w:r w:rsidRPr="003730B5">
        <w:rPr>
          <w:rFonts w:ascii="Times New Roman" w:hAnsi="Times New Roman"/>
          <w:color w:val="auto"/>
          <w:sz w:val="24"/>
          <w:szCs w:val="24"/>
        </w:rPr>
        <w:t>))</w:t>
      </w:r>
    </w:p>
    <w:p w14:paraId="22AEC1B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legislativně-technická změna v návaznosti na zrušení ustanovení § 15 odst. 7 a 8 zákona o daních z příjmů, která za stanovených podmínek umožňují jako nezdanitelné části základu daně uplatnit zaplacené členské příspěvky odborové organizaci a úhrady za zkoušky ověřující výsledky dalšího vzdělávání podle zákona o ověřování a uznávání výsledků dalšího vzdělávání. Zrušením těchto nezdanitelných částí základu daně pozbývá smyslu také zákonná úprava způsobu, jakým poplatník plátci daně prokazuje svůj nárok na jejich uplatnění v rámci ročního zúčtování záloh na daň z příjmů fyzických osob ze závislé činnosti a daňového zvýhodnění. </w:t>
      </w:r>
    </w:p>
    <w:p w14:paraId="254A6160"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38l odst. 2 písm. a))</w:t>
      </w:r>
    </w:p>
    <w:p w14:paraId="318655D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legislativně-technická změna v návaznosti na úpravu podmínek pro uplatnění ustanovení § 35ba odst. 1 písm. b) a § 35bb zákona o daních z příjmů, které v právním řádu České republiky ukotvuje slevu na manžela. Ustanovení § 38l odst. 2 písm. a) zákona o daních z příjmů umožňuje nárok na slevu na manžela prokázat dokladem prokazujícím totožnost manžela a průkazem ZTP/P, pokud je manžel jeho držitelem, nebo rozhodnutím o přiznání tohoto průkazu. Nově bude nutné nárok na slevu na manžela prokazovat také dokladem totožnosti a věku dítěte žijícího s poplatníkem ve společně hospodařící domácnosti a dokladem totožnosti  manžela žijícího s poplatníkem také v  této společně domácnosti v rozsahu uvedeném v § 38l odst. 3 písm. a) zákona o daních z příjmů.</w:t>
      </w:r>
    </w:p>
    <w:p w14:paraId="0997511A"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38l odst. 2 písm. e) a f))</w:t>
      </w:r>
    </w:p>
    <w:p w14:paraId="0D0F16E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Ustanovení § 38l odst. 2 písm. e) zákona o daních z příjmů upravuje způsob prokázání nároku na poskytnutí slevy na studenta potvrzením školy, že se poplatník soustavně připravuje na budoucí povolání studiem nebo předepsaným výcvikem, uplatňuje-li slevu na dani podle § 35ba odst. 1 písm. f) zákona o daních z příjmů; toto ustanovení je v souvislosti s navrhovaným zrušením slevy na studenta obsoletním, a proto se navrhuje jeho zrušení.</w:t>
      </w:r>
    </w:p>
    <w:p w14:paraId="16EF830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Nárok na poskytnutí slevy na dani za umístění dítěte prokazuje poplatník podle § 38l odst. 2 písm. f) zákona o daních z příjmů potvrzením předškolního zařízení o výši vynaložených výdajů za umístění vyživovaného dítěte poplatníka v těchto zařízeních. Z důvodu navrhovaného zrušení slevy za umístění dítěte je toto ustanovení obsoletním, a proto se navrhuje jeho zrušení.</w:t>
      </w:r>
    </w:p>
    <w:p w14:paraId="7D835459"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38l odst. 4)</w:t>
      </w:r>
    </w:p>
    <w:p w14:paraId="3247D73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Ustanovení § 38l odst. 4 zákona o daních z příjmů řeší situaci, kdy žák nebo student studující na zahraniční střední nebo vysoké škole žádá o uplatnění slevy na studenta nebo daňového zvýhodnění. V takovém případě musí podat návrh Ministerstvu školství, mládeže a tělovýchovy na vydání rozhodnutí, že studium na zahraniční střední nebo vysoké škole, jejíž je žákem nebo studentem, je postaveno na roveň studiu na středních a vysokých školách v České republice. Je-li mu v tomto individuálním správním řízení vyhověno a rozhodnutí vydáno, lze daňové zvýhodnění a slevu na studenta v tomto případě uplatnit. Toto ustanovení </w:t>
      </w:r>
      <w:r w:rsidRPr="003730B5">
        <w:rPr>
          <w:rFonts w:ascii="Times New Roman" w:hAnsi="Times New Roman"/>
          <w:color w:val="auto"/>
          <w:sz w:val="24"/>
        </w:rPr>
        <w:lastRenderedPageBreak/>
        <w:t>se v návaznosti na zrušení slevy na studenta upravuje tak, aby byl odkaz na ustanovení § 35ba odst. 1 písm. f) zákona o daních z příjmů upravující slevu na studenta odstraněn. Ustanovení § 38l odst. 4 zákona o daních z příjmů bude nadále použitelné v případě uplatnění nároku na daňové zvýhodnění.</w:t>
      </w:r>
    </w:p>
    <w:p w14:paraId="09191136"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38lc odst. 4)</w:t>
      </w:r>
    </w:p>
    <w:p w14:paraId="21B5F42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poslední vývoj judikatury v oblasti formulářových podání se navrhuje stanovit, že oznámení o vstupu do paušálního režimu je formulářovým podáním. Jestliže toto oznámení bude formulářovým podáním ve smyslu § 72 daňového řádu, bude jej možné podat pouze způsobem vymezeným ustanovení § 72 odst. 2 a 6 daňového řádu. Z tohoto důvodu není nutné, aby ustanovení odstavce 3 upravovalo způsob podání oznámení, neboť taková úprava by byla duplicitní k ustanovení § 72 odst. 3 a 6 daňového řádu.</w:t>
      </w:r>
    </w:p>
    <w:p w14:paraId="5C63293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navrženou úpravu odstavce 4, kdy oznámení o vstupu do paušálního režimu bude formulářovým podáním, se předpokládá, že v souladu s § 72 odst. 4 a 5 daňového řádu bude Ministerstvem financí vydána vyhláška podrobně upravující údaje vyžadované pro účely tohoto formulářového podání. Bude tak výslovně stanoveno podzákonným právním předpisem, jaký formát a náležitosti, včetně jejich podrobností a uspořádání (tj. i obsahovou strukturu podání) bude toto oznámení mít. Tomu bude odpovídat i datová struktura elektronického formuláře zveřejněná správcem daně.</w:t>
      </w:r>
    </w:p>
    <w:p w14:paraId="63322383"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38lc odst. 5 úvodní část ustanovení)</w:t>
      </w:r>
    </w:p>
    <w:p w14:paraId="1589395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změny navržené v § 38lc odst. 4 zákona o daních z příjmů, kdy oznámení o vstupu do paušálního režimu bude formulářovým podáním ve smyslu § 72 daňového řádu, se navrhuje upravit ustanovení odstavce 5 tak, aby nedocházelo k duplicitní úpravě vymezení obsahových náležitostí tohoto oznámení ve vztahu k § 72 odst. 3 daňového řádu. Ustanovení odstavce § 72 odst. 3 daňového řádu vymezuje údaje, které lze ve formulářovém podání (nad rámec obecných náležitostí) požadovat. Mezi tyto náležitosti patří rovněž identifikační údaje osob zúčastněných na správě daní, kterými jsou také poplatník nebo plátce daně jakožto daňové subjekty. Podrobnosti týkající se těchto údajů může stanovit Ministerstvo financí vyhláškou v souladu s § 72 odst. 5 daňového řádu a není proto již nutné, aby ustanovení odstavce 5upravovalo stejný okruh náležitostí oznámení.</w:t>
      </w:r>
    </w:p>
    <w:p w14:paraId="4C68EBB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ustanovení odstavce 5 se však navrhuje ponechat požadavek na uvedení údajů týkajících se vstupu do paušálního režimu, důchodového pojištění poplatníka a veřejného zdravotního pojištění poplatníka, neboť tyto nejsou pokryty výčtem údajů obsaženým v § 72 odst. 3 daňového řádu. V návaznosti na tyto zákonem o daních z příjmů stanovené údaje tak bude možné související podrobnosti upravit vyhláškou Ministerstva financí vydanou na základě zmocnění v § 72 daňového řádu.</w:t>
      </w:r>
    </w:p>
    <w:p w14:paraId="7028692E" w14:textId="77777777" w:rsidR="00133AC8" w:rsidRPr="003730B5" w:rsidRDefault="00133AC8" w:rsidP="00133AC8">
      <w:pPr>
        <w:pStyle w:val="Dvodovzprvakbodu"/>
        <w:outlineLvl w:val="3"/>
        <w:rPr>
          <w:rFonts w:ascii="Times New Roman" w:hAnsi="Times New Roman"/>
          <w:color w:val="auto"/>
          <w:sz w:val="24"/>
          <w:szCs w:val="24"/>
        </w:rPr>
      </w:pPr>
      <w:r w:rsidRPr="003730B5">
        <w:rPr>
          <w:rFonts w:ascii="Times New Roman" w:hAnsi="Times New Roman"/>
          <w:color w:val="auto"/>
          <w:sz w:val="24"/>
          <w:szCs w:val="24"/>
        </w:rPr>
        <w:t>(§ 38t odst. 1)</w:t>
      </w:r>
    </w:p>
    <w:p w14:paraId="5957FA67" w14:textId="551A5DD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Institut plátcovy pokladny je obecně vymezen v ustanovení § 21 </w:t>
      </w:r>
      <w:r w:rsidR="00581D37" w:rsidRPr="003730B5">
        <w:rPr>
          <w:rFonts w:ascii="Times New Roman" w:hAnsi="Times New Roman"/>
          <w:color w:val="auto"/>
          <w:sz w:val="24"/>
        </w:rPr>
        <w:t>daňového řádu</w:t>
      </w:r>
      <w:r w:rsidRPr="003730B5">
        <w:rPr>
          <w:rFonts w:ascii="Times New Roman" w:hAnsi="Times New Roman"/>
          <w:color w:val="auto"/>
          <w:sz w:val="24"/>
        </w:rPr>
        <w:t xml:space="preserve"> jako organizační jednotka plátce daně, v níž dochází k výkonu povinností podle daňových zákonů a kde jsou pro tyto účely uloženy potřebné doklady. Plátcovou pokladnou je však tato organizační složka plátce daně pouze tehdy, stanoví-li tak zákon. Zákon o daních z příjmů na toto ustanovení navazuje, když v ustanovení § 38d odst. 10 a § 38h odst. 14 prohlašuje organizační jednotku plátce daně za plátcovu pokladnu. </w:t>
      </w:r>
    </w:p>
    <w:p w14:paraId="1F2E227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souvislosti s realizací připravovaného projektu Individualizace daně z příjmů fyzických osob ze závislé činnosti, v rámci kterého budou získávána individualizovaná data o příjmech poplatníků daně z příjmů ze závislé činnosti od plátců daně, se institut plátcovy pokladny ze zákona o daních z příjmů navrhuje vypustit tak, aby mohly být ze strany plátce daně řádně </w:t>
      </w:r>
      <w:r w:rsidRPr="003730B5">
        <w:rPr>
          <w:rFonts w:ascii="Times New Roman" w:hAnsi="Times New Roman"/>
          <w:color w:val="auto"/>
          <w:sz w:val="24"/>
        </w:rPr>
        <w:lastRenderedPageBreak/>
        <w:t>plněny povinnosti související se sběrem dat. Centralizací výkonu povinností plátce daně tak dojde ke zvýšení efektivity sběru těchto dat a urychlení realizace projektu Individualizace daně z příjmů fyzických osob ze závislé činnosti postupnou realizací dílčích aspektů tohoto projektu. Zrušení plátcových pokladen přinese možnost podávat pouze jedno vyúčtování za plátce daně, zjednoduší kontrolu plnění daňových povinností, sníží nadbytečnou administrativní zátěž na straně správce daně a rovněž se předpokládá snížení chybovosti v údajích zasílaných plátcem daně správci daně. Souběžně s předložením tohoto návrhu probíhá technická diskuze se zástupci zaměstnavatelů ohledně realizovatelnosti tohoto opatření.</w:t>
      </w:r>
    </w:p>
    <w:p w14:paraId="47EC783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 výše zmíněných důvodů se ustanovení § 38d odst. 10 a § 38h odst. 14 zákona o daních z příjmů navrhuje vypustit. V návaznosti na tyto změny se navrhuje vypustit také povinnost pojišťovny jakožto plátce daně podle ustanovení § 38t odst. 1 zákona o daních z příjmů sdělit určité skutečnosti správci daně příslušnému její plátcově pokladně.</w:t>
      </w:r>
    </w:p>
    <w:p w14:paraId="55CD6332" w14:textId="77777777" w:rsidR="00133AC8" w:rsidRPr="003730B5" w:rsidRDefault="00133AC8" w:rsidP="00133AC8">
      <w:pPr>
        <w:pStyle w:val="Dvodovzprvakbodu"/>
        <w:keepNext w:val="0"/>
        <w:outlineLvl w:val="3"/>
        <w:rPr>
          <w:rFonts w:ascii="Times New Roman" w:hAnsi="Times New Roman"/>
          <w:color w:val="auto"/>
          <w:sz w:val="24"/>
          <w:szCs w:val="24"/>
        </w:rPr>
      </w:pPr>
      <w:r w:rsidRPr="003730B5">
        <w:rPr>
          <w:rFonts w:ascii="Times New Roman" w:hAnsi="Times New Roman"/>
          <w:color w:val="auto"/>
          <w:sz w:val="24"/>
          <w:szCs w:val="24"/>
        </w:rPr>
        <w:t>(§ 39b odst. 2)</w:t>
      </w:r>
    </w:p>
    <w:p w14:paraId="4363675B" w14:textId="6F8EE390"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Institut plátcovy pokladny je obecně vymezen v ustanovení § 21 </w:t>
      </w:r>
      <w:r w:rsidR="00581D37" w:rsidRPr="003730B5">
        <w:rPr>
          <w:rFonts w:ascii="Times New Roman" w:hAnsi="Times New Roman"/>
          <w:color w:val="auto"/>
          <w:sz w:val="24"/>
        </w:rPr>
        <w:t>daňového řádu</w:t>
      </w:r>
      <w:r w:rsidRPr="003730B5">
        <w:rPr>
          <w:rFonts w:ascii="Times New Roman" w:hAnsi="Times New Roman"/>
          <w:color w:val="auto"/>
          <w:sz w:val="24"/>
        </w:rPr>
        <w:t xml:space="preserve"> jako organizační jednotka plátce daně, v níž dochází k výkonu povinností podle daňových zákonů a kde jsou pro tyto účely uloženy potřebné doklady. Plátcovou pokladnou je však tato organizační složka plátce daně pouze tehdy, stanoví-li tak zákon. Zákon o daních z příjmů na toto ustanovení navazuje, když v ustanovení § 38d odst. 10 a § 38h odst. 14 prohlašuje organizační jednotku plátce daně za plátcovu pokladnu. </w:t>
      </w:r>
    </w:p>
    <w:p w14:paraId="5780E10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souvislosti s realizací připravovaného projektu Individualizace daně z příjmů fyzických osob ze závislé činnosti, v rámci kterého budou získávána individualizovaná data o příjmech poplatníků daně z příjmů ze závislé činnosti od plátců daně, se institut plátcovy pokladny ze zákona o daních z příjmů navrhuje vypustit tak, aby mohly být ze strany plátce daně řádně plněny povinnosti související se sběrem dat. Centralizací výkonu povinností plátce daně tak dojde ke zvýšení efektivity sběru těchto dat a urychlení realizace projektu Individualizace daně z příjmů fyzických osob ze závislé činnosti postupnou realizací dílčích aspektů tohoto projektu. Zrušení plátcových pokladen přinese možnost podávat pouze jedno vyúčtování za plátce daně, zjednoduší kontrolu plnění daňových povinností, sníží nadbytečnou administrativní zátěž na straně správce daně a rovněž se předpokládá snížení chybovosti v údajích zasílaných plátcem daně správci daně. Souběžně s předložením tohoto návrhu probíhá technická diskuze se zástupci zaměstnavatelů ohledně realizovatelnosti tohoto opatření. </w:t>
      </w:r>
    </w:p>
    <w:p w14:paraId="0644C02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 výše zmíněných důvodů se ustanovení § 38d odst. 10 a § 38h odst. 14 zákona o daních z příjmů navrhuje vypustit. V návaznosti na tyto změny se navrhuje vypustit také registrační povinnost plátce daně ve vztahu k jeho plátcově pokladně, tj. povinnost podat přihlášku k registraci za plátcovu pokladnu a určit osobu oprávněnou za tuto plátcovu pokladnu jménem plátce daně jednat.</w:t>
      </w:r>
    </w:p>
    <w:p w14:paraId="168B6086" w14:textId="1474033C" w:rsidR="00133AC8" w:rsidRPr="003730B5" w:rsidRDefault="00133AC8" w:rsidP="00133AC8">
      <w:pPr>
        <w:keepNext/>
        <w:spacing w:before="120"/>
        <w:outlineLvl w:val="2"/>
        <w:rPr>
          <w:b/>
          <w:szCs w:val="24"/>
        </w:rPr>
      </w:pPr>
      <w:r w:rsidRPr="003730B5">
        <w:rPr>
          <w:b/>
          <w:szCs w:val="24"/>
        </w:rPr>
        <w:t>K čl. </w:t>
      </w:r>
      <w:r w:rsidR="00B16ED6" w:rsidRPr="003730B5">
        <w:rPr>
          <w:b/>
          <w:szCs w:val="24"/>
        </w:rPr>
        <w:t>XV</w:t>
      </w:r>
      <w:r w:rsidRPr="003730B5">
        <w:rPr>
          <w:b/>
          <w:szCs w:val="24"/>
        </w:rPr>
        <w:t xml:space="preserve"> (Přechodná ustanovení)</w:t>
      </w:r>
    </w:p>
    <w:p w14:paraId="7C02A06F" w14:textId="77777777" w:rsidR="00133AC8" w:rsidRPr="003730B5" w:rsidRDefault="00133AC8" w:rsidP="00133AC8">
      <w:pPr>
        <w:keepNext/>
        <w:tabs>
          <w:tab w:val="num" w:pos="360"/>
        </w:tabs>
        <w:spacing w:before="120"/>
        <w:outlineLvl w:val="3"/>
        <w:rPr>
          <w:szCs w:val="24"/>
          <w:u w:val="single"/>
        </w:rPr>
      </w:pPr>
      <w:r w:rsidRPr="003730B5">
        <w:rPr>
          <w:szCs w:val="24"/>
          <w:u w:val="single"/>
        </w:rPr>
        <w:t>K bodu 1:</w:t>
      </w:r>
    </w:p>
    <w:p w14:paraId="0BD1C58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Toto přechodné ustanovení stanovuje, že pro uplatnění daně, jakož i práv a povinností vyplývajících ze zákona za zdaňovací období započatá před účinností tohoto zákona se použijí právní předpisy platné do dne předcházejícího účinnosti tohoto zákona (dosavadní právní předpisy). Započatým zdaňovacím obdobím se v tomto případě rozumí zdaňovací období nebo období, za které se podává daňové přiznání, které započalo před účinností tohoto zákona a dosud neskončilo.</w:t>
      </w:r>
    </w:p>
    <w:p w14:paraId="0993819F" w14:textId="77777777" w:rsidR="00133AC8" w:rsidRPr="003730B5" w:rsidRDefault="00133AC8" w:rsidP="00133AC8">
      <w:pPr>
        <w:keepNext/>
        <w:tabs>
          <w:tab w:val="num" w:pos="360"/>
        </w:tabs>
        <w:spacing w:before="120"/>
        <w:outlineLvl w:val="3"/>
        <w:rPr>
          <w:b/>
          <w:szCs w:val="24"/>
        </w:rPr>
      </w:pPr>
      <w:r w:rsidRPr="003730B5">
        <w:rPr>
          <w:szCs w:val="24"/>
          <w:u w:val="single"/>
        </w:rPr>
        <w:t>K bodu 2:</w:t>
      </w:r>
      <w:r w:rsidRPr="003730B5">
        <w:rPr>
          <w:b/>
          <w:szCs w:val="24"/>
        </w:rPr>
        <w:t> </w:t>
      </w:r>
    </w:p>
    <w:p w14:paraId="7AE05F5D" w14:textId="26339615"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přechodné ustanovení za účelem zajištění, aby k příspěvku na stravování </w:t>
      </w:r>
      <w:r w:rsidRPr="003730B5">
        <w:rPr>
          <w:rFonts w:ascii="Times New Roman" w:hAnsi="Times New Roman"/>
          <w:color w:val="auto"/>
          <w:sz w:val="24"/>
        </w:rPr>
        <w:lastRenderedPageBreak/>
        <w:t xml:space="preserve">poskytovanému zaměstnavatelem zaměstnanci (tj. stravování poskytované zaměstnanci jako nepeněžní plnění ke spotřebě na pracovišti zaměstnance nebo v rámci stravování zajišťovaného prostřednictvím jiného poplatníka než zaměstnavatele a peněžitý příspěvek na stravování) bylo přistupováno podle dosavadní právní úpravy, tedy podle ustanovení § 6 odst. 9 písm. b) zákona o daních z příjmů na straně zaměstnance a podle § 24 odst. 2 písm. j) bodu 4 zákona o daních z příjmů na straně zaměstnavatele, pokud se jedná o příspěvek, na jehož poskytnutí zaměstnanci vznikl nárok před 1. </w:t>
      </w:r>
      <w:r w:rsidR="00BF7A36" w:rsidRPr="003730B5">
        <w:rPr>
          <w:rFonts w:ascii="Times New Roman" w:hAnsi="Times New Roman"/>
          <w:color w:val="auto"/>
          <w:sz w:val="24"/>
        </w:rPr>
        <w:t xml:space="preserve">1. </w:t>
      </w:r>
      <w:r w:rsidRPr="003730B5">
        <w:rPr>
          <w:rFonts w:ascii="Times New Roman" w:hAnsi="Times New Roman"/>
          <w:color w:val="auto"/>
          <w:sz w:val="24"/>
        </w:rPr>
        <w:t xml:space="preserve">2024, ale k jeho poskytnutí, resp. vyplacení, došlo až od 1. </w:t>
      </w:r>
      <w:r w:rsidR="00D6156C" w:rsidRPr="003730B5">
        <w:rPr>
          <w:rFonts w:ascii="Times New Roman" w:hAnsi="Times New Roman"/>
          <w:color w:val="auto"/>
          <w:sz w:val="24"/>
        </w:rPr>
        <w:t>1.</w:t>
      </w:r>
      <w:r w:rsidRPr="003730B5">
        <w:rPr>
          <w:rFonts w:ascii="Times New Roman" w:hAnsi="Times New Roman"/>
          <w:color w:val="auto"/>
          <w:sz w:val="24"/>
        </w:rPr>
        <w:t xml:space="preserve"> 2024. Na základě tohoto přechodného ustanovení tak bude takový příspěvek na straně zaměstnance osvobozen za podmínek, které platily v době, kdy mu nárok na tento příspěvek vznikl, a to i tehdy, pokud byl poskytnut až v době účinnosti tohoto zákona. Naopak příspěvky na stravování, na které nárok vznikl až od 1. </w:t>
      </w:r>
      <w:r w:rsidR="00D6156C" w:rsidRPr="003730B5">
        <w:rPr>
          <w:rFonts w:ascii="Times New Roman" w:hAnsi="Times New Roman"/>
          <w:color w:val="auto"/>
          <w:sz w:val="24"/>
        </w:rPr>
        <w:t>1.</w:t>
      </w:r>
      <w:r w:rsidRPr="003730B5">
        <w:rPr>
          <w:rFonts w:ascii="Times New Roman" w:hAnsi="Times New Roman"/>
          <w:color w:val="auto"/>
          <w:sz w:val="24"/>
        </w:rPr>
        <w:t xml:space="preserve"> 2024, se již budou posuzovat podle nově navržené úpravy, a to bez ohledu na běh zdaňovacího období na straně zaměstnance a zaměstnavatele. Obdobně na straně zaměstnavatele bude za stejných podmínek posuzován jako výdaj vynaložený na dosažení, zajištění a udržení zdanitelných příjmů. </w:t>
      </w:r>
    </w:p>
    <w:p w14:paraId="0CB7723E" w14:textId="77777777" w:rsidR="00133AC8" w:rsidRPr="003730B5" w:rsidRDefault="00133AC8" w:rsidP="00133AC8">
      <w:pPr>
        <w:keepNext/>
        <w:tabs>
          <w:tab w:val="num" w:pos="360"/>
        </w:tabs>
        <w:spacing w:before="120"/>
        <w:outlineLvl w:val="3"/>
        <w:rPr>
          <w:b/>
          <w:szCs w:val="24"/>
        </w:rPr>
      </w:pPr>
      <w:r w:rsidRPr="003730B5">
        <w:rPr>
          <w:szCs w:val="24"/>
          <w:u w:val="single"/>
        </w:rPr>
        <w:t>K bodu 3:</w:t>
      </w:r>
      <w:r w:rsidRPr="003730B5">
        <w:rPr>
          <w:b/>
          <w:szCs w:val="24"/>
        </w:rPr>
        <w:t> </w:t>
      </w:r>
    </w:p>
    <w:p w14:paraId="74A666F3" w14:textId="48B4B391"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přechodné ustanovení za účelem zajištění, aby k nepeněžnímu plnění poskytovaného zaměstnavatelem zaměstnancům z fondu kulturních a sociálních potřeb, ze sociálního fondu nebo ze zisku (příjmu) po jeho zdanění a u zaměstnavatelů, kteří nevytvořili zisk, na vrub výdajů (nákladů), které nejsou výdaji (náklady) na dosažení, zajištění a udržení příjmů, ve formě vymezené v dosavadním § 6 odst. 9 písm. d) nebo g) zákona o daních z příjmů bylo přistupováno podle dosavadní právní úpravy, tedy podle ustanovení § 6 odst. 9 písm. d) a g) zákona o daních z příjmů na straně zaměstnance a podle § 25 odst. 1 písm. h) o daních z příjmů na straně zaměstnavatele, pokud se jedná o plnění, k jehož poskytnutí došlo před 1. </w:t>
      </w:r>
      <w:r w:rsidR="00BF7A36" w:rsidRPr="003730B5">
        <w:rPr>
          <w:rFonts w:ascii="Times New Roman" w:hAnsi="Times New Roman"/>
          <w:color w:val="auto"/>
          <w:sz w:val="24"/>
        </w:rPr>
        <w:t xml:space="preserve">1. </w:t>
      </w:r>
      <w:r w:rsidRPr="003730B5">
        <w:rPr>
          <w:rFonts w:ascii="Times New Roman" w:hAnsi="Times New Roman"/>
          <w:color w:val="auto"/>
          <w:sz w:val="24"/>
        </w:rPr>
        <w:t xml:space="preserve">2024. Naopak nepeněžitá plnění, k jejichž poskytnutí došlo od 1. </w:t>
      </w:r>
      <w:r w:rsidR="00D6156C" w:rsidRPr="003730B5">
        <w:rPr>
          <w:rFonts w:ascii="Times New Roman" w:hAnsi="Times New Roman"/>
          <w:color w:val="auto"/>
          <w:sz w:val="24"/>
        </w:rPr>
        <w:t>1.</w:t>
      </w:r>
      <w:r w:rsidRPr="003730B5">
        <w:rPr>
          <w:rFonts w:ascii="Times New Roman" w:hAnsi="Times New Roman"/>
          <w:color w:val="auto"/>
          <w:sz w:val="24"/>
        </w:rPr>
        <w:t xml:space="preserve"> 2024, se již budou posuzovat podle nově navržené úpravy, a to bez ohledu na běh zdaňovacího období na straně zaměstnance a zaměstnavatele. Obdobně na straně zaměstnavatele bude za stejných podmínek posuzován jako výdaj vynaložený na dosažení, zajištění a udržení zdanitelných příjmů. </w:t>
      </w:r>
    </w:p>
    <w:p w14:paraId="2EC85B7C" w14:textId="575997EB"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Daňové osvobození podle zrušeného ustanovení § 6 odst. 9 písm. d) a g) zákona o daních z příjmů lze tedy naposledy použít na vymezená plnění poskytnutá zaměstnavatelem zaměstnanci přede dnem nabytí účinnosti tohoto zákona. Tato úprava se použije bez ohledu na to, zda poskytnutá plnění zaměstnanec uplatní či realizuje přede dnem účinností tohoto zákona, nebo po něm. Pro aplikaci dosavadního režimu daňového osvobození je relevantní okamžik poskytnutí plnění zaměstnavatelem, který daná plnění pořídil (zakoupil, zabezpečil) zaměstnanci, tedy v době přede dnem nabytí účinnosti tohoto zákona, ve které zaměstnanec obdržel konkrétní výhodu (příjem) od zaměstnavatele. Příkladem lze uvést poskytnutí zájezdu způsobem uhrazení faktury zaměstnavatelem za zájezd zaměstnance přede dnem nabytí účinnosti tohoto zákona, i když zaměstnanec na zájezd odjede až po 1. </w:t>
      </w:r>
      <w:r w:rsidR="00581D37" w:rsidRPr="003730B5">
        <w:rPr>
          <w:rFonts w:ascii="Times New Roman" w:hAnsi="Times New Roman"/>
          <w:color w:val="auto"/>
          <w:sz w:val="24"/>
        </w:rPr>
        <w:t>1.</w:t>
      </w:r>
      <w:r w:rsidRPr="003730B5">
        <w:rPr>
          <w:rFonts w:ascii="Times New Roman" w:hAnsi="Times New Roman"/>
          <w:color w:val="auto"/>
          <w:sz w:val="24"/>
        </w:rPr>
        <w:t xml:space="preserve"> 2024. Jestliže bude zaměstnavatel fakturu hradit ode dne nabytí účinnosti tohoto zákona, daňové osvobození předmětného plnění by se již na straně zaměstnance nepoužilo. </w:t>
      </w:r>
    </w:p>
    <w:p w14:paraId="576A6A67" w14:textId="77777777" w:rsidR="00133AC8" w:rsidRPr="003730B5" w:rsidRDefault="00133AC8" w:rsidP="00133AC8">
      <w:pPr>
        <w:keepNext/>
        <w:tabs>
          <w:tab w:val="num" w:pos="360"/>
        </w:tabs>
        <w:spacing w:before="120"/>
        <w:outlineLvl w:val="3"/>
        <w:rPr>
          <w:b/>
          <w:szCs w:val="24"/>
        </w:rPr>
      </w:pPr>
      <w:r w:rsidRPr="003730B5">
        <w:rPr>
          <w:szCs w:val="24"/>
          <w:u w:val="single"/>
        </w:rPr>
        <w:t>K bodu 4:</w:t>
      </w:r>
    </w:p>
    <w:p w14:paraId="2880E0C3" w14:textId="5265FFC1"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Vyhláška č. 19/1991 Sb. byla ke dni  1. </w:t>
      </w:r>
      <w:r w:rsidR="006348FF" w:rsidRPr="003730B5">
        <w:rPr>
          <w:rFonts w:ascii="Times New Roman" w:hAnsi="Times New Roman"/>
          <w:color w:val="auto"/>
          <w:sz w:val="24"/>
        </w:rPr>
        <w:t>12.</w:t>
      </w:r>
      <w:r w:rsidRPr="003730B5">
        <w:rPr>
          <w:rFonts w:ascii="Times New Roman" w:hAnsi="Times New Roman"/>
          <w:color w:val="auto"/>
          <w:sz w:val="24"/>
        </w:rPr>
        <w:t xml:space="preserve"> 2003 zrušena vyhláškou č. 405/2003 Sb. Podle ustanovení § 1 odst. 2 vyhlášky č. 405/2003 Sb. se však zrušovaná vyhláška č. 19/1991 Sb. nadále použije na nároky na mzdové vyrovnání nebo odstupné, které na základě této vyhlášky vznikly přede dnem jejího zrušení. Toto přechodné ustanovení stanoví, že odstupné nebo mzdové vyrovnání podle vyhlášky č. 19/1991 Sb. bude nadále osvobozeno od daně z příjmů podle § 6 odst. 9 písm. j) nebo § 6 odst. 9 písm. n) zákona o daních z příjmů ve znění přede dnem nabytí účinnosti tohoto zákona.</w:t>
      </w:r>
    </w:p>
    <w:p w14:paraId="733B6F87" w14:textId="77777777" w:rsidR="00133AC8" w:rsidRPr="003730B5" w:rsidRDefault="00133AC8" w:rsidP="00133AC8">
      <w:pPr>
        <w:keepNext/>
        <w:tabs>
          <w:tab w:val="num" w:pos="360"/>
        </w:tabs>
        <w:spacing w:before="120"/>
        <w:outlineLvl w:val="3"/>
        <w:rPr>
          <w:b/>
          <w:szCs w:val="24"/>
        </w:rPr>
      </w:pPr>
      <w:r w:rsidRPr="003730B5">
        <w:rPr>
          <w:szCs w:val="24"/>
          <w:u w:val="single"/>
        </w:rPr>
        <w:lastRenderedPageBreak/>
        <w:t>K bodu 5:</w:t>
      </w:r>
    </w:p>
    <w:p w14:paraId="4A329450" w14:textId="2E115E2A"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aby plat prezidenta republiky, víceúčelová paušální náhrada a renta bývalého prezidenta republiky byly nadále považovány za ostatní příjmy, pokud právo na jejich vyplacení vzniklo přede dnem nabytí účinnosti tohoto zákona a byly vyplaceny nebo poskytnuty do 31. </w:t>
      </w:r>
      <w:r w:rsidR="00D6156C" w:rsidRPr="003730B5">
        <w:rPr>
          <w:rFonts w:ascii="Times New Roman" w:hAnsi="Times New Roman"/>
          <w:color w:val="auto"/>
          <w:sz w:val="24"/>
        </w:rPr>
        <w:t>1.</w:t>
      </w:r>
      <w:r w:rsidRPr="003730B5">
        <w:rPr>
          <w:rFonts w:ascii="Times New Roman" w:hAnsi="Times New Roman"/>
          <w:color w:val="auto"/>
          <w:sz w:val="24"/>
        </w:rPr>
        <w:t xml:space="preserve"> 2023. Ustanovení dopadá především na plat, rentu a víceúčelovou paušální náhradu za prosinec roku 2023, jejíž vyplacení však probíhá až v lednu následujícího roku. Tento lednový příjem za prosinec roku 2023 tak nebude posuzován jako funkční požitek podle § 6 odst. 10 písm. a) zákona o daních z příjmů, a bude ostatním příjmem podle dosavadní právní úpravy. Jedná se o obdobu pravidla podle § 5 odst. 4 zákona o daních z příjmů.</w:t>
      </w:r>
    </w:p>
    <w:p w14:paraId="1170AE16" w14:textId="77777777" w:rsidR="00133AC8" w:rsidRPr="003730B5" w:rsidRDefault="00133AC8" w:rsidP="00133AC8">
      <w:pPr>
        <w:keepNext/>
        <w:tabs>
          <w:tab w:val="num" w:pos="360"/>
        </w:tabs>
        <w:spacing w:before="120"/>
        <w:outlineLvl w:val="3"/>
        <w:rPr>
          <w:b/>
          <w:szCs w:val="24"/>
        </w:rPr>
      </w:pPr>
      <w:r w:rsidRPr="003730B5">
        <w:rPr>
          <w:szCs w:val="24"/>
          <w:u w:val="single"/>
        </w:rPr>
        <w:t>K bodu 6:</w:t>
      </w:r>
      <w:r w:rsidRPr="003730B5">
        <w:rPr>
          <w:b/>
          <w:szCs w:val="24"/>
        </w:rPr>
        <w:t> </w:t>
      </w:r>
    </w:p>
    <w:p w14:paraId="2AD3407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speciální přechodné ustanovení k obecnému přechodnému ustanovení v bodě 1. Vzhledem k tomu, že některé ostatní příjmy podle § 10 zákona o daních z příjmů podléhají dani vybírané srážkou podle zvláštní sazby daně, není nutné odkládat použitelnost nové úpravy až na zdaňovací období započaté ode dne účinnosti tohoto zákona. Nová úprava se tak na základě tohoto přechodného ustanovení použije na tyto ostatní příjmy již ode dne nabytí účinnosti tohoto zákona.</w:t>
      </w:r>
    </w:p>
    <w:p w14:paraId="055D9B42" w14:textId="77777777" w:rsidR="00133AC8" w:rsidRPr="003730B5" w:rsidRDefault="00133AC8" w:rsidP="00133AC8">
      <w:pPr>
        <w:keepNext/>
        <w:tabs>
          <w:tab w:val="num" w:pos="360"/>
        </w:tabs>
        <w:spacing w:before="120"/>
        <w:outlineLvl w:val="3"/>
        <w:rPr>
          <w:b/>
          <w:szCs w:val="24"/>
        </w:rPr>
      </w:pPr>
      <w:r w:rsidRPr="003730B5">
        <w:rPr>
          <w:szCs w:val="24"/>
          <w:u w:val="single"/>
        </w:rPr>
        <w:t>K bodu 7:</w:t>
      </w:r>
      <w:r w:rsidRPr="003730B5">
        <w:rPr>
          <w:b/>
          <w:szCs w:val="24"/>
        </w:rPr>
        <w:t> </w:t>
      </w:r>
    </w:p>
    <w:p w14:paraId="7319EE04" w14:textId="666C8832"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přechodné ustanovení týkající se měněného § 30a, které je speciální k obecnému přechodnému ustanovení uvedenému v bodě 1. Vzhledem k tomu, že se § 30a mění tak, že se z něho vypouští dosavadní úprava pro majetek pořízení v období od 1. </w:t>
      </w:r>
      <w:r w:rsidR="00D6156C" w:rsidRPr="003730B5">
        <w:rPr>
          <w:rFonts w:ascii="Times New Roman" w:hAnsi="Times New Roman"/>
          <w:color w:val="auto"/>
          <w:sz w:val="24"/>
        </w:rPr>
        <w:t>1.</w:t>
      </w:r>
      <w:r w:rsidRPr="003730B5">
        <w:rPr>
          <w:rFonts w:ascii="Times New Roman" w:hAnsi="Times New Roman"/>
          <w:color w:val="auto"/>
          <w:sz w:val="24"/>
        </w:rPr>
        <w:t xml:space="preserve"> 2020 do 31. </w:t>
      </w:r>
      <w:r w:rsidR="006348FF" w:rsidRPr="003730B5">
        <w:rPr>
          <w:rFonts w:ascii="Times New Roman" w:hAnsi="Times New Roman"/>
          <w:color w:val="auto"/>
          <w:sz w:val="24"/>
        </w:rPr>
        <w:t xml:space="preserve">12. </w:t>
      </w:r>
      <w:r w:rsidRPr="003730B5">
        <w:rPr>
          <w:rFonts w:ascii="Times New Roman" w:hAnsi="Times New Roman"/>
          <w:color w:val="auto"/>
          <w:sz w:val="24"/>
        </w:rPr>
        <w:t>2023, stanoví se tímto přechodným ustanovením, že na majetek, u kterého poplatník využil možnost mimořádných odpisů, se právní úprava v dosavadním znění použije i nadále. Stejně tak se použije na technické zhodnocení provedené na tomto majetku, protože s takovým technických zhodnocením se zachází jinak než s technickým zhodnocením provedeném na majetku, který se odpisuje podle obecných ustanovení § 31 nebo 32, viz § 30a odst. 5 zákona o daních z příjmů v dosavadním znění.</w:t>
      </w:r>
    </w:p>
    <w:p w14:paraId="44CD14C0" w14:textId="77777777" w:rsidR="00133AC8" w:rsidRPr="003730B5" w:rsidRDefault="00133AC8" w:rsidP="00133AC8">
      <w:pPr>
        <w:keepNext/>
        <w:tabs>
          <w:tab w:val="num" w:pos="360"/>
        </w:tabs>
        <w:spacing w:before="120"/>
        <w:outlineLvl w:val="3"/>
        <w:rPr>
          <w:b/>
          <w:szCs w:val="24"/>
        </w:rPr>
      </w:pPr>
      <w:r w:rsidRPr="003730B5">
        <w:rPr>
          <w:szCs w:val="24"/>
          <w:u w:val="single"/>
        </w:rPr>
        <w:t>K bodu 8:</w:t>
      </w:r>
      <w:r w:rsidRPr="003730B5">
        <w:rPr>
          <w:b/>
          <w:szCs w:val="24"/>
        </w:rPr>
        <w:t> </w:t>
      </w:r>
    </w:p>
    <w:p w14:paraId="0AA1E8F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Přechodné ustanovení zajišťuje, aby se právní úprava v nově vkládaném § 30e zákona o daních z příjmů se neaplikovala na vozidla, která poplatník uvedl do stavu způsobilého obvyklému užívání nebo začal užívat jako předmět finančního leasingu před prvním dnem prvního zdaňovacího období započatého ode dne nabytí účinnosti tohoto zákona. Podle obecného přechodného ustanovení v bodě 1 a contrario se totiž tento zákon použije od prvního dne prvního zdaňovacího období započatého ode dne nabytí jeho účinnosti, v případě vozidla pořízeného již dříve se však použití nové právní úpravy vylučuje a výdaje s ním spojené se mohou uplatnit podle obecné úpravy, tedy podle standardního režimu se stanoví nejen jeho vstupní cena, ale také není omezena jeho zvýšená vstupní cena, změněná vstupní cena nebo zvýšená zůstatková cena při provedení technického zhodnocení, i když je toto technické zhodnocení provedeno až ve zdaňovacím období započatém ode dne nabytí účinnosti tohoto zákona. Obdobně se postupuje i v případě výdajů vynaložených na vozidlo uvedené do stavu způsobilého obvyklému užíváni nebo pořízené jako předmět finančního leasingu před prvním dnem prvního zdaňovacího období započatého ode dne nabytí účinnosti tohoto zákona, které jsou jiným majetkem podle § 26 odst. 3 písm. c) zákona o daních z příjmů.</w:t>
      </w:r>
    </w:p>
    <w:p w14:paraId="0073E038" w14:textId="77777777" w:rsidR="00133AC8" w:rsidRPr="003730B5" w:rsidRDefault="00133AC8" w:rsidP="00133AC8">
      <w:pPr>
        <w:keepNext/>
        <w:tabs>
          <w:tab w:val="num" w:pos="360"/>
        </w:tabs>
        <w:spacing w:before="120"/>
        <w:outlineLvl w:val="3"/>
        <w:rPr>
          <w:b/>
          <w:szCs w:val="24"/>
        </w:rPr>
      </w:pPr>
      <w:r w:rsidRPr="003730B5">
        <w:rPr>
          <w:szCs w:val="24"/>
          <w:u w:val="single"/>
        </w:rPr>
        <w:t>K bodu 9:</w:t>
      </w:r>
      <w:r w:rsidRPr="003730B5">
        <w:rPr>
          <w:b/>
          <w:szCs w:val="24"/>
        </w:rPr>
        <w:t> </w:t>
      </w:r>
    </w:p>
    <w:p w14:paraId="786D818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speciální přechodné ustanovení k obecnému přechodnému ustanovení v bodě 1. Vzhledem k tomu, že navrhovaná úprava sazby v § 36 odst. 5 zákona o daních z příjmů se týká dani vybírané srážkou podle zvláštní sazby daně, použitelnost nové sazby je již na příjmy </w:t>
      </w:r>
      <w:r w:rsidRPr="003730B5">
        <w:rPr>
          <w:rFonts w:ascii="Times New Roman" w:hAnsi="Times New Roman"/>
          <w:color w:val="auto"/>
          <w:sz w:val="24"/>
        </w:rPr>
        <w:lastRenderedPageBreak/>
        <w:t>plynoucí ode dne nabytí účinnosti tohoto zákona.</w:t>
      </w:r>
    </w:p>
    <w:p w14:paraId="1C103427" w14:textId="77777777" w:rsidR="00133AC8" w:rsidRPr="003730B5" w:rsidRDefault="00133AC8" w:rsidP="00133AC8">
      <w:pPr>
        <w:keepNext/>
        <w:tabs>
          <w:tab w:val="num" w:pos="360"/>
        </w:tabs>
        <w:spacing w:before="120"/>
        <w:outlineLvl w:val="3"/>
        <w:rPr>
          <w:b/>
          <w:szCs w:val="24"/>
        </w:rPr>
      </w:pPr>
      <w:r w:rsidRPr="003730B5">
        <w:rPr>
          <w:szCs w:val="24"/>
          <w:u w:val="single"/>
        </w:rPr>
        <w:t>K bodu 10:</w:t>
      </w:r>
      <w:r w:rsidRPr="003730B5">
        <w:rPr>
          <w:b/>
          <w:szCs w:val="24"/>
        </w:rPr>
        <w:t> </w:t>
      </w:r>
    </w:p>
    <w:p w14:paraId="34AD7C1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Toto přechodné ustanovení stanoví speciální úpravu k přechodnému ustanovení uvedenému v bodu 1, podle kterého se pro daňové povinnosti u daně z příjmů za zdaňovací období započatá přede dnem nabytí účinnosti tohoto zákona použije zákon o daních z příjmů ve znění účinném přede dnem nabytí účinnosti tohoto zákona. V případě podávání oznámení o příjmech podle novelizovaného § 38da zákona o daních z příjmů není nutné odkládat jeho aplikaci na další zdaňovací období, ale použije se na všechny příjmy, ze kterých je plátce daně povinen vybrat nebo srazit daň ode dne nabytí účinnosti tohoto zákona, nebo by ode dne nabytí účinnosti tohoto zákona byl povinen daň vybrat nebo srazit, kdyby daný příjem nebyl od daně osvobozen a podléhal by zdanění v České republice, bez ohledu na běh zdaňovacích období konkrétních poplatníků. Na příjmy, ze kterých je plátce daně povinen vybrat nebo srazit daň přede dnem nabytí účinnosti tohoto zákona, nebo by přede dnem nabytí účinnosti tohoto zákona byl povinen daň vybrat nebo srazit, kdyby daný příjem nebyl od daně osvobozen a podléhal by zdanění v České republice, se použije úprava obsažená v § 38da zákona o daních z příjmů v dosavadním znění, tedy i po nabytí účinnosti tohoto zákona se budou tyto příjmy oznamovat podle dosavadní právní úpravy.</w:t>
      </w:r>
    </w:p>
    <w:p w14:paraId="7E7E0924" w14:textId="77777777" w:rsidR="00133AC8" w:rsidRPr="003730B5" w:rsidRDefault="00133AC8" w:rsidP="00133AC8">
      <w:pPr>
        <w:keepNext/>
        <w:tabs>
          <w:tab w:val="num" w:pos="360"/>
        </w:tabs>
        <w:spacing w:before="120"/>
        <w:outlineLvl w:val="3"/>
        <w:rPr>
          <w:b/>
          <w:szCs w:val="24"/>
        </w:rPr>
      </w:pPr>
      <w:r w:rsidRPr="003730B5">
        <w:rPr>
          <w:szCs w:val="24"/>
          <w:u w:val="single"/>
        </w:rPr>
        <w:t>K bodu 11:</w:t>
      </w:r>
      <w:r w:rsidRPr="003730B5">
        <w:rPr>
          <w:b/>
          <w:szCs w:val="24"/>
        </w:rPr>
        <w:t> </w:t>
      </w:r>
    </w:p>
    <w:p w14:paraId="4431B04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změny navrhované v ustanovení § 38da odst. 3 zákona o daních z příjmů, kdy oznámení plátce daně o příjmech plynoucích ze zdrojů na území České republiky daňovému nerezidentovi, z nichž je daň vybírána srážkou, bude formulářovým podáním ve smyslu § 72 daňového řádu, se navrhuje přechodné ustanovení za účelem poskytnutí dostatečného časového prostoru pro řádné zajištění veškerých možných způsobů pro podání tohoto oznámení dle § 71 daňového řádu, ze strany správce daně.</w:t>
      </w:r>
    </w:p>
    <w:p w14:paraId="4144538F"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desáté – Změna zákona o pojistném na sociální zabezpečení a příspěvku na státní politiku zaměstnanosti</w:t>
      </w:r>
    </w:p>
    <w:p w14:paraId="75465E87" w14:textId="77777777" w:rsidR="00133AC8" w:rsidRPr="003730B5" w:rsidRDefault="00133AC8" w:rsidP="00133AC8">
      <w:pPr>
        <w:pStyle w:val="Dvodovzprva"/>
        <w:widowControl w:val="0"/>
        <w:spacing w:after="120"/>
        <w:outlineLvl w:val="3"/>
        <w:rPr>
          <w:rFonts w:ascii="Times New Roman" w:hAnsi="Times New Roman"/>
          <w:b/>
          <w:i/>
          <w:color w:val="auto"/>
          <w:sz w:val="24"/>
        </w:rPr>
      </w:pPr>
      <w:r w:rsidRPr="003730B5">
        <w:rPr>
          <w:rFonts w:ascii="Times New Roman" w:hAnsi="Times New Roman"/>
          <w:b/>
          <w:i/>
          <w:color w:val="auto"/>
          <w:sz w:val="24"/>
        </w:rPr>
        <w:t>Zvýšení pojistné sazby u zaměstnance</w:t>
      </w:r>
    </w:p>
    <w:p w14:paraId="27A5491F" w14:textId="7BCEE4A2"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Placení pojistného na nemocenské pojištění zaměstnanců bylo zavedeno zákonem o pojistném na sociální zabezpečení. Sazba pojistného činila 4,8 % z vyměřovacího základu zaměstnance, z toho platili zaměstnanci pojistné ve výši 1,2 % a zaměstnavatelé ve výši 3,6 %. V té době se z nemocenského pojištění poskytovaly tyto dávky: nemocenské, peněžitá pomoc v mateřství, podpora při ošetřování člena rodiny a vyrovnávací příspěvek v těhotenství a mateřství. </w:t>
      </w:r>
      <w:bookmarkStart w:id="10" w:name="_Hlk133412150"/>
      <w:r w:rsidRPr="003730B5">
        <w:rPr>
          <w:rFonts w:ascii="Times New Roman" w:hAnsi="Times New Roman"/>
          <w:color w:val="auto"/>
          <w:sz w:val="24"/>
        </w:rPr>
        <w:t>Výběr pojistného na nemocenské pojištění byl dlouhodobě vyšší než výdaje na dávky nemocenského pojištění, s výjimkou roků 2002-2003 a 2009, kdy došlo k významným parametrickým úpravám, a období let 2019 až 2022.</w:t>
      </w:r>
      <w:bookmarkEnd w:id="10"/>
    </w:p>
    <w:p w14:paraId="0AF2E948" w14:textId="77777777" w:rsidR="00133AC8" w:rsidRPr="003730B5" w:rsidRDefault="00133AC8" w:rsidP="00133AC8">
      <w:pPr>
        <w:pStyle w:val="Odstavecseseznamem"/>
        <w:ind w:left="0"/>
        <w:rPr>
          <w:b/>
          <w:bCs/>
        </w:rPr>
      </w:pPr>
      <w:r w:rsidRPr="003730B5">
        <w:rPr>
          <w:noProof/>
        </w:rPr>
        <w:drawing>
          <wp:inline distT="0" distB="0" distL="0" distR="0" wp14:anchorId="5BE05D26" wp14:editId="49625C96">
            <wp:extent cx="5760720" cy="14446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444625"/>
                    </a:xfrm>
                    <a:prstGeom prst="rect">
                      <a:avLst/>
                    </a:prstGeom>
                    <a:noFill/>
                    <a:ln>
                      <a:noFill/>
                    </a:ln>
                  </pic:spPr>
                </pic:pic>
              </a:graphicData>
            </a:graphic>
          </wp:inline>
        </w:drawing>
      </w:r>
    </w:p>
    <w:p w14:paraId="23EC196B" w14:textId="444839A9"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Sazba pro výpočet pojistného na nemocenské pojištění se postupně snižovala – na 4,4 % od roku 1996 (zaměstnavatelé 3,3 %, zaměstnanci 1,1 %), od roku 2009 v souvislosti s novým zákonem o nemocenském pojištění, kterým bylo zavedeno poskytování náhrady mzdy za </w:t>
      </w:r>
      <w:r w:rsidRPr="003730B5">
        <w:rPr>
          <w:rFonts w:ascii="Times New Roman" w:hAnsi="Times New Roman"/>
          <w:color w:val="auto"/>
          <w:sz w:val="24"/>
        </w:rPr>
        <w:lastRenderedPageBreak/>
        <w:t>prvních 14 kalendářních dnů trvání dočasné pracovní neschopnosti z prostředků zaměstnavatele namísto nemocenského, se sazba pojistného zaměstnavatelům snížila na 2,3 %. V souvislosti se znovuzavedením karenční doby a nálezem Ústavního soudu</w:t>
      </w:r>
      <w:r w:rsidRPr="003730B5">
        <w:rPr>
          <w:rFonts w:ascii="Times New Roman" w:hAnsi="Times New Roman"/>
          <w:color w:val="auto"/>
          <w:sz w:val="24"/>
        </w:rPr>
        <w:footnoteReference w:id="5"/>
      </w:r>
      <w:r w:rsidRPr="003730B5">
        <w:rPr>
          <w:rFonts w:ascii="Times New Roman" w:hAnsi="Times New Roman"/>
          <w:color w:val="auto"/>
          <w:sz w:val="24"/>
        </w:rPr>
        <w:t xml:space="preserve">, který konstatoval, že nelze připustit stav, aby převážná většina zaměstnanců zůstala po dobu prvních tří dnů dočasné pracovní neschopnosti bez jakýchkoliv prostředků, zatímco jejich povinnost platit pojistné zůstala nedotčena, byla i u zaměstnance s účinností od 1. </w:t>
      </w:r>
      <w:r w:rsidR="00D6156C" w:rsidRPr="003730B5">
        <w:rPr>
          <w:rFonts w:ascii="Times New Roman" w:hAnsi="Times New Roman"/>
          <w:color w:val="auto"/>
          <w:sz w:val="24"/>
        </w:rPr>
        <w:t>1.</w:t>
      </w:r>
      <w:r w:rsidRPr="003730B5">
        <w:rPr>
          <w:rFonts w:ascii="Times New Roman" w:hAnsi="Times New Roman"/>
          <w:color w:val="auto"/>
          <w:sz w:val="24"/>
        </w:rPr>
        <w:t xml:space="preserve"> 2009 snížena sazba pojistného na nemocenské pojištění, a </w:t>
      </w:r>
      <w:r w:rsidR="00434DA4" w:rsidRPr="003730B5">
        <w:rPr>
          <w:rFonts w:ascii="Times New Roman" w:hAnsi="Times New Roman"/>
          <w:color w:val="auto"/>
          <w:sz w:val="24"/>
        </w:rPr>
        <w:t>to ze 1,1</w:t>
      </w:r>
      <w:r w:rsidRPr="003730B5">
        <w:rPr>
          <w:rFonts w:ascii="Times New Roman" w:hAnsi="Times New Roman"/>
          <w:color w:val="auto"/>
          <w:sz w:val="24"/>
        </w:rPr>
        <w:t xml:space="preserve"> % na 1 %. Následně ovšem bylo z důvodu snižování daňového zatížení příjmů u fyzických osob Ministerstvem financí zvoleno namísto snížení základní sazby daně z příjmů, snížení pojistného na sociální pojištění u zaměstnanců, a to rovněž s účinností od 1. </w:t>
      </w:r>
      <w:r w:rsidR="00D6156C" w:rsidRPr="003730B5">
        <w:rPr>
          <w:rFonts w:ascii="Times New Roman" w:hAnsi="Times New Roman"/>
          <w:color w:val="auto"/>
          <w:sz w:val="24"/>
        </w:rPr>
        <w:t>1.</w:t>
      </w:r>
      <w:r w:rsidRPr="003730B5">
        <w:rPr>
          <w:rFonts w:ascii="Times New Roman" w:hAnsi="Times New Roman"/>
          <w:color w:val="auto"/>
          <w:sz w:val="24"/>
        </w:rPr>
        <w:t xml:space="preserve"> 2009. Od 1. </w:t>
      </w:r>
      <w:r w:rsidR="00D6156C" w:rsidRPr="003730B5">
        <w:rPr>
          <w:rFonts w:ascii="Times New Roman" w:hAnsi="Times New Roman"/>
          <w:color w:val="auto"/>
          <w:sz w:val="24"/>
        </w:rPr>
        <w:t>1.</w:t>
      </w:r>
      <w:r w:rsidRPr="003730B5">
        <w:rPr>
          <w:rFonts w:ascii="Times New Roman" w:hAnsi="Times New Roman"/>
          <w:color w:val="auto"/>
          <w:sz w:val="24"/>
        </w:rPr>
        <w:t xml:space="preserve"> 2009 tak zaměstnanec, jehož zaměstnání mu zakládá účast na nemocenském pojištění, není poplatníkem pojistného na nemocenské pojištění.</w:t>
      </w:r>
    </w:p>
    <w:p w14:paraId="3397E26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Nadále náležely z nemocenského pojištění uvedené 4 dávky, nemocenské však bylo poskytováno až od 15. dne dočasné pracovní neschopnosti. V roce 2009, tj. v prvním roce účinnosti nového zákona o nemocenském pojištění, převýšilo tempo poklesu příjmů z pojistného tempo poklesu výdajů na dávky nemocenského pojištění a finanční bilance nemocenského pojištění tak byla záporná. Následovala úsporná opatření na straně výdajů i příjmů systému nemocenského pojištění. Mimo jiné byla také sjednocena pojistná sazba osob samostatně výdělečně činných s pojistnou sazbou zaměstnavatelů. Spolu s postupným poklesem intenzity dočasné pracovní neschopnosti vedla tato opatření v následujících letech ke zlepšení finanční bilance. V roce 2012 bylo v systému nemocenského pojištění dosaženo nejvyššího přebytku od roku 2009 ve výši 5,5 mld. Kč. Uvolnění některých úsporných opatření a opětovný nárůst intenzity dočasné pracovní neschopnosti postupně vedly ke snížení vykazovaného přebytku, ten se pohyboval do roku 2017 včetně na úrovni 2-3 mld. Kč ročně. </w:t>
      </w:r>
    </w:p>
    <w:p w14:paraId="64D67784" w14:textId="3CC97EB3"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roce 2018 došlo ke zvýšení nemocenského od 31. kalendářního dne dočasné pracovní neschopnosti z 60 % na 66 % denního vyměřovacího základu a od 61. kalendářního dne dočasné pracovní neschopnosti z 60 % na 72 % denního vyměřovacího základu s účinností od 1. </w:t>
      </w:r>
      <w:r w:rsidR="00D6156C" w:rsidRPr="003730B5">
        <w:rPr>
          <w:rFonts w:ascii="Times New Roman" w:hAnsi="Times New Roman"/>
          <w:color w:val="auto"/>
          <w:sz w:val="24"/>
        </w:rPr>
        <w:t>1.</w:t>
      </w:r>
      <w:r w:rsidRPr="003730B5">
        <w:rPr>
          <w:rFonts w:ascii="Times New Roman" w:hAnsi="Times New Roman"/>
          <w:color w:val="auto"/>
          <w:sz w:val="24"/>
        </w:rPr>
        <w:t xml:space="preserve"> 2018 a k zavedení nových dávek nemocenského pojištění – dávky otcovské poporodní péče s účinností od 1. </w:t>
      </w:r>
      <w:r w:rsidR="00D6156C" w:rsidRPr="003730B5">
        <w:rPr>
          <w:rFonts w:ascii="Times New Roman" w:hAnsi="Times New Roman"/>
          <w:color w:val="auto"/>
          <w:sz w:val="24"/>
        </w:rPr>
        <w:t xml:space="preserve">2. </w:t>
      </w:r>
      <w:r w:rsidRPr="003730B5">
        <w:rPr>
          <w:rFonts w:ascii="Times New Roman" w:hAnsi="Times New Roman"/>
          <w:color w:val="auto"/>
          <w:sz w:val="24"/>
        </w:rPr>
        <w:t xml:space="preserve">2018 a dlouhodobého ošetřovného s účinností od 1. </w:t>
      </w:r>
      <w:r w:rsidR="00820D28" w:rsidRPr="003730B5">
        <w:rPr>
          <w:rFonts w:ascii="Times New Roman" w:hAnsi="Times New Roman"/>
          <w:color w:val="auto"/>
          <w:sz w:val="24"/>
        </w:rPr>
        <w:t>6.</w:t>
      </w:r>
      <w:r w:rsidRPr="003730B5">
        <w:rPr>
          <w:rFonts w:ascii="Times New Roman" w:hAnsi="Times New Roman"/>
          <w:color w:val="auto"/>
          <w:sz w:val="24"/>
        </w:rPr>
        <w:t xml:space="preserve"> 2018. Obě tyto nové dávky náleží, při splnění zákonem stanovených podmínek, nemocensky pojištěným zaměstnancům i osobám samostatně výdělečně činným. Efekt změn přijatých v roce 2018 se začal negativně projevovat ve vývoji finanční bilance nemocenského pojištění v roce 2019, kdy výdaje na nemocenské dávky vzrostly meziročně téměř o 5 mld. Kč. K prohloubení záporného salda bilance v tomto roce došlo v souvislosti se zrušením karenční doby a snížením sazby pojistného placeného zaměstnavateli na nemocenské pojištění na 2,1 % vyměřovacího základu od 1. </w:t>
      </w:r>
      <w:r w:rsidR="00D6156C" w:rsidRPr="003730B5">
        <w:rPr>
          <w:rFonts w:ascii="Times New Roman" w:hAnsi="Times New Roman"/>
          <w:color w:val="auto"/>
          <w:sz w:val="24"/>
        </w:rPr>
        <w:t xml:space="preserve">7. </w:t>
      </w:r>
      <w:r w:rsidRPr="003730B5">
        <w:rPr>
          <w:rFonts w:ascii="Times New Roman" w:hAnsi="Times New Roman"/>
          <w:color w:val="auto"/>
          <w:sz w:val="24"/>
        </w:rPr>
        <w:t>2019. Celkově dosáhl v roce 2019 deficit bilance nemocenského pojištění 3,0 mld. Kč.</w:t>
      </w:r>
    </w:p>
    <w:p w14:paraId="12B3EFD4" w14:textId="190E6B3A"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Dopad opatření přijatých v letech 2018 a 2019 se projevoval v deficitu finanční bilance rovněž v následujících letech, od března 2020 až do prvního čtvrtletí roku 2022 byl ovšem vývoj příjmů a výdajů nemocenského pojištění ovlivněn zejména pandemií onemocnění COVID-19 a souvisejícími legislativními úpravami, které vedly k zápornému saldu příjmů a výdajů nemocenského pojištění ve výši cca -21 mld. Kč v roce 2020 a cca -14 mld. Kč v roce 2021. V roce 2022 dosáhl deficit finanční bilance nemocenského pojištění cca 8 mld. Kč. Vedle uvedených vlivů se do výše tohoto deficitu promítly dopady prodloužení podpůrčí doby dávky otcovské poporodní péče z jednoho na dva týdny a úpravy podmínek poskytování ošetřovného a dlouhodobého ošetřovného od 1. </w:t>
      </w:r>
      <w:r w:rsidR="00D6156C" w:rsidRPr="003730B5">
        <w:rPr>
          <w:rFonts w:ascii="Times New Roman" w:hAnsi="Times New Roman"/>
          <w:color w:val="auto"/>
          <w:sz w:val="24"/>
        </w:rPr>
        <w:t>1.</w:t>
      </w:r>
      <w:r w:rsidRPr="003730B5">
        <w:rPr>
          <w:rFonts w:ascii="Times New Roman" w:hAnsi="Times New Roman"/>
          <w:color w:val="auto"/>
          <w:sz w:val="24"/>
        </w:rPr>
        <w:t xml:space="preserve"> 2022.</w:t>
      </w:r>
    </w:p>
    <w:p w14:paraId="1C044892" w14:textId="77777777" w:rsidR="00133AC8" w:rsidRPr="003730B5" w:rsidRDefault="00133AC8" w:rsidP="00133AC8">
      <w:pPr>
        <w:rPr>
          <w:rFonts w:ascii="Arial" w:hAnsi="Arial" w:cs="Arial"/>
          <w:i/>
          <w:iCs/>
          <w:szCs w:val="24"/>
        </w:rPr>
      </w:pPr>
      <w:r w:rsidRPr="003730B5">
        <w:rPr>
          <w:noProof/>
        </w:rPr>
        <w:lastRenderedPageBreak/>
        <w:drawing>
          <wp:inline distT="0" distB="0" distL="0" distR="0" wp14:anchorId="5D86C1E7" wp14:editId="15C9ABD6">
            <wp:extent cx="5760720" cy="5386705"/>
            <wp:effectExtent l="0" t="0" r="0" b="444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386705"/>
                    </a:xfrm>
                    <a:prstGeom prst="rect">
                      <a:avLst/>
                    </a:prstGeom>
                    <a:noFill/>
                    <a:ln>
                      <a:noFill/>
                    </a:ln>
                  </pic:spPr>
                </pic:pic>
              </a:graphicData>
            </a:graphic>
          </wp:inline>
        </w:drawing>
      </w:r>
    </w:p>
    <w:p w14:paraId="6B60D77D" w14:textId="77777777" w:rsidR="00133AC8" w:rsidRPr="003730B5" w:rsidRDefault="00133AC8" w:rsidP="00133AC8">
      <w:pPr>
        <w:pStyle w:val="Odstavecseseznamem"/>
        <w:ind w:left="0"/>
        <w:rPr>
          <w:rFonts w:ascii="Arial" w:hAnsi="Arial" w:cs="Arial"/>
          <w:i/>
          <w:iCs/>
          <w:szCs w:val="24"/>
        </w:rPr>
      </w:pPr>
    </w:p>
    <w:p w14:paraId="7D37B710" w14:textId="77777777" w:rsidR="00133AC8" w:rsidRPr="003730B5" w:rsidRDefault="00133AC8" w:rsidP="00133AC8">
      <w:pPr>
        <w:widowControl w:val="0"/>
        <w:spacing w:after="120"/>
      </w:pPr>
      <w:r w:rsidRPr="003730B5">
        <w:rPr>
          <w:noProof/>
        </w:rPr>
        <w:lastRenderedPageBreak/>
        <w:drawing>
          <wp:inline distT="0" distB="0" distL="0" distR="0" wp14:anchorId="74D20050" wp14:editId="3762F985">
            <wp:extent cx="5734050" cy="42672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4267200"/>
                    </a:xfrm>
                    <a:prstGeom prst="rect">
                      <a:avLst/>
                    </a:prstGeom>
                    <a:noFill/>
                    <a:ln>
                      <a:noFill/>
                    </a:ln>
                  </pic:spPr>
                </pic:pic>
              </a:graphicData>
            </a:graphic>
          </wp:inline>
        </w:drawing>
      </w:r>
    </w:p>
    <w:p w14:paraId="5D76ED4D" w14:textId="77777777" w:rsidR="00133AC8" w:rsidRPr="003730B5" w:rsidRDefault="00133AC8" w:rsidP="00133AC8">
      <w:pPr>
        <w:pStyle w:val="Odstavecseseznamem"/>
        <w:widowControl w:val="0"/>
        <w:spacing w:after="120"/>
        <w:ind w:left="0"/>
        <w:contextualSpacing w:val="0"/>
      </w:pPr>
      <w:r w:rsidRPr="003730B5">
        <w:t>Z výše uvedeného popisu je zřejmé, že v důsledku změn v oblasti dávek nemocenského pojištění provedeným v období od roku 2018 a vzhledem ke snížení pojistné sazby od poloviny roku 2019 převyšují výdaje na dávky nemocenského pojištění příjmy z pojistného i po odeznění dopadů pandemie onemocnění COVID-19. To dokládá i skutečnost, že v prvním čtvrtletí roku 2023 byla výše vybraného pojistného na nemocenské pojištění cca o 2 mld. Kč nižší než výdaje na dávky. Lze proto konstatovat, že výše pojistné sazby nadále nepokrývá rozsah finančního zabezpečení, který je pojištěncům poskytován v rámci nemocenského pojištění v případě nemoci, mateřství či otcovství a při ošetřování jiné osoby nebo péče o ni a že finanční bilance systému nemocenského pojištění by bez úpravy v oblasti pojistného vykazovala i v následujících letech výrazný deficit.</w:t>
      </w:r>
    </w:p>
    <w:p w14:paraId="367A92FE" w14:textId="77777777" w:rsidR="00133AC8" w:rsidRPr="003730B5" w:rsidRDefault="00133AC8" w:rsidP="00133AC8">
      <w:pPr>
        <w:pStyle w:val="Odstavecseseznamem"/>
        <w:widowControl w:val="0"/>
        <w:spacing w:after="120"/>
        <w:ind w:left="0"/>
        <w:contextualSpacing w:val="0"/>
      </w:pPr>
      <w:r w:rsidRPr="003730B5">
        <w:t xml:space="preserve">Ke zrušení placení pojistného na nemocenské pojištění zaměstnanci došlo od roku 2009 především v rámci snahy o snížení daňového zatížení fyzických osob, přičemž nebyla reflektována původní koncepce financování systému nemocenského pojištění s rozdělením placení pojistného mezi zaměstnance i zaměstnavatele. Zároveň přijaté významné úpravy v systému nemocenského pojištění, ke kterým od roku 2018 došlo jak na straně příjmů, tak výdajů nemocenského pojištění, vedly spolu s rostoucím počtem vyplacených dávek k situaci, kdy výdaje na dávky nemocenského pojištění výrazně převyšují příjmy z pojistného.  Navrhuje se proto v rámci úsporných opatření směřujících ke stabilizaci státního rozpočtu znovu zavést </w:t>
      </w:r>
      <w:bookmarkStart w:id="11" w:name="_Hlk134981070"/>
      <w:r w:rsidRPr="003730B5">
        <w:t>placení pojistného na nemocenské pojištění zaměstnanci se sazbou ve výši 0,6 % vyměřovacího základu. Zároveň se navrhuje zvýšení pojistné sazby na nemocenské pojištění u OSVČ z 2,1 % na 2,7 % vyměřovacího základu</w:t>
      </w:r>
      <w:bookmarkEnd w:id="11"/>
      <w:r w:rsidRPr="003730B5">
        <w:t>.</w:t>
      </w:r>
    </w:p>
    <w:p w14:paraId="1765E2F5" w14:textId="77777777" w:rsidR="00133AC8" w:rsidRPr="003730B5" w:rsidRDefault="00133AC8" w:rsidP="00133AC8">
      <w:pPr>
        <w:pStyle w:val="Dvodovzprva"/>
        <w:widowControl w:val="0"/>
        <w:spacing w:after="120"/>
        <w:outlineLvl w:val="3"/>
        <w:rPr>
          <w:rFonts w:ascii="Times New Roman" w:hAnsi="Times New Roman"/>
          <w:b/>
          <w:i/>
          <w:color w:val="auto"/>
          <w:sz w:val="24"/>
        </w:rPr>
      </w:pPr>
      <w:r w:rsidRPr="003730B5">
        <w:rPr>
          <w:rFonts w:ascii="Times New Roman" w:hAnsi="Times New Roman"/>
          <w:b/>
          <w:i/>
          <w:color w:val="auto"/>
          <w:sz w:val="24"/>
        </w:rPr>
        <w:t>Zvýšení procentní sazby pro stanovení výše pojistného a vyměřovacího základu pro osoby samostatně výdělečně činné</w:t>
      </w:r>
    </w:p>
    <w:p w14:paraId="3AC08BD3" w14:textId="77777777" w:rsidR="00133AC8" w:rsidRPr="003730B5" w:rsidRDefault="00133AC8" w:rsidP="00133AC8">
      <w:pPr>
        <w:pStyle w:val="Odstavecseseznamem"/>
        <w:widowControl w:val="0"/>
        <w:spacing w:after="120"/>
        <w:ind w:left="0"/>
        <w:contextualSpacing w:val="0"/>
      </w:pPr>
      <w:r w:rsidRPr="003730B5">
        <w:t xml:space="preserve">U osob samostatně výdělečně činných se za příjem považuje vyměřovací základ pro pojistné </w:t>
      </w:r>
      <w:r w:rsidRPr="003730B5">
        <w:lastRenderedPageBreak/>
        <w:t xml:space="preserve">na sociální zabezpečení za příslušný kalendářní rok. OSVČ si tento vyměřovací základ může stanovit sama, je však limitována tzv. </w:t>
      </w:r>
      <w:r w:rsidRPr="003730B5">
        <w:rPr>
          <w:i/>
        </w:rPr>
        <w:t>subjektivním</w:t>
      </w:r>
      <w:r w:rsidRPr="003730B5">
        <w:t xml:space="preserve"> a </w:t>
      </w:r>
      <w:r w:rsidRPr="003730B5">
        <w:rPr>
          <w:i/>
        </w:rPr>
        <w:t>objektivním minimem</w:t>
      </w:r>
      <w:r w:rsidRPr="003730B5">
        <w:t xml:space="preserve">. Subjektivní minimum je v současnosti zákonem stanoveno na úrovni 50 % daňového základu (tedy úhrnu příjmů po odpočtu výdajů) – vyměřovací základ, který si OSVČ určí, tedy nemůže poklesnout pod tuto úroveň odvozenou od jejích skutečných příjmů. Objektivní roční minimum je v současnosti zákonem stanoveno na úrovni 12násobku ¼ obecné průměrné mzdy (v roce 2023 jde o částku 8 065 Kč/měsíc, tedy 96 777 Kč/rok) – pokud by hodnota 50 % daňového základu OSVČ poklesla pod tuto úroveň, byla by OSVČ vykonávající hlavní samostatnou výdělečnou činnost povinna platit pojistné vyměřené alespoň z částky odpovídající objektivnímu minimu. </w:t>
      </w:r>
    </w:p>
    <w:p w14:paraId="07C0E7AF" w14:textId="77777777" w:rsidR="00133AC8" w:rsidRPr="003730B5" w:rsidRDefault="00133AC8" w:rsidP="00133AC8">
      <w:pPr>
        <w:pStyle w:val="Odstavecseseznamem"/>
        <w:widowControl w:val="0"/>
        <w:spacing w:after="120"/>
        <w:ind w:left="0"/>
        <w:contextualSpacing w:val="0"/>
      </w:pPr>
      <w:r w:rsidRPr="003730B5">
        <w:t xml:space="preserve">OSVČ vykonávající vedlejší samostatnou výdělečnou činnost je povinně účastna důchodového pojištění (tj. je povinna platit pojistné), pouze pokud daňový základ ze samostatné výdělečné činnosti dosáhne tzv. rozhodné částky, tedy 2,4násobku obecné průměrné mzdy (v roce 2022 jde o částku 93 387 Kč); objektivní roční minimum u těchto OSVČ je stanoveno na úrovni 12násobku 1/10 obecné průměrné mzdy (v roce 2022 jde o částku 3 892 Kč/měsíc, tedy 46 704 Kč/rok). </w:t>
      </w:r>
    </w:p>
    <w:p w14:paraId="0E84E9BD" w14:textId="77777777" w:rsidR="00133AC8" w:rsidRPr="003730B5" w:rsidRDefault="00133AC8" w:rsidP="00133AC8">
      <w:pPr>
        <w:pStyle w:val="Odstavecseseznamem"/>
        <w:widowControl w:val="0"/>
        <w:spacing w:after="120"/>
        <w:ind w:left="0"/>
        <w:contextualSpacing w:val="0"/>
      </w:pPr>
      <w:r w:rsidRPr="003730B5">
        <w:t xml:space="preserve">OSVČ, které si dlouhodobě určují vyměřovací základ pro pojistné pouze na úrovni výše uvedených minim a nevyužívají možnosti určit si jako vyměřovací základ podstatě vyšší částku, dosáhnou posléze na starobní důchod ve výši, kterou nelze označit jako důstojnou.         </w:t>
      </w:r>
    </w:p>
    <w:p w14:paraId="1C079DE0"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Navrhuje se změna výše vyměřovacího základu pro OSVČ pro pojistné na důchodové pojištění a příspěvku na státní politiku zaměstnanosti a současně změna měsíčního vyměřovacího základu OSVČ. Uvedené změny jsou navrhovány na základě doporučení Národní ekonomické rady vlády (</w:t>
      </w:r>
      <w:hyperlink r:id="rId14" w:history="1">
        <w:r w:rsidRPr="003730B5">
          <w:rPr>
            <w:rStyle w:val="Hypertextovodkaz"/>
            <w:rFonts w:ascii="Times New Roman" w:hAnsi="Times New Roman"/>
            <w:sz w:val="24"/>
            <w:szCs w:val="24"/>
          </w:rPr>
          <w:t>Navrhy-NERV-na-snizeni-vydaju-a-zvyseni-prijmu.pdf (vlada.cz)</w:t>
        </w:r>
      </w:hyperlink>
      <w:r w:rsidRPr="003730B5">
        <w:rPr>
          <w:rFonts w:ascii="Times New Roman" w:hAnsi="Times New Roman"/>
          <w:sz w:val="24"/>
          <w:szCs w:val="24"/>
        </w:rPr>
        <w:t xml:space="preserve"> a doporučení poradního týmu pro přípravu důchodové reformy (</w:t>
      </w:r>
      <w:hyperlink r:id="rId15" w:history="1">
        <w:r w:rsidRPr="003730B5">
          <w:rPr>
            <w:rStyle w:val="Hypertextovodkaz"/>
            <w:rFonts w:ascii="Times New Roman" w:hAnsi="Times New Roman"/>
            <w:sz w:val="24"/>
            <w:szCs w:val="24"/>
          </w:rPr>
          <w:t>Důchodová reforma (mpsv.cz)</w:t>
        </w:r>
      </w:hyperlink>
      <w:r w:rsidRPr="003730B5">
        <w:rPr>
          <w:rFonts w:ascii="Times New Roman" w:hAnsi="Times New Roman"/>
          <w:sz w:val="24"/>
          <w:szCs w:val="24"/>
        </w:rPr>
        <w:t xml:space="preserve">. </w:t>
      </w:r>
    </w:p>
    <w:p w14:paraId="6B406646"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Návrh zákona tak reaguje na jedno z doporučení uvedených ve studii OECD z roku 2020 o stavu českého důchodového systému: zvýšit vyměřovací základ OSVČ pro odvod pojistného na důchodové pojištění s cílem lépe sladit odvody pojistného na sociální zabezpečení a nároky na dávky z důchodového pojištění</w:t>
      </w:r>
      <w:r w:rsidRPr="003730B5">
        <w:rPr>
          <w:rFonts w:ascii="Times New Roman" w:hAnsi="Times New Roman"/>
          <w:color w:val="FF0000"/>
          <w:sz w:val="24"/>
          <w:szCs w:val="24"/>
        </w:rPr>
        <w:t xml:space="preserve"> </w:t>
      </w:r>
      <w:r w:rsidRPr="003730B5">
        <w:rPr>
          <w:rFonts w:ascii="Times New Roman" w:hAnsi="Times New Roman"/>
          <w:sz w:val="24"/>
          <w:szCs w:val="24"/>
        </w:rPr>
        <w:t xml:space="preserve">mezi zaměstnanci a OSVČ s podobnými výdělky. Zvýšením vyměřovacího základu pro stanovení výše pojistného na sociální zabezpečení placeného OSVČ dojde k zajištění důstojné výše budoucího důchodu i pro tyto osoby. </w:t>
      </w:r>
    </w:p>
    <w:p w14:paraId="20A08BB6"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OSVČ získávají nároky na nižší důchod, protože mají nízký vyměřovací základ. V souladu s návrhem poradního týmu pro přípravu důchodové reformy by měl být vyměřovací základ zvýšen ze současných 50 % na 55 % zisku, aby se dosáhlo vyšší harmonizace s ekvivalentem hrubých mezd. Toto zvýšení by také snížilo nerovnost mezi různými formami výdělečné činnosti a omezilo zneužívání samostatné výdělečné činnosti ke snížení nákladů na pracovní sílu, k čemuž může docházet v budoucnu, kdy na důležitosti získají nové formy pracovních vztahů. Je opodstatněné vyhnout se podpoře samostatné výdělečné činnosti prostřednictvím nižších odvodů, které vedou k nižším důchodovým nárokům. Existuje-li politická vůle podporovat samostatnou výdělečnou činnost, každou takovou podporu, která je dnes realizována rozdílem mezi odvody OSVČ a zaměstnanců s podobným příjmem, je dobré financovat explicitně prostřednictvím daňového systému. Zvýšení vyměřovacího základu pro důchodové pojištění může někdo vnímat jako generování příliš vysoké zátěže na straně odvodů placených OSVČ. Nižší odvody, které vytvářejí nižší důchodové nároky, by však neměly být používány jako nástroj na podporu samostatné výdělečné činnosti. Náklady na jakoukoli podporu samostatné výdělečné činnosti by měly být transparentní formou dotování části těchto lépe harmonizovaných odvodů prostřednictvím obecného zdanění.</w:t>
      </w:r>
    </w:p>
    <w:p w14:paraId="4A1C7765"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 xml:space="preserve">Osoby, které podstatnou část své kariéry vykonávaly samostatnou výdělečnou činnost, jsou nadprůměrně zastoupeny mezi osobami s velmi nízkými důchody, tyto osoby mají nízký osobní vyměřovací základ (celoživotní průměr vyměřovacího základů pro pojistné na sociální </w:t>
      </w:r>
      <w:r w:rsidRPr="003730B5">
        <w:rPr>
          <w:rFonts w:ascii="Times New Roman" w:hAnsi="Times New Roman"/>
          <w:sz w:val="24"/>
          <w:szCs w:val="24"/>
        </w:rPr>
        <w:lastRenderedPageBreak/>
        <w:t>pojištění). V souladu s doporučením poradního týmu pro důchodovou reformu se navrhuje vyměřovací základ zvýšit ze současných 50 % na 55 % daňového základu, aby se dosáhlo vyšší harmonizace s ekvivalentem hrubých mezd a důchody osob vykonávajících podstatnou část své kariéry samostatnou výdělečnou činnost se částečně přiblížily úrovni důchodů zaměstnanců. Toto zvýšení by také snížilo nerovnost ekonomických nákladů na pracovní sílu mezi různými formami výdělečné činnosti a omezilo motivaci pro nadměrné využívání institutu samostatné výdělečné činnosti, což indikují údaje mezinárodních srovnání o zastoupení OSVČ mezi výdělečně činnými osobami. Důležitost snížení rozdílů v nákladech se bude v budoucnu zvyšovat, protože na důležitosti získávají nové více flexibilní formy výdělečné činnosti.</w:t>
      </w:r>
    </w:p>
    <w:p w14:paraId="411D32F6"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Vyměřovací základ OSVČ nemůže činit méně než 55 % jejího daňového základu. Měsíční vyměřovací základ OSVČ vykonávající hlavní samostatnou výdělečnou činnost bude činit nejméně 40 % obecné průměrné mzdy. Měsíční vyměřovací základ OSVČ vykonávající vedlejší samostatnou výdělečnou činnost bude činit nejméně 11 % obecné průměrné mzdy. Smyslem tohoto opatření je zachovat adekvátní podíl OSVČ na financování důchodového systému, která zajišťuje každé osobě, která splnila podmínku potřebné doby pojištění, nárok na starobní důchod v důstojné výši.</w:t>
      </w:r>
    </w:p>
    <w:p w14:paraId="1838D5F8"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Pro OSVČ platí stejné podmínky pro nárok na důchod, jeho poskytování a stanovení jeho výše jako pro zaměstnance. Pouze základ pro odvod pojistného na sociální zabezpečení a následně pro výpočet důchodu není stanoven ze skutečně dosahovaných příjmů (z daňového základu) jako u zaměstnance, ale postup při stanovení výše tohoto základu je, jak výše uvedeno, stanoven odchylným způsobem; tento způsob je dán charakterem postavení OSVČ ve společnosti, kdy se předpokládá, že tyto osoby jsou schopny samy (popř. za využití služeb odborných poradců) vyhodnotit své finanční možnosti a tomu přizpůsobit výši svých příspěvků do důchodového systému. Podpora podnikání realizovaná prostřednictvím nižších odvodů pro důchodové pojištění se negativně projevuje nejen v nižším výběru pojistného od OSVČ ve srovnání se zaměstnanci, ale i v jejich nízkých důchodech, které v praxi neodpovídají dříve dosahovaným příjmům.</w:t>
      </w:r>
    </w:p>
    <w:p w14:paraId="57755353"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OECD své doporučení ke změně vyměřovacího základu OSVČ opírá především o výše uvedenou skutečnost, že ve srovnání se zaměstnanci OSVČ platí nižší pojistné. To má podle OECD dva důvody. Zaprvé, zákon o dani z příjmu umožňuje OSVČ odečíst pro stanovení daňového základu z dosažených příjmů paušální náklady ve výši od 30 % do 80 % (v závislosti na typu vykonávané samostatné výdělečné činnosti), čímž se eliminuje potřeba nákladového účetnictví. Toto zjednodušené řešení sice snižuje administrativní zátěž pro OSVČ, což je podle OECD velmi na místě u osob s nízkými příjmy, ale také u řady z nich snižuje daně a pojistné na důchodové pojištění, srovnáme-li je se zaměstnanci s podobnými výdělky. Zadruhé, základ pro pojistné na sociální zabezpečení je stanoven jako 50 % ze zisku (a minimální vyměřovací základ je 25 % obecné průměrné mzdy).</w:t>
      </w:r>
    </w:p>
    <w:p w14:paraId="4B0A74E3"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Lepší harmonizace odvodů zaměstnanců a OSVČ lze podle OECD dosáhnout přiblížením vyměřovacího základu k ekvivalentu hrubé mzdy zaměstnanců. U zaměstnance se celkové náklady práce rovnají hrubé mzdě a odvodům zaměstnavatele na sociální zabezpečení, což je v České republice 33,8 %. Hrubá mzda se tedy rovná 100/133,8 = 74,7 % nákladů práce. Vyjde-li se z předpokladu, že zisk OSVČ a celkové mzdové náklady zaměstnance jsou rovnocenné, úplná harmonizace by znamenala, že by vyměřovací základ OSVČ v České republice měl podle OECD činit 74,7 % ze zisku.</w:t>
      </w:r>
    </w:p>
    <w:p w14:paraId="6B330B38"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 xml:space="preserve">OSVČ, která nevykonávala alespoň v předcházejících 20 kalendářních letech samostatnou výdělečnou činnost, před zahájením hlavní samostatné výdělečné činnosti (tzn., nebyla evidována v registru České správy sociálního zabezpečení jako OSVČ) bude v prvních dvou kalendářních letech zvýhodněna nižší procentní sazbou pro stanovení měsíčního vyměřovacího </w:t>
      </w:r>
      <w:r w:rsidRPr="003730B5">
        <w:rPr>
          <w:rFonts w:ascii="Times New Roman" w:hAnsi="Times New Roman"/>
          <w:sz w:val="24"/>
          <w:szCs w:val="24"/>
        </w:rPr>
        <w:lastRenderedPageBreak/>
        <w:t xml:space="preserve">základu. Jedná se o dočasnou ekonomickou podporu při zahájení hlavní samostatné výdělečné činnosti, kdy OSVČ je zatížena prvotními náklady a zatím nemusí generovat zisk ke zdanění.  </w:t>
      </w:r>
    </w:p>
    <w:p w14:paraId="20424C9F" w14:textId="77777777" w:rsidR="00133AC8" w:rsidRPr="003730B5" w:rsidRDefault="00133AC8" w:rsidP="00133AC8">
      <w:pPr>
        <w:pStyle w:val="Bezmezer"/>
        <w:keepNext/>
        <w:spacing w:after="120"/>
        <w:rPr>
          <w:rFonts w:ascii="Times New Roman" w:hAnsi="Times New Roman"/>
          <w:b/>
          <w:sz w:val="24"/>
          <w:szCs w:val="24"/>
        </w:rPr>
      </w:pPr>
      <w:r w:rsidRPr="003730B5">
        <w:rPr>
          <w:rFonts w:ascii="Times New Roman" w:hAnsi="Times New Roman"/>
          <w:b/>
          <w:sz w:val="24"/>
          <w:szCs w:val="24"/>
        </w:rPr>
        <w:t>Graf č. 1</w:t>
      </w:r>
    </w:p>
    <w:p w14:paraId="2A822B2E" w14:textId="77777777" w:rsidR="00133AC8" w:rsidRPr="003730B5" w:rsidRDefault="00133AC8" w:rsidP="00133AC8">
      <w:pPr>
        <w:pBdr>
          <w:top w:val="single" w:sz="4" w:space="1" w:color="auto"/>
          <w:left w:val="single" w:sz="4" w:space="4" w:color="auto"/>
          <w:bottom w:val="single" w:sz="4" w:space="1" w:color="auto"/>
          <w:right w:val="single" w:sz="4" w:space="4" w:color="auto"/>
        </w:pBdr>
        <w:spacing w:after="120"/>
        <w:rPr>
          <w:szCs w:val="24"/>
        </w:rPr>
      </w:pPr>
      <w:r w:rsidRPr="003730B5">
        <w:rPr>
          <w:noProof/>
        </w:rPr>
        <w:drawing>
          <wp:inline distT="0" distB="0" distL="0" distR="0" wp14:anchorId="6B0B31EA" wp14:editId="2786CC9B">
            <wp:extent cx="5669280" cy="3620770"/>
            <wp:effectExtent l="0" t="0" r="7620" b="0"/>
            <wp:docPr id="7" name="Obrázek 7" descr="cid:image001.png@01D930B2.2B5B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30B2.2B5B359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669280" cy="3620770"/>
                    </a:xfrm>
                    <a:prstGeom prst="rect">
                      <a:avLst/>
                    </a:prstGeom>
                    <a:noFill/>
                    <a:ln>
                      <a:noFill/>
                    </a:ln>
                  </pic:spPr>
                </pic:pic>
              </a:graphicData>
            </a:graphic>
          </wp:inline>
        </w:drawing>
      </w:r>
    </w:p>
    <w:p w14:paraId="5EBF5F1F" w14:textId="77777777" w:rsidR="00133AC8" w:rsidRPr="003730B5" w:rsidRDefault="00133AC8" w:rsidP="00133AC8">
      <w:pPr>
        <w:pStyle w:val="Bezmezer"/>
        <w:spacing w:after="120"/>
        <w:rPr>
          <w:rFonts w:ascii="Times New Roman" w:hAnsi="Times New Roman"/>
          <w:szCs w:val="24"/>
        </w:rPr>
      </w:pPr>
      <w:r w:rsidRPr="003730B5">
        <w:rPr>
          <w:rFonts w:ascii="Times New Roman" w:hAnsi="Times New Roman"/>
          <w:szCs w:val="24"/>
        </w:rPr>
        <w:t xml:space="preserve">Grafem č. 1 je vyjádřen podíl OSVČ platících zálohy na pojistné na důchodové pojištění s rozdělením na OSVČ vykonávající hlavní a vedlejší výdělečnou činnost za období 2017 - 2022.   </w:t>
      </w:r>
    </w:p>
    <w:p w14:paraId="6EB1192D" w14:textId="77777777" w:rsidR="00133AC8" w:rsidRPr="003730B5" w:rsidRDefault="00133AC8" w:rsidP="00133AC8">
      <w:pPr>
        <w:pStyle w:val="Bezmezer"/>
        <w:spacing w:after="120"/>
        <w:rPr>
          <w:rFonts w:ascii="Times New Roman" w:hAnsi="Times New Roman"/>
          <w:b/>
          <w:sz w:val="24"/>
          <w:szCs w:val="24"/>
        </w:rPr>
      </w:pPr>
      <w:r w:rsidRPr="003730B5">
        <w:rPr>
          <w:rFonts w:ascii="Times New Roman" w:hAnsi="Times New Roman"/>
          <w:b/>
          <w:sz w:val="24"/>
          <w:szCs w:val="24"/>
        </w:rPr>
        <w:t>Graf č. 2</w:t>
      </w:r>
    </w:p>
    <w:p w14:paraId="1B1FC94A" w14:textId="77777777" w:rsidR="00133AC8" w:rsidRPr="003730B5" w:rsidRDefault="00133AC8" w:rsidP="00133AC8">
      <w:pPr>
        <w:pBdr>
          <w:top w:val="single" w:sz="4" w:space="1" w:color="auto"/>
          <w:left w:val="single" w:sz="4" w:space="4" w:color="auto"/>
          <w:bottom w:val="single" w:sz="4" w:space="1" w:color="auto"/>
          <w:right w:val="single" w:sz="4" w:space="4" w:color="auto"/>
        </w:pBdr>
        <w:spacing w:after="120"/>
        <w:rPr>
          <w:color w:val="000000" w:themeColor="text1"/>
          <w:szCs w:val="24"/>
        </w:rPr>
      </w:pPr>
      <w:r w:rsidRPr="003730B5">
        <w:rPr>
          <w:noProof/>
        </w:rPr>
        <w:drawing>
          <wp:inline distT="0" distB="0" distL="0" distR="0" wp14:anchorId="79640DAD" wp14:editId="0E6DAEF8">
            <wp:extent cx="5683885" cy="2984500"/>
            <wp:effectExtent l="0" t="0" r="0" b="6350"/>
            <wp:docPr id="6" name="Obrázek 6" descr="cid:image002.png@01D930B2.2B5B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930B2.2B5B359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683885" cy="2984500"/>
                    </a:xfrm>
                    <a:prstGeom prst="rect">
                      <a:avLst/>
                    </a:prstGeom>
                    <a:noFill/>
                    <a:ln>
                      <a:noFill/>
                    </a:ln>
                  </pic:spPr>
                </pic:pic>
              </a:graphicData>
            </a:graphic>
          </wp:inline>
        </w:drawing>
      </w:r>
    </w:p>
    <w:p w14:paraId="2D79CBC3" w14:textId="77777777" w:rsidR="00133AC8" w:rsidRPr="003730B5" w:rsidRDefault="00133AC8" w:rsidP="00133AC8">
      <w:pPr>
        <w:pStyle w:val="Bezmezer"/>
        <w:spacing w:after="120"/>
        <w:rPr>
          <w:rFonts w:ascii="Times New Roman" w:hAnsi="Times New Roman"/>
          <w:szCs w:val="24"/>
        </w:rPr>
      </w:pPr>
      <w:r w:rsidRPr="003730B5">
        <w:rPr>
          <w:rFonts w:ascii="Times New Roman" w:hAnsi="Times New Roman"/>
          <w:szCs w:val="24"/>
        </w:rPr>
        <w:t xml:space="preserve">Graf č. 2 vyjadřuje podíl průměrného vyměřovacího základu důchodově pojištěné OSVČ vůči průměrnému vyměřovacímu základu zaměstnance za období 1994 – 2021. Z uvedeného srovnání lze konstatovat, že průměrný vyměřovací základ OSVČ nedosahujeme ani 50 % průměrného vyměřovacího základu zaměstnance. </w:t>
      </w:r>
    </w:p>
    <w:p w14:paraId="348AD44D" w14:textId="59344D83"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lastRenderedPageBreak/>
        <w:t xml:space="preserve">Pro OSVČ která bude nově zahajovat výkon hlavní samostatné výdělečné činnosti a tuto samostatnou výdělečnou činnost v uplynulých 20 kalendářních letech nevykonávala, je nově navrhován měsíční vyměřovací základ nejméně 25 % průměrné mzdy platné pro daný kalendářní rok, a to po dobu prvních dvou kalendářních let od zahájení podnikání. Cílem je podpořit osoby, které dosud hlavní samostatnou výdělečnou činnost vykonávají poprvé nebo po velmi dlouhé době, tzn., nebyly evidovány v registru České správy sociálního zabezpečení jako OSVČ činné 20 kalendářních let před opětovným zahájením samostatné výdělečné činnosti. Tyto osoby jsou v kalendářním roce, ve kterém samostatnou výdělečnou činnost zahájí a kalendářním roce následujícím, po dobu, po kterou budou vykonávat samostatnou výdělečnou činnost jako hlavní činnost, zvýhodněny nižší procentní sazbou pro stanovení měsíčního vyměřovacího základu. Jedná se o dočasnou ekonomickou podporu při zahájení hlavní samostatné výdělečné činnosti, kdy OSVČ je zatížena prvotními náklady a zatím nemusí generovat zisk ke zdanění. Současně dochází ke změně v povinnosti platit zálohy na pojistné na důchodové pojištění v nové minimální výši již od 1. </w:t>
      </w:r>
      <w:r w:rsidR="00D6156C" w:rsidRPr="003730B5">
        <w:rPr>
          <w:rFonts w:ascii="Times New Roman" w:hAnsi="Times New Roman"/>
          <w:sz w:val="24"/>
          <w:szCs w:val="24"/>
        </w:rPr>
        <w:t>1.</w:t>
      </w:r>
      <w:r w:rsidRPr="003730B5">
        <w:rPr>
          <w:rFonts w:ascii="Times New Roman" w:hAnsi="Times New Roman"/>
          <w:sz w:val="24"/>
          <w:szCs w:val="24"/>
        </w:rPr>
        <w:t xml:space="preserve"> daného kalendářního roku. </w:t>
      </w:r>
    </w:p>
    <w:p w14:paraId="4CFF6D5B" w14:textId="77777777" w:rsidR="00133AC8" w:rsidRPr="003730B5" w:rsidRDefault="00133AC8" w:rsidP="00133AC8">
      <w:pPr>
        <w:pStyle w:val="Bezmezer"/>
        <w:spacing w:after="120"/>
        <w:rPr>
          <w:rFonts w:ascii="Times New Roman" w:hAnsi="Times New Roman"/>
          <w:b/>
          <w:sz w:val="24"/>
          <w:szCs w:val="24"/>
          <w:u w:val="single"/>
        </w:rPr>
      </w:pPr>
      <w:r w:rsidRPr="003730B5">
        <w:rPr>
          <w:rFonts w:ascii="Times New Roman" w:hAnsi="Times New Roman"/>
          <w:b/>
          <w:sz w:val="24"/>
          <w:szCs w:val="24"/>
          <w:u w:val="single"/>
        </w:rPr>
        <w:t>Stav po nabytí účinnosti předkládané změny zákona</w:t>
      </w:r>
    </w:p>
    <w:p w14:paraId="7E131EA9"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 xml:space="preserve">Minimální roční vyměřovací základ pro pojistné na důchodové pojištění placené OSVČ se zvýší z dosavadních 50 % daňového základu na 55 %. </w:t>
      </w:r>
    </w:p>
    <w:p w14:paraId="3E8C3B19" w14:textId="443CAC12"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 xml:space="preserve">Vyměřovací základ stanovený podle § 5b odst. 1 zákona </w:t>
      </w:r>
      <w:r w:rsidR="00A42930" w:rsidRPr="003730B5">
        <w:rPr>
          <w:rFonts w:ascii="Times New Roman" w:hAnsi="Times New Roman"/>
          <w:sz w:val="24"/>
          <w:szCs w:val="24"/>
        </w:rPr>
        <w:t>o </w:t>
      </w:r>
      <w:r w:rsidR="008D5875" w:rsidRPr="003730B5">
        <w:rPr>
          <w:rFonts w:ascii="Times New Roman" w:hAnsi="Times New Roman"/>
          <w:sz w:val="24"/>
          <w:szCs w:val="24"/>
        </w:rPr>
        <w:t>pojistném na sociální zabezpečení</w:t>
      </w:r>
      <w:r w:rsidR="008D5875" w:rsidRPr="003730B5" w:rsidDel="008D5875">
        <w:rPr>
          <w:rFonts w:ascii="Times New Roman" w:hAnsi="Times New Roman"/>
          <w:sz w:val="24"/>
          <w:szCs w:val="24"/>
        </w:rPr>
        <w:t xml:space="preserve"> </w:t>
      </w:r>
      <w:r w:rsidRPr="003730B5">
        <w:rPr>
          <w:rFonts w:ascii="Times New Roman" w:hAnsi="Times New Roman"/>
          <w:sz w:val="24"/>
          <w:szCs w:val="24"/>
        </w:rPr>
        <w:t xml:space="preserve">byl naposledy zvýšen na základě zákona č. 425/2003 Sb., </w:t>
      </w:r>
      <w:r w:rsidR="008D5875" w:rsidRPr="003730B5">
        <w:rPr>
          <w:rFonts w:ascii="Times New Roman" w:hAnsi="Times New Roman"/>
          <w:sz w:val="24"/>
          <w:szCs w:val="24"/>
        </w:rPr>
        <w:t xml:space="preserve">kterým se mění zákon </w:t>
      </w:r>
      <w:r w:rsidR="00A42930" w:rsidRPr="003730B5">
        <w:rPr>
          <w:rFonts w:ascii="Times New Roman" w:hAnsi="Times New Roman"/>
          <w:sz w:val="24"/>
          <w:szCs w:val="24"/>
        </w:rPr>
        <w:t>č. </w:t>
      </w:r>
      <w:r w:rsidR="008D5875" w:rsidRPr="003730B5">
        <w:rPr>
          <w:rFonts w:ascii="Times New Roman" w:hAnsi="Times New Roman"/>
          <w:sz w:val="24"/>
          <w:szCs w:val="24"/>
        </w:rPr>
        <w:t xml:space="preserve">155/1995 Sb., </w:t>
      </w:r>
      <w:r w:rsidR="00A42930" w:rsidRPr="003730B5">
        <w:rPr>
          <w:rFonts w:ascii="Times New Roman" w:hAnsi="Times New Roman"/>
          <w:sz w:val="24"/>
          <w:szCs w:val="24"/>
        </w:rPr>
        <w:t>o </w:t>
      </w:r>
      <w:r w:rsidR="008D5875" w:rsidRPr="003730B5">
        <w:rPr>
          <w:rFonts w:ascii="Times New Roman" w:hAnsi="Times New Roman"/>
          <w:sz w:val="24"/>
          <w:szCs w:val="24"/>
        </w:rPr>
        <w:t xml:space="preserve">důchodovém pojištění, ve znění pozdějších předpisů, zákon </w:t>
      </w:r>
      <w:r w:rsidR="00A42930" w:rsidRPr="003730B5">
        <w:rPr>
          <w:rFonts w:ascii="Times New Roman" w:hAnsi="Times New Roman"/>
          <w:sz w:val="24"/>
          <w:szCs w:val="24"/>
        </w:rPr>
        <w:t>č. </w:t>
      </w:r>
      <w:r w:rsidR="008D5875" w:rsidRPr="003730B5">
        <w:rPr>
          <w:rFonts w:ascii="Times New Roman" w:hAnsi="Times New Roman"/>
          <w:sz w:val="24"/>
          <w:szCs w:val="24"/>
        </w:rPr>
        <w:t xml:space="preserve">589/1992 Sb., </w:t>
      </w:r>
      <w:r w:rsidR="00A42930" w:rsidRPr="003730B5">
        <w:rPr>
          <w:rFonts w:ascii="Times New Roman" w:hAnsi="Times New Roman"/>
          <w:sz w:val="24"/>
          <w:szCs w:val="24"/>
        </w:rPr>
        <w:t>o </w:t>
      </w:r>
      <w:r w:rsidR="008D5875" w:rsidRPr="003730B5">
        <w:rPr>
          <w:rFonts w:ascii="Times New Roman" w:hAnsi="Times New Roman"/>
          <w:sz w:val="24"/>
          <w:szCs w:val="24"/>
        </w:rPr>
        <w:t xml:space="preserve">pojistném na sociální zabezpečení </w:t>
      </w:r>
      <w:r w:rsidR="00A42930" w:rsidRPr="003730B5">
        <w:rPr>
          <w:rFonts w:ascii="Times New Roman" w:hAnsi="Times New Roman"/>
          <w:sz w:val="24"/>
          <w:szCs w:val="24"/>
        </w:rPr>
        <w:t>a </w:t>
      </w:r>
      <w:r w:rsidR="008D5875" w:rsidRPr="003730B5">
        <w:rPr>
          <w:rFonts w:ascii="Times New Roman" w:hAnsi="Times New Roman"/>
          <w:sz w:val="24"/>
          <w:szCs w:val="24"/>
        </w:rPr>
        <w:t xml:space="preserve">příspěvku na státní politiku zaměstnanosti, ve znění pozdějších předpisů, zákon </w:t>
      </w:r>
      <w:r w:rsidR="00A42930" w:rsidRPr="003730B5">
        <w:rPr>
          <w:rFonts w:ascii="Times New Roman" w:hAnsi="Times New Roman"/>
          <w:sz w:val="24"/>
          <w:szCs w:val="24"/>
        </w:rPr>
        <w:t>č. </w:t>
      </w:r>
      <w:r w:rsidR="008D5875" w:rsidRPr="003730B5">
        <w:rPr>
          <w:rFonts w:ascii="Times New Roman" w:hAnsi="Times New Roman"/>
          <w:sz w:val="24"/>
          <w:szCs w:val="24"/>
        </w:rPr>
        <w:t xml:space="preserve">582/1991 Sb., </w:t>
      </w:r>
      <w:r w:rsidR="00A42930" w:rsidRPr="003730B5">
        <w:rPr>
          <w:rFonts w:ascii="Times New Roman" w:hAnsi="Times New Roman"/>
          <w:sz w:val="24"/>
          <w:szCs w:val="24"/>
        </w:rPr>
        <w:t>o </w:t>
      </w:r>
      <w:r w:rsidR="008D5875" w:rsidRPr="003730B5">
        <w:rPr>
          <w:rFonts w:ascii="Times New Roman" w:hAnsi="Times New Roman"/>
          <w:sz w:val="24"/>
          <w:szCs w:val="24"/>
        </w:rPr>
        <w:t xml:space="preserve">organizaci </w:t>
      </w:r>
      <w:r w:rsidR="00A42930" w:rsidRPr="003730B5">
        <w:rPr>
          <w:rFonts w:ascii="Times New Roman" w:hAnsi="Times New Roman"/>
          <w:sz w:val="24"/>
          <w:szCs w:val="24"/>
        </w:rPr>
        <w:t>a </w:t>
      </w:r>
      <w:r w:rsidR="008D5875" w:rsidRPr="003730B5">
        <w:rPr>
          <w:rFonts w:ascii="Times New Roman" w:hAnsi="Times New Roman"/>
          <w:sz w:val="24"/>
          <w:szCs w:val="24"/>
        </w:rPr>
        <w:t xml:space="preserve">provádění sociálního zabezpečení, ve znění pozdějších předpisů, </w:t>
      </w:r>
      <w:r w:rsidR="00A42930" w:rsidRPr="003730B5">
        <w:rPr>
          <w:rFonts w:ascii="Times New Roman" w:hAnsi="Times New Roman"/>
          <w:sz w:val="24"/>
          <w:szCs w:val="24"/>
        </w:rPr>
        <w:t>a </w:t>
      </w:r>
      <w:r w:rsidR="008D5875" w:rsidRPr="003730B5">
        <w:rPr>
          <w:rFonts w:ascii="Times New Roman" w:hAnsi="Times New Roman"/>
          <w:sz w:val="24"/>
          <w:szCs w:val="24"/>
        </w:rPr>
        <w:t xml:space="preserve">zákon </w:t>
      </w:r>
      <w:r w:rsidR="00A42930" w:rsidRPr="003730B5">
        <w:rPr>
          <w:rFonts w:ascii="Times New Roman" w:hAnsi="Times New Roman"/>
          <w:sz w:val="24"/>
          <w:szCs w:val="24"/>
        </w:rPr>
        <w:t>č. </w:t>
      </w:r>
      <w:r w:rsidR="008D5875" w:rsidRPr="003730B5">
        <w:rPr>
          <w:rFonts w:ascii="Times New Roman" w:hAnsi="Times New Roman"/>
          <w:sz w:val="24"/>
          <w:szCs w:val="24"/>
        </w:rPr>
        <w:t xml:space="preserve">48/1997 Sb., </w:t>
      </w:r>
      <w:r w:rsidR="00A42930" w:rsidRPr="003730B5">
        <w:rPr>
          <w:rFonts w:ascii="Times New Roman" w:hAnsi="Times New Roman"/>
          <w:sz w:val="24"/>
          <w:szCs w:val="24"/>
        </w:rPr>
        <w:t>o </w:t>
      </w:r>
      <w:r w:rsidR="008D5875" w:rsidRPr="003730B5">
        <w:rPr>
          <w:rFonts w:ascii="Times New Roman" w:hAnsi="Times New Roman"/>
          <w:sz w:val="24"/>
          <w:szCs w:val="24"/>
        </w:rPr>
        <w:t xml:space="preserve">veřejném zdravotním pojištění </w:t>
      </w:r>
      <w:r w:rsidR="00A42930" w:rsidRPr="003730B5">
        <w:rPr>
          <w:rFonts w:ascii="Times New Roman" w:hAnsi="Times New Roman"/>
          <w:sz w:val="24"/>
          <w:szCs w:val="24"/>
        </w:rPr>
        <w:t>a o </w:t>
      </w:r>
      <w:r w:rsidR="008D5875" w:rsidRPr="003730B5">
        <w:rPr>
          <w:rFonts w:ascii="Times New Roman" w:hAnsi="Times New Roman"/>
          <w:sz w:val="24"/>
          <w:szCs w:val="24"/>
        </w:rPr>
        <w:t xml:space="preserve">změně </w:t>
      </w:r>
      <w:r w:rsidR="00A42930" w:rsidRPr="003730B5">
        <w:rPr>
          <w:rFonts w:ascii="Times New Roman" w:hAnsi="Times New Roman"/>
          <w:sz w:val="24"/>
          <w:szCs w:val="24"/>
        </w:rPr>
        <w:t>a </w:t>
      </w:r>
      <w:r w:rsidR="008D5875" w:rsidRPr="003730B5">
        <w:rPr>
          <w:rFonts w:ascii="Times New Roman" w:hAnsi="Times New Roman"/>
          <w:sz w:val="24"/>
          <w:szCs w:val="24"/>
        </w:rPr>
        <w:t xml:space="preserve">doplnění některých souvisejících zákonů, ve znění pozdějších předpisů, </w:t>
      </w:r>
      <w:r w:rsidRPr="003730B5">
        <w:rPr>
          <w:rFonts w:ascii="Times New Roman" w:hAnsi="Times New Roman"/>
          <w:sz w:val="24"/>
          <w:szCs w:val="24"/>
        </w:rPr>
        <w:t>a to následně: do roku 2003 byl stanoven na 35 % příjmu ze samostatné výdělečné činnosti, v roce 2004 byl stanoven na 40 % příjmu ze samostatné výdělečné činnosti, v roce 2005 na 45 % příjmu ze samostatné výdělečné činnosti a od roku 2006 byl stanoven na 50 % příjmu ze samostatné výdělečné činnosti.</w:t>
      </w:r>
    </w:p>
    <w:p w14:paraId="24C3F1BF"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 xml:space="preserve">Minimální měsíční vyměřovací základ OSVČ vykonávající hlavní samostatnou výdělečnou činnost se postupně zvýší z dosavadních 25 % průměrné mzdy na 40 % (30 % v roce 2024, 35 % v roce 2025 a od roku 2026 na 40 %). </w:t>
      </w:r>
    </w:p>
    <w:p w14:paraId="0C1DE0B1"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Minimální měsíční vyměřovací základ OSVČ vykonávající vedlejší samostatnou výdělečnou činnost se zvýší z 10 % průměrné mzdy na 11 %.</w:t>
      </w:r>
    </w:p>
    <w:p w14:paraId="71419188" w14:textId="161D6882"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 xml:space="preserve">Pro OSVČ vykonávající hlavní samostatnou výdělečnou činnost a tuto v uplynulých 20 kalendářních letech nevykonávala, bude činit měsíční vyměřovací základ nejméně 25 % průměrné mzdy platné pro daný kalendářní rok, a to po dobu prvních dvou kalendářních let od zahájení podnikání, tj. v roce zahájení činnosti a v následujícím roce. Současně dochází ke změně stanovení výše minimálního vyměřovacího základu pro OSVČ, která vykonávala samostatnou výdělečnou v předchozím kalendářním roce a platí zálohy na důchodové pojištění z minimálního měsíčního vyměřovacího základu. Tato OSVČ bude již za leden daného kalendářního roku platit zálohy na pojistné na důchodové pojištění v nové výši platné pro daný kalendářní rok.  </w:t>
      </w:r>
    </w:p>
    <w:p w14:paraId="7B790730"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 xml:space="preserve">Jedná se o zpřehlednění povinnosti placení záloh na pojistné na důchodové pojištění, pokud OSVČ má povinnosti platit minimální zálohy na pojistné na důchodové pojištění. Současně se navrženou změnou předchází doplatku pojistného na důchodové pojištění po podání přehledu o příjmech a výdajích, v případech, kdy OSVČ platí zálohy na pojistné na důchodové pojištění </w:t>
      </w:r>
      <w:r w:rsidRPr="003730B5">
        <w:rPr>
          <w:rFonts w:ascii="Times New Roman" w:hAnsi="Times New Roman"/>
          <w:sz w:val="24"/>
          <w:szCs w:val="24"/>
        </w:rPr>
        <w:lastRenderedPageBreak/>
        <w:t>ze dvou různých minimálních vyměřovacích základů (před podáním přehled a po podání přehledu).</w:t>
      </w:r>
    </w:p>
    <w:p w14:paraId="6D15B525" w14:textId="7D36C2A9"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 xml:space="preserve">Dále dochází ke zpřesnění stanovení měsíčního vyměřovacího základu za kalendářní měsíc, v němž byl podán přehled o příjmech a výdajích OSVČ podle § 15 odst. 1 zákona </w:t>
      </w:r>
      <w:r w:rsidR="00A42930" w:rsidRPr="003730B5">
        <w:rPr>
          <w:rFonts w:ascii="Times New Roman" w:hAnsi="Times New Roman"/>
          <w:sz w:val="24"/>
          <w:szCs w:val="24"/>
        </w:rPr>
        <w:t>o </w:t>
      </w:r>
      <w:r w:rsidR="008D5875" w:rsidRPr="003730B5">
        <w:rPr>
          <w:rFonts w:ascii="Times New Roman" w:hAnsi="Times New Roman"/>
          <w:sz w:val="24"/>
          <w:szCs w:val="24"/>
        </w:rPr>
        <w:t>pojistném na sociální zabezpečení</w:t>
      </w:r>
      <w:r w:rsidRPr="003730B5">
        <w:rPr>
          <w:rFonts w:ascii="Times New Roman" w:hAnsi="Times New Roman"/>
          <w:sz w:val="24"/>
          <w:szCs w:val="24"/>
        </w:rPr>
        <w:t xml:space="preserve"> za předchozí kalendářní rok; nová výše měsíčního vyměřovacího základu platí vždy až od kalendářního měsíce, v němž byl nebo měl být přehled podán. </w:t>
      </w:r>
    </w:p>
    <w:p w14:paraId="74D33E41"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Stávající úprava změny pravidla stanovení měsíčního vyměřovacího základu v měsíci, v němž byl přehled podán, je pro velké množství OSVČ zmatečný, když tyto následně neví, jak vysokou zálohu na pojistné v měsíci podání přehledu mají platit.</w:t>
      </w:r>
    </w:p>
    <w:p w14:paraId="67084084" w14:textId="77777777" w:rsidR="00133AC8" w:rsidRPr="003730B5" w:rsidRDefault="00133AC8" w:rsidP="00133AC8">
      <w:pPr>
        <w:pStyle w:val="Bezmezer"/>
        <w:spacing w:after="120"/>
        <w:rPr>
          <w:rFonts w:ascii="Times New Roman" w:hAnsi="Times New Roman"/>
          <w:b/>
          <w:sz w:val="24"/>
          <w:szCs w:val="24"/>
          <w:u w:val="single"/>
        </w:rPr>
      </w:pPr>
      <w:r w:rsidRPr="003730B5">
        <w:rPr>
          <w:rFonts w:ascii="Times New Roman" w:hAnsi="Times New Roman"/>
          <w:b/>
          <w:sz w:val="24"/>
          <w:szCs w:val="24"/>
          <w:u w:val="single"/>
        </w:rPr>
        <w:t>Zhodnocení sociálních dopadů</w:t>
      </w:r>
    </w:p>
    <w:p w14:paraId="42A0005D" w14:textId="77777777" w:rsidR="00133AC8" w:rsidRPr="003730B5" w:rsidRDefault="00133AC8" w:rsidP="00133AC8">
      <w:pPr>
        <w:pStyle w:val="Bezmezer"/>
        <w:spacing w:after="120"/>
        <w:rPr>
          <w:rFonts w:ascii="Times New Roman" w:hAnsi="Times New Roman"/>
          <w:sz w:val="28"/>
        </w:rPr>
      </w:pPr>
      <w:r w:rsidRPr="003730B5">
        <w:rPr>
          <w:rFonts w:ascii="Times New Roman" w:hAnsi="Times New Roman"/>
          <w:sz w:val="24"/>
        </w:rPr>
        <w:t>Aktuálně (stav roku 2022</w:t>
      </w:r>
      <w:r w:rsidRPr="003730B5">
        <w:rPr>
          <w:rStyle w:val="Znakapoznpodarou"/>
          <w:rFonts w:ascii="Times New Roman" w:hAnsi="Times New Roman"/>
          <w:sz w:val="24"/>
        </w:rPr>
        <w:footnoteReference w:id="6"/>
      </w:r>
      <w:r w:rsidRPr="003730B5">
        <w:rPr>
          <w:rFonts w:ascii="Times New Roman" w:hAnsi="Times New Roman"/>
          <w:sz w:val="24"/>
        </w:rPr>
        <w:t xml:space="preserve">) platí </w:t>
      </w:r>
      <w:r w:rsidRPr="003730B5">
        <w:rPr>
          <w:rFonts w:ascii="Times New Roman" w:hAnsi="Times New Roman"/>
          <w:sz w:val="28"/>
          <w:szCs w:val="24"/>
        </w:rPr>
        <w:t>OSVČ</w:t>
      </w:r>
      <w:r w:rsidRPr="003730B5">
        <w:rPr>
          <w:rFonts w:ascii="Times New Roman" w:hAnsi="Times New Roman"/>
          <w:sz w:val="24"/>
        </w:rPr>
        <w:t xml:space="preserve"> minimálně z vyměřovacího základu ve výši 9 728 Kč</w:t>
      </w:r>
      <w:r w:rsidRPr="003730B5">
        <w:rPr>
          <w:rStyle w:val="Znakapoznpodarou"/>
          <w:rFonts w:ascii="Times New Roman" w:hAnsi="Times New Roman"/>
          <w:sz w:val="24"/>
        </w:rPr>
        <w:footnoteReference w:id="7"/>
      </w:r>
      <w:r w:rsidRPr="003730B5">
        <w:rPr>
          <w:rFonts w:ascii="Times New Roman" w:hAnsi="Times New Roman"/>
          <w:sz w:val="24"/>
        </w:rPr>
        <w:t xml:space="preserve"> a částka pojistného činní 2 724 Kč měsíčně (včetně příspěvku na státní politiku zaměstnanosti činí minimální měsíční odvod 2 841. Kč). Celkově za 40 let placení pojistného z takové částky odvedou zhruba 1,3 mil. Kč. Výše vyměřeného důchodu pak činní 9 877 Kč a za 20 let pobírání jde o částku necelých 2,4 mil. Kč. Celkové odvody tedy pokryjí výplatu důchodu ze zhruba 55 %.</w:t>
      </w:r>
    </w:p>
    <w:p w14:paraId="0F3AC5A8" w14:textId="77777777" w:rsidR="00133AC8" w:rsidRPr="003730B5" w:rsidRDefault="00133AC8" w:rsidP="00133AC8">
      <w:pPr>
        <w:pStyle w:val="Bezmezer"/>
        <w:spacing w:after="120"/>
        <w:rPr>
          <w:rFonts w:ascii="Times New Roman" w:hAnsi="Times New Roman"/>
          <w:b/>
          <w:sz w:val="20"/>
          <w:szCs w:val="24"/>
        </w:rPr>
      </w:pPr>
      <w:r w:rsidRPr="003730B5">
        <w:rPr>
          <w:rFonts w:ascii="Times New Roman" w:hAnsi="Times New Roman"/>
          <w:b/>
          <w:sz w:val="20"/>
          <w:szCs w:val="24"/>
        </w:rPr>
        <w:t xml:space="preserve">Tabulka </w:t>
      </w:r>
      <w:r w:rsidRPr="003730B5">
        <w:rPr>
          <w:rFonts w:ascii="Times New Roman" w:hAnsi="Times New Roman"/>
          <w:b/>
          <w:sz w:val="20"/>
          <w:szCs w:val="24"/>
        </w:rPr>
        <w:fldChar w:fldCharType="begin"/>
      </w:r>
      <w:r w:rsidRPr="003730B5">
        <w:rPr>
          <w:rFonts w:ascii="Times New Roman" w:hAnsi="Times New Roman"/>
          <w:b/>
          <w:sz w:val="20"/>
          <w:szCs w:val="24"/>
        </w:rPr>
        <w:instrText xml:space="preserve"> SEQ Tabulka \* ARABIC </w:instrText>
      </w:r>
      <w:r w:rsidRPr="003730B5">
        <w:rPr>
          <w:rFonts w:ascii="Times New Roman" w:hAnsi="Times New Roman"/>
          <w:b/>
          <w:sz w:val="20"/>
          <w:szCs w:val="24"/>
        </w:rPr>
        <w:fldChar w:fldCharType="separate"/>
      </w:r>
      <w:r w:rsidRPr="003730B5">
        <w:rPr>
          <w:rFonts w:ascii="Times New Roman" w:hAnsi="Times New Roman"/>
          <w:b/>
          <w:noProof/>
          <w:sz w:val="20"/>
          <w:szCs w:val="24"/>
        </w:rPr>
        <w:t>1</w:t>
      </w:r>
      <w:r w:rsidRPr="003730B5">
        <w:rPr>
          <w:rFonts w:ascii="Times New Roman" w:hAnsi="Times New Roman"/>
          <w:b/>
          <w:sz w:val="20"/>
          <w:szCs w:val="24"/>
        </w:rPr>
        <w:fldChar w:fldCharType="end"/>
      </w:r>
      <w:r w:rsidRPr="003730B5">
        <w:rPr>
          <w:rFonts w:ascii="Times New Roman" w:hAnsi="Times New Roman"/>
          <w:b/>
          <w:sz w:val="20"/>
          <w:szCs w:val="24"/>
        </w:rPr>
        <w:t xml:space="preserve"> - Srovnání výše celkového odvodu a výše vyplaceného důchodu</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559"/>
        <w:gridCol w:w="1701"/>
        <w:gridCol w:w="1701"/>
        <w:gridCol w:w="1979"/>
      </w:tblGrid>
      <w:tr w:rsidR="00133AC8" w:rsidRPr="003730B5" w14:paraId="1F7D5A94" w14:textId="77777777" w:rsidTr="008764C5">
        <w:trPr>
          <w:jc w:val="cent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CBD77A6" w14:textId="77777777" w:rsidR="00133AC8" w:rsidRPr="003730B5" w:rsidRDefault="00133AC8" w:rsidP="008764C5">
            <w:pPr>
              <w:jc w:val="center"/>
              <w:rPr>
                <w:b/>
                <w:color w:val="000000"/>
                <w:sz w:val="20"/>
              </w:rPr>
            </w:pPr>
            <w:r w:rsidRPr="003730B5">
              <w:rPr>
                <w:b/>
                <w:color w:val="000000"/>
                <w:sz w:val="20"/>
              </w:rPr>
              <w:t>Osobní vyměřovací základ (OVZ)</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A40F4B" w14:textId="77777777" w:rsidR="00133AC8" w:rsidRPr="003730B5" w:rsidRDefault="00133AC8" w:rsidP="008764C5">
            <w:pPr>
              <w:jc w:val="center"/>
              <w:rPr>
                <w:b/>
                <w:color w:val="000000"/>
                <w:sz w:val="20"/>
              </w:rPr>
            </w:pPr>
            <w:r w:rsidRPr="003730B5">
              <w:rPr>
                <w:b/>
                <w:color w:val="000000"/>
                <w:sz w:val="20"/>
              </w:rPr>
              <w:t>Výše pojistného na důchodové pojištění (z daného OVZ)</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EB90FB" w14:textId="77777777" w:rsidR="00133AC8" w:rsidRPr="003730B5" w:rsidRDefault="00133AC8" w:rsidP="008764C5">
            <w:pPr>
              <w:jc w:val="center"/>
              <w:rPr>
                <w:b/>
                <w:color w:val="000000"/>
                <w:sz w:val="20"/>
              </w:rPr>
            </w:pPr>
            <w:r w:rsidRPr="003730B5">
              <w:rPr>
                <w:b/>
                <w:color w:val="000000"/>
                <w:sz w:val="20"/>
              </w:rPr>
              <w:t>Výše celkového odvodu za 40 let</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25B3D7" w14:textId="77777777" w:rsidR="00133AC8" w:rsidRPr="003730B5" w:rsidRDefault="00133AC8" w:rsidP="008764C5">
            <w:pPr>
              <w:jc w:val="center"/>
              <w:rPr>
                <w:b/>
                <w:color w:val="000000"/>
                <w:sz w:val="20"/>
              </w:rPr>
            </w:pPr>
            <w:r w:rsidRPr="003730B5">
              <w:rPr>
                <w:b/>
                <w:color w:val="000000"/>
                <w:sz w:val="20"/>
              </w:rPr>
              <w:t>Výše důchodu přiznaného v roce 2023 při 40 letech pojištění</w:t>
            </w:r>
          </w:p>
        </w:tc>
        <w:tc>
          <w:tcPr>
            <w:tcW w:w="19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7123F5" w14:textId="77777777" w:rsidR="00133AC8" w:rsidRPr="003730B5" w:rsidRDefault="00133AC8" w:rsidP="008764C5">
            <w:pPr>
              <w:jc w:val="center"/>
              <w:rPr>
                <w:b/>
                <w:color w:val="000000"/>
                <w:sz w:val="20"/>
              </w:rPr>
            </w:pPr>
            <w:r w:rsidRPr="003730B5">
              <w:rPr>
                <w:b/>
                <w:color w:val="000000"/>
                <w:sz w:val="20"/>
              </w:rPr>
              <w:t>Výše celkově vyplaceného důchodu za 20 let pobírání</w:t>
            </w:r>
          </w:p>
        </w:tc>
      </w:tr>
      <w:tr w:rsidR="00133AC8" w:rsidRPr="003730B5" w14:paraId="2EEA32F4" w14:textId="77777777" w:rsidTr="008764C5">
        <w:trPr>
          <w:jc w:val="center"/>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27089AD0" w14:textId="77777777" w:rsidR="00133AC8" w:rsidRPr="003730B5" w:rsidRDefault="00133AC8" w:rsidP="008764C5">
            <w:pPr>
              <w:jc w:val="center"/>
              <w:rPr>
                <w:color w:val="000000"/>
                <w:sz w:val="20"/>
              </w:rPr>
            </w:pPr>
            <w:r w:rsidRPr="003730B5">
              <w:rPr>
                <w:color w:val="000000"/>
                <w:sz w:val="20"/>
              </w:rPr>
              <w:t>9 728 (minimální VZ OSVČ 2022)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027D623" w14:textId="77777777" w:rsidR="00133AC8" w:rsidRPr="003730B5" w:rsidRDefault="00133AC8" w:rsidP="008764C5">
            <w:pPr>
              <w:jc w:val="center"/>
              <w:rPr>
                <w:color w:val="000000"/>
                <w:sz w:val="20"/>
              </w:rPr>
            </w:pPr>
            <w:r w:rsidRPr="003730B5">
              <w:rPr>
                <w:color w:val="000000"/>
                <w:sz w:val="20"/>
              </w:rPr>
              <w:t>2 724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4EB582" w14:textId="77777777" w:rsidR="00133AC8" w:rsidRPr="003730B5" w:rsidRDefault="00133AC8" w:rsidP="008764C5">
            <w:pPr>
              <w:jc w:val="center"/>
              <w:rPr>
                <w:color w:val="000000"/>
                <w:sz w:val="20"/>
              </w:rPr>
            </w:pPr>
            <w:r w:rsidRPr="003730B5">
              <w:rPr>
                <w:color w:val="000000"/>
                <w:sz w:val="20"/>
              </w:rPr>
              <w:t>1 307 520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D96304A" w14:textId="77777777" w:rsidR="00133AC8" w:rsidRPr="003730B5" w:rsidRDefault="00133AC8" w:rsidP="008764C5">
            <w:pPr>
              <w:jc w:val="center"/>
              <w:rPr>
                <w:color w:val="000000"/>
                <w:sz w:val="20"/>
              </w:rPr>
            </w:pPr>
            <w:r w:rsidRPr="003730B5">
              <w:rPr>
                <w:color w:val="000000"/>
                <w:sz w:val="20"/>
              </w:rPr>
              <w:t>9 877</w:t>
            </w:r>
          </w:p>
        </w:tc>
        <w:tc>
          <w:tcPr>
            <w:tcW w:w="1979" w:type="dxa"/>
            <w:tcBorders>
              <w:top w:val="single" w:sz="4" w:space="0" w:color="auto"/>
              <w:left w:val="single" w:sz="4" w:space="0" w:color="auto"/>
              <w:bottom w:val="single" w:sz="4" w:space="0" w:color="auto"/>
              <w:right w:val="single" w:sz="4" w:space="0" w:color="auto"/>
            </w:tcBorders>
            <w:vAlign w:val="center"/>
            <w:hideMark/>
          </w:tcPr>
          <w:p w14:paraId="65C76E95" w14:textId="77777777" w:rsidR="00133AC8" w:rsidRPr="003730B5" w:rsidRDefault="00133AC8" w:rsidP="008764C5">
            <w:pPr>
              <w:jc w:val="center"/>
              <w:rPr>
                <w:color w:val="000000"/>
                <w:sz w:val="20"/>
              </w:rPr>
            </w:pPr>
            <w:r w:rsidRPr="003730B5">
              <w:rPr>
                <w:color w:val="000000"/>
                <w:sz w:val="20"/>
              </w:rPr>
              <w:t>2 370 480</w:t>
            </w:r>
          </w:p>
        </w:tc>
      </w:tr>
    </w:tbl>
    <w:p w14:paraId="69B198E6" w14:textId="77777777" w:rsidR="00133AC8" w:rsidRPr="003730B5" w:rsidRDefault="00133AC8" w:rsidP="00133AC8">
      <w:pPr>
        <w:pStyle w:val="Bezmezer"/>
        <w:spacing w:before="120" w:after="120"/>
        <w:rPr>
          <w:rFonts w:ascii="Times New Roman" w:hAnsi="Times New Roman"/>
          <w:sz w:val="24"/>
          <w:szCs w:val="24"/>
        </w:rPr>
      </w:pPr>
      <w:r w:rsidRPr="003730B5">
        <w:rPr>
          <w:rFonts w:ascii="Times New Roman" w:hAnsi="Times New Roman"/>
          <w:sz w:val="24"/>
          <w:szCs w:val="24"/>
        </w:rPr>
        <w:t>U 1 000 OSVČ platících odvody stále z minimálního vyměřovacího základu je potom rozdíl zhruba 1 mld. Kč.</w:t>
      </w:r>
    </w:p>
    <w:p w14:paraId="5D439CB9" w14:textId="77777777" w:rsidR="00133AC8" w:rsidRPr="003730B5" w:rsidRDefault="00133AC8" w:rsidP="00133AC8">
      <w:pPr>
        <w:pStyle w:val="Bezmezer"/>
        <w:spacing w:after="120"/>
        <w:rPr>
          <w:rFonts w:ascii="Times New Roman" w:hAnsi="Times New Roman"/>
          <w:sz w:val="24"/>
          <w:szCs w:val="24"/>
        </w:rPr>
      </w:pPr>
      <w:r w:rsidRPr="003730B5">
        <w:rPr>
          <w:rFonts w:ascii="Times New Roman" w:hAnsi="Times New Roman"/>
          <w:sz w:val="24"/>
          <w:szCs w:val="24"/>
        </w:rPr>
        <w:t>Při zvýšení minima by OSVČ platily minimálně z vyměřovacího základu na úrovni 15 565 Kč (v hodnotách roku 2022), přičemž minimální výše odvodu by činila 4 359 Kč. Celkově by za 40 let zaplatily necelých 2,1 mil. Kč. Výše důchodu by potom činila 13 379 Kč a celkově by jim bylo za 20 let pobírání vyplaceno lehce přes 3,2 mil. Kč. Odvody by tedy pokryly výplatu důchodu ze zhruba 65 % a pokrývají v podstatě jen výplatu procentní výměry. Podle aktuálního rozdílu mezi příjmy a výdaji je základní výměra důchodů OSVČ financována buď z odvodů zaměstnanců, nebo z daňových výnosů. OSVČ se nepodílí na rozdíl od zaměstnanců na financování solidárních plnění důchodového systému, jako jsou invalidní důchody, vdovské důchody a náhradní doby pojištění, které jsou převážně financovány z pojistného a jen částečně z obecných daňových výnosů.</w:t>
      </w:r>
    </w:p>
    <w:p w14:paraId="05E05800" w14:textId="77777777" w:rsidR="00133AC8" w:rsidRPr="003730B5" w:rsidRDefault="00133AC8" w:rsidP="00133AC8">
      <w:pPr>
        <w:pStyle w:val="Bezmezer"/>
        <w:spacing w:after="120"/>
        <w:rPr>
          <w:rFonts w:ascii="Times New Roman" w:hAnsi="Times New Roman"/>
          <w:b/>
          <w:sz w:val="20"/>
          <w:szCs w:val="24"/>
        </w:rPr>
      </w:pPr>
      <w:r w:rsidRPr="003730B5">
        <w:rPr>
          <w:rFonts w:ascii="Times New Roman" w:hAnsi="Times New Roman"/>
          <w:b/>
          <w:sz w:val="20"/>
          <w:szCs w:val="24"/>
        </w:rPr>
        <w:t xml:space="preserve">Tabulka </w:t>
      </w:r>
      <w:r w:rsidRPr="003730B5">
        <w:rPr>
          <w:rFonts w:ascii="Times New Roman" w:hAnsi="Times New Roman"/>
          <w:b/>
          <w:sz w:val="20"/>
          <w:szCs w:val="24"/>
        </w:rPr>
        <w:fldChar w:fldCharType="begin"/>
      </w:r>
      <w:r w:rsidRPr="003730B5">
        <w:rPr>
          <w:rFonts w:ascii="Times New Roman" w:hAnsi="Times New Roman"/>
          <w:b/>
          <w:sz w:val="20"/>
          <w:szCs w:val="24"/>
        </w:rPr>
        <w:instrText xml:space="preserve"> SEQ Tabulka \* ARABIC </w:instrText>
      </w:r>
      <w:r w:rsidRPr="003730B5">
        <w:rPr>
          <w:rFonts w:ascii="Times New Roman" w:hAnsi="Times New Roman"/>
          <w:b/>
          <w:sz w:val="20"/>
          <w:szCs w:val="24"/>
        </w:rPr>
        <w:fldChar w:fldCharType="separate"/>
      </w:r>
      <w:r w:rsidRPr="003730B5">
        <w:rPr>
          <w:rFonts w:ascii="Times New Roman" w:hAnsi="Times New Roman"/>
          <w:b/>
          <w:noProof/>
          <w:sz w:val="20"/>
          <w:szCs w:val="24"/>
        </w:rPr>
        <w:t>2</w:t>
      </w:r>
      <w:r w:rsidRPr="003730B5">
        <w:rPr>
          <w:rFonts w:ascii="Times New Roman" w:hAnsi="Times New Roman"/>
          <w:b/>
          <w:sz w:val="20"/>
          <w:szCs w:val="24"/>
        </w:rPr>
        <w:fldChar w:fldCharType="end"/>
      </w:r>
      <w:r w:rsidRPr="003730B5">
        <w:rPr>
          <w:rFonts w:ascii="Times New Roman" w:hAnsi="Times New Roman"/>
          <w:b/>
          <w:sz w:val="20"/>
          <w:szCs w:val="24"/>
        </w:rPr>
        <w:t xml:space="preserve"> - Srovnání výše celkového odvodu a výše vyplaceného důchodu při zvýšení minima</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559"/>
        <w:gridCol w:w="1701"/>
        <w:gridCol w:w="1701"/>
        <w:gridCol w:w="1979"/>
      </w:tblGrid>
      <w:tr w:rsidR="00133AC8" w:rsidRPr="003730B5" w14:paraId="5D2CE3DA" w14:textId="77777777" w:rsidTr="008764C5">
        <w:trPr>
          <w:jc w:val="cent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A9CB5F8" w14:textId="77777777" w:rsidR="00133AC8" w:rsidRPr="003730B5" w:rsidRDefault="00133AC8" w:rsidP="008764C5">
            <w:pPr>
              <w:jc w:val="center"/>
              <w:rPr>
                <w:b/>
                <w:color w:val="000000"/>
                <w:sz w:val="20"/>
              </w:rPr>
            </w:pPr>
            <w:r w:rsidRPr="003730B5">
              <w:rPr>
                <w:b/>
                <w:color w:val="000000"/>
                <w:sz w:val="20"/>
              </w:rPr>
              <w:t>Osobní vyměřovací základ (OVZ)</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FDA6E3" w14:textId="77777777" w:rsidR="00133AC8" w:rsidRPr="003730B5" w:rsidRDefault="00133AC8" w:rsidP="008764C5">
            <w:pPr>
              <w:jc w:val="center"/>
              <w:rPr>
                <w:b/>
                <w:color w:val="000000"/>
                <w:sz w:val="20"/>
              </w:rPr>
            </w:pPr>
            <w:r w:rsidRPr="003730B5">
              <w:rPr>
                <w:b/>
                <w:color w:val="000000"/>
                <w:sz w:val="20"/>
              </w:rPr>
              <w:t>Výše pojistného na důchodové pojištění (z daného OVZ)</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F82A5A" w14:textId="77777777" w:rsidR="00133AC8" w:rsidRPr="003730B5" w:rsidRDefault="00133AC8" w:rsidP="008764C5">
            <w:pPr>
              <w:jc w:val="center"/>
              <w:rPr>
                <w:b/>
                <w:color w:val="000000"/>
                <w:sz w:val="20"/>
              </w:rPr>
            </w:pPr>
            <w:r w:rsidRPr="003730B5">
              <w:rPr>
                <w:b/>
                <w:color w:val="000000"/>
                <w:sz w:val="20"/>
              </w:rPr>
              <w:t>Výše celkového odvodu za 40 let</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7DC15F" w14:textId="77777777" w:rsidR="00133AC8" w:rsidRPr="003730B5" w:rsidRDefault="00133AC8" w:rsidP="008764C5">
            <w:pPr>
              <w:jc w:val="center"/>
              <w:rPr>
                <w:b/>
                <w:color w:val="000000"/>
                <w:sz w:val="20"/>
              </w:rPr>
            </w:pPr>
            <w:r w:rsidRPr="003730B5">
              <w:rPr>
                <w:b/>
                <w:color w:val="000000"/>
                <w:sz w:val="20"/>
              </w:rPr>
              <w:t>Výše důchodu přiznaného v roce 2023 při 40 letech pojištění</w:t>
            </w:r>
          </w:p>
        </w:tc>
        <w:tc>
          <w:tcPr>
            <w:tcW w:w="19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702AF6" w14:textId="77777777" w:rsidR="00133AC8" w:rsidRPr="003730B5" w:rsidRDefault="00133AC8" w:rsidP="008764C5">
            <w:pPr>
              <w:jc w:val="center"/>
              <w:rPr>
                <w:b/>
                <w:color w:val="000000"/>
                <w:sz w:val="20"/>
              </w:rPr>
            </w:pPr>
            <w:r w:rsidRPr="003730B5">
              <w:rPr>
                <w:b/>
                <w:color w:val="000000"/>
                <w:sz w:val="20"/>
              </w:rPr>
              <w:t>Výše celkově vyplaceného důchodu za 20 let pobírání</w:t>
            </w:r>
          </w:p>
        </w:tc>
      </w:tr>
      <w:tr w:rsidR="00133AC8" w:rsidRPr="003730B5" w14:paraId="7E218DE6" w14:textId="77777777" w:rsidTr="008764C5">
        <w:trPr>
          <w:jc w:val="center"/>
        </w:trPr>
        <w:tc>
          <w:tcPr>
            <w:tcW w:w="2122" w:type="dxa"/>
            <w:tcBorders>
              <w:top w:val="single" w:sz="4" w:space="0" w:color="auto"/>
              <w:left w:val="single" w:sz="4" w:space="0" w:color="auto"/>
              <w:bottom w:val="single" w:sz="4" w:space="0" w:color="auto"/>
              <w:right w:val="single" w:sz="4" w:space="0" w:color="auto"/>
            </w:tcBorders>
            <w:noWrap/>
            <w:vAlign w:val="bottom"/>
            <w:hideMark/>
          </w:tcPr>
          <w:p w14:paraId="1E2DFCC9" w14:textId="77777777" w:rsidR="00133AC8" w:rsidRPr="003730B5" w:rsidRDefault="00133AC8" w:rsidP="008764C5">
            <w:pPr>
              <w:jc w:val="center"/>
              <w:rPr>
                <w:color w:val="000000"/>
                <w:sz w:val="20"/>
              </w:rPr>
            </w:pPr>
            <w:r w:rsidRPr="003730B5">
              <w:rPr>
                <w:color w:val="000000"/>
                <w:sz w:val="20"/>
              </w:rPr>
              <w:t>15 565 (nový minimální VZ OSVČ 2022)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654775A5" w14:textId="77777777" w:rsidR="00133AC8" w:rsidRPr="003730B5" w:rsidRDefault="00133AC8" w:rsidP="008764C5">
            <w:pPr>
              <w:jc w:val="center"/>
              <w:rPr>
                <w:color w:val="000000"/>
                <w:sz w:val="20"/>
              </w:rPr>
            </w:pPr>
            <w:r w:rsidRPr="003730B5">
              <w:rPr>
                <w:color w:val="000000"/>
                <w:sz w:val="20"/>
              </w:rPr>
              <w:t>4 359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7937DA" w14:textId="77777777" w:rsidR="00133AC8" w:rsidRPr="003730B5" w:rsidRDefault="00133AC8" w:rsidP="008764C5">
            <w:pPr>
              <w:jc w:val="center"/>
              <w:rPr>
                <w:color w:val="000000"/>
                <w:sz w:val="20"/>
              </w:rPr>
            </w:pPr>
            <w:r w:rsidRPr="003730B5">
              <w:rPr>
                <w:color w:val="000000"/>
                <w:sz w:val="20"/>
              </w:rPr>
              <w:t>2 091 936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26051CE" w14:textId="77777777" w:rsidR="00133AC8" w:rsidRPr="003730B5" w:rsidRDefault="00133AC8" w:rsidP="008764C5">
            <w:pPr>
              <w:jc w:val="center"/>
              <w:rPr>
                <w:color w:val="000000"/>
                <w:sz w:val="20"/>
              </w:rPr>
            </w:pPr>
            <w:r w:rsidRPr="003730B5">
              <w:rPr>
                <w:color w:val="000000"/>
                <w:sz w:val="20"/>
              </w:rPr>
              <w:t>13 379</w:t>
            </w:r>
          </w:p>
        </w:tc>
        <w:tc>
          <w:tcPr>
            <w:tcW w:w="1979" w:type="dxa"/>
            <w:tcBorders>
              <w:top w:val="single" w:sz="4" w:space="0" w:color="auto"/>
              <w:left w:val="single" w:sz="4" w:space="0" w:color="auto"/>
              <w:bottom w:val="single" w:sz="4" w:space="0" w:color="auto"/>
              <w:right w:val="single" w:sz="4" w:space="0" w:color="auto"/>
            </w:tcBorders>
            <w:vAlign w:val="center"/>
            <w:hideMark/>
          </w:tcPr>
          <w:p w14:paraId="642F1ABC" w14:textId="77777777" w:rsidR="00133AC8" w:rsidRPr="003730B5" w:rsidRDefault="00133AC8" w:rsidP="008764C5">
            <w:pPr>
              <w:jc w:val="center"/>
              <w:rPr>
                <w:color w:val="000000"/>
                <w:sz w:val="20"/>
              </w:rPr>
            </w:pPr>
            <w:r w:rsidRPr="003730B5">
              <w:rPr>
                <w:color w:val="000000"/>
                <w:sz w:val="20"/>
              </w:rPr>
              <w:t>3 210 960</w:t>
            </w:r>
          </w:p>
        </w:tc>
      </w:tr>
    </w:tbl>
    <w:p w14:paraId="684DB2C7" w14:textId="77777777" w:rsidR="00133AC8" w:rsidRPr="003730B5" w:rsidRDefault="00133AC8" w:rsidP="00133AC8">
      <w:pPr>
        <w:pStyle w:val="Bezmezer"/>
        <w:spacing w:before="120" w:after="120"/>
        <w:rPr>
          <w:rFonts w:ascii="Times New Roman" w:hAnsi="Times New Roman"/>
          <w:sz w:val="24"/>
          <w:szCs w:val="24"/>
        </w:rPr>
      </w:pPr>
      <w:r w:rsidRPr="003730B5">
        <w:rPr>
          <w:rFonts w:ascii="Times New Roman" w:hAnsi="Times New Roman"/>
          <w:sz w:val="24"/>
          <w:szCs w:val="24"/>
        </w:rPr>
        <w:lastRenderedPageBreak/>
        <w:t xml:space="preserve">Ve srovnání se současným stavem by se vyměřovací základ zvýšil o 5 837 Kč (tj. 60 %) a výše odvodu o 1 635 Kč. Celkem by za 40 let zaplatily o zhruba 785 tisíc Kč více. Na druhou stranu by se výše důchodu zvýšila o 3 502 Kč a celkově by jim bylo za 20 let pobírání důchodu vyplaceno o zhruba 840 tisíc Kč více. Za pohledu celkových odvodů a výplat důchodů by navýšení minimálního vyměřovacího základu bylo minimálně adekvátně kompenzováno ve výši důchodu. Tento poměr by se zhoršil pouze tehdy, pokud by minimální vyměřovací základ byl navýšen nad 44 % průměrné mzdy (první redukční hranice pro výpočet důchodu). </w:t>
      </w:r>
    </w:p>
    <w:p w14:paraId="07D070CF" w14:textId="77777777" w:rsidR="00133AC8" w:rsidRPr="003730B5" w:rsidRDefault="00133AC8" w:rsidP="00133AC8">
      <w:pPr>
        <w:pStyle w:val="Bezmezer"/>
        <w:spacing w:after="120"/>
        <w:rPr>
          <w:rFonts w:ascii="Times New Roman" w:hAnsi="Times New Roman"/>
          <w:b/>
          <w:sz w:val="20"/>
          <w:szCs w:val="24"/>
        </w:rPr>
      </w:pPr>
      <w:r w:rsidRPr="003730B5">
        <w:rPr>
          <w:rFonts w:ascii="Times New Roman" w:hAnsi="Times New Roman"/>
          <w:b/>
          <w:sz w:val="20"/>
          <w:szCs w:val="24"/>
        </w:rPr>
        <w:t xml:space="preserve">Tabulka </w:t>
      </w:r>
      <w:r w:rsidRPr="003730B5">
        <w:rPr>
          <w:rFonts w:ascii="Times New Roman" w:hAnsi="Times New Roman"/>
          <w:b/>
          <w:sz w:val="20"/>
          <w:szCs w:val="24"/>
        </w:rPr>
        <w:fldChar w:fldCharType="begin"/>
      </w:r>
      <w:r w:rsidRPr="003730B5">
        <w:rPr>
          <w:rFonts w:ascii="Times New Roman" w:hAnsi="Times New Roman"/>
          <w:b/>
          <w:sz w:val="20"/>
          <w:szCs w:val="24"/>
        </w:rPr>
        <w:instrText xml:space="preserve"> SEQ Tabulka \* ARABIC </w:instrText>
      </w:r>
      <w:r w:rsidRPr="003730B5">
        <w:rPr>
          <w:rFonts w:ascii="Times New Roman" w:hAnsi="Times New Roman"/>
          <w:b/>
          <w:sz w:val="20"/>
          <w:szCs w:val="24"/>
        </w:rPr>
        <w:fldChar w:fldCharType="separate"/>
      </w:r>
      <w:r w:rsidRPr="003730B5">
        <w:rPr>
          <w:rFonts w:ascii="Times New Roman" w:hAnsi="Times New Roman"/>
          <w:b/>
          <w:noProof/>
          <w:sz w:val="20"/>
          <w:szCs w:val="24"/>
        </w:rPr>
        <w:t>3</w:t>
      </w:r>
      <w:r w:rsidRPr="003730B5">
        <w:rPr>
          <w:rFonts w:ascii="Times New Roman" w:hAnsi="Times New Roman"/>
          <w:b/>
          <w:sz w:val="20"/>
          <w:szCs w:val="24"/>
        </w:rPr>
        <w:fldChar w:fldCharType="end"/>
      </w:r>
      <w:r w:rsidRPr="003730B5">
        <w:rPr>
          <w:rFonts w:ascii="Times New Roman" w:hAnsi="Times New Roman"/>
          <w:b/>
          <w:sz w:val="20"/>
          <w:szCs w:val="24"/>
        </w:rPr>
        <w:t xml:space="preserve"> - Rozdíl výše celkového odvodu a výše vyplaceného důchodu při současném a stavu a zvýšení minima</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559"/>
        <w:gridCol w:w="1701"/>
        <w:gridCol w:w="1701"/>
        <w:gridCol w:w="1979"/>
      </w:tblGrid>
      <w:tr w:rsidR="00133AC8" w:rsidRPr="003730B5" w14:paraId="35AF286D" w14:textId="77777777" w:rsidTr="008764C5">
        <w:trPr>
          <w:jc w:val="cent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28479FB" w14:textId="77777777" w:rsidR="00133AC8" w:rsidRPr="003730B5" w:rsidRDefault="00133AC8" w:rsidP="008764C5">
            <w:pPr>
              <w:keepNext/>
              <w:jc w:val="center"/>
              <w:rPr>
                <w:b/>
                <w:color w:val="000000"/>
                <w:sz w:val="20"/>
              </w:rPr>
            </w:pPr>
            <w:r w:rsidRPr="003730B5">
              <w:rPr>
                <w:b/>
                <w:color w:val="000000"/>
                <w:sz w:val="20"/>
              </w:rPr>
              <w:t>Osobní vyměřovací základ (OVZ)</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4888A6" w14:textId="77777777" w:rsidR="00133AC8" w:rsidRPr="003730B5" w:rsidRDefault="00133AC8" w:rsidP="008764C5">
            <w:pPr>
              <w:keepNext/>
              <w:jc w:val="center"/>
              <w:rPr>
                <w:b/>
                <w:color w:val="000000"/>
                <w:sz w:val="20"/>
              </w:rPr>
            </w:pPr>
            <w:r w:rsidRPr="003730B5">
              <w:rPr>
                <w:b/>
                <w:color w:val="000000"/>
                <w:sz w:val="20"/>
              </w:rPr>
              <w:t>Výše pojistného na důchodové pojištění (z daného OVZ)</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CAF0272" w14:textId="77777777" w:rsidR="00133AC8" w:rsidRPr="003730B5" w:rsidRDefault="00133AC8" w:rsidP="008764C5">
            <w:pPr>
              <w:keepNext/>
              <w:jc w:val="center"/>
              <w:rPr>
                <w:b/>
                <w:color w:val="000000"/>
                <w:sz w:val="20"/>
              </w:rPr>
            </w:pPr>
            <w:r w:rsidRPr="003730B5">
              <w:rPr>
                <w:b/>
                <w:color w:val="000000"/>
                <w:sz w:val="20"/>
              </w:rPr>
              <w:t>Výše celkového odvodu za 40 let</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0FDCDD2" w14:textId="77777777" w:rsidR="00133AC8" w:rsidRPr="003730B5" w:rsidRDefault="00133AC8" w:rsidP="008764C5">
            <w:pPr>
              <w:keepNext/>
              <w:jc w:val="center"/>
              <w:rPr>
                <w:b/>
                <w:color w:val="000000"/>
                <w:sz w:val="20"/>
              </w:rPr>
            </w:pPr>
            <w:r w:rsidRPr="003730B5">
              <w:rPr>
                <w:b/>
                <w:color w:val="000000"/>
                <w:sz w:val="20"/>
              </w:rPr>
              <w:t>Výše důchodu přiznaného v roce 2023 při 40 letech pojištění</w:t>
            </w:r>
          </w:p>
        </w:tc>
        <w:tc>
          <w:tcPr>
            <w:tcW w:w="19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CDB53F" w14:textId="77777777" w:rsidR="00133AC8" w:rsidRPr="003730B5" w:rsidRDefault="00133AC8" w:rsidP="008764C5">
            <w:pPr>
              <w:keepNext/>
              <w:jc w:val="center"/>
              <w:rPr>
                <w:b/>
                <w:color w:val="000000"/>
                <w:sz w:val="20"/>
              </w:rPr>
            </w:pPr>
            <w:r w:rsidRPr="003730B5">
              <w:rPr>
                <w:b/>
                <w:color w:val="000000"/>
                <w:sz w:val="20"/>
              </w:rPr>
              <w:t>Výše celkově vyplaceného důchodu za 20 let pobírání</w:t>
            </w:r>
          </w:p>
        </w:tc>
      </w:tr>
      <w:tr w:rsidR="00133AC8" w:rsidRPr="003730B5" w14:paraId="27EC4E62" w14:textId="77777777" w:rsidTr="008764C5">
        <w:trPr>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1BAE9EDD" w14:textId="77777777" w:rsidR="00133AC8" w:rsidRPr="003730B5" w:rsidRDefault="00133AC8" w:rsidP="008764C5">
            <w:pPr>
              <w:keepNext/>
              <w:jc w:val="center"/>
              <w:rPr>
                <w:color w:val="000000"/>
                <w:sz w:val="20"/>
              </w:rPr>
            </w:pPr>
            <w:r w:rsidRPr="003730B5">
              <w:rPr>
                <w:color w:val="000000"/>
                <w:sz w:val="20"/>
              </w:rPr>
              <w:t>5 837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15113FC8" w14:textId="77777777" w:rsidR="00133AC8" w:rsidRPr="003730B5" w:rsidRDefault="00133AC8" w:rsidP="008764C5">
            <w:pPr>
              <w:keepNext/>
              <w:jc w:val="center"/>
              <w:rPr>
                <w:color w:val="000000"/>
                <w:sz w:val="20"/>
              </w:rPr>
            </w:pPr>
            <w:r w:rsidRPr="003730B5">
              <w:rPr>
                <w:color w:val="000000"/>
                <w:sz w:val="20"/>
              </w:rPr>
              <w:t>1 635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C897AC" w14:textId="77777777" w:rsidR="00133AC8" w:rsidRPr="003730B5" w:rsidRDefault="00133AC8" w:rsidP="008764C5">
            <w:pPr>
              <w:keepNext/>
              <w:jc w:val="center"/>
              <w:rPr>
                <w:color w:val="000000"/>
                <w:sz w:val="20"/>
              </w:rPr>
            </w:pPr>
            <w:r w:rsidRPr="003730B5">
              <w:rPr>
                <w:color w:val="000000"/>
                <w:sz w:val="20"/>
              </w:rPr>
              <w:t>784 416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76F8E48" w14:textId="77777777" w:rsidR="00133AC8" w:rsidRPr="003730B5" w:rsidRDefault="00133AC8" w:rsidP="008764C5">
            <w:pPr>
              <w:keepNext/>
              <w:jc w:val="center"/>
              <w:rPr>
                <w:color w:val="000000"/>
                <w:sz w:val="20"/>
              </w:rPr>
            </w:pPr>
            <w:r w:rsidRPr="003730B5">
              <w:rPr>
                <w:color w:val="000000"/>
                <w:sz w:val="20"/>
              </w:rPr>
              <w:t>3 502</w:t>
            </w:r>
          </w:p>
        </w:tc>
        <w:tc>
          <w:tcPr>
            <w:tcW w:w="1979" w:type="dxa"/>
            <w:tcBorders>
              <w:top w:val="single" w:sz="4" w:space="0" w:color="auto"/>
              <w:left w:val="single" w:sz="4" w:space="0" w:color="auto"/>
              <w:bottom w:val="single" w:sz="4" w:space="0" w:color="auto"/>
              <w:right w:val="single" w:sz="4" w:space="0" w:color="auto"/>
            </w:tcBorders>
            <w:vAlign w:val="center"/>
            <w:hideMark/>
          </w:tcPr>
          <w:p w14:paraId="2DB2301B" w14:textId="77777777" w:rsidR="00133AC8" w:rsidRPr="003730B5" w:rsidRDefault="00133AC8" w:rsidP="008764C5">
            <w:pPr>
              <w:keepNext/>
              <w:jc w:val="center"/>
              <w:rPr>
                <w:color w:val="000000"/>
                <w:sz w:val="20"/>
              </w:rPr>
            </w:pPr>
            <w:r w:rsidRPr="003730B5">
              <w:rPr>
                <w:color w:val="000000"/>
                <w:sz w:val="20"/>
              </w:rPr>
              <w:t>840 480</w:t>
            </w:r>
          </w:p>
        </w:tc>
      </w:tr>
    </w:tbl>
    <w:p w14:paraId="2F87BF86" w14:textId="77777777" w:rsidR="00133AC8" w:rsidRPr="003730B5" w:rsidRDefault="00133AC8" w:rsidP="00133AC8">
      <w:pPr>
        <w:pStyle w:val="Bezmezer"/>
        <w:spacing w:before="120" w:after="120"/>
        <w:rPr>
          <w:rFonts w:ascii="Times New Roman" w:hAnsi="Times New Roman"/>
          <w:sz w:val="24"/>
          <w:szCs w:val="24"/>
        </w:rPr>
      </w:pPr>
      <w:r w:rsidRPr="003730B5">
        <w:rPr>
          <w:rFonts w:ascii="Times New Roman" w:hAnsi="Times New Roman"/>
          <w:sz w:val="24"/>
          <w:szCs w:val="24"/>
        </w:rPr>
        <w:t>Zvýšení bude rozloženo do 3 let, tj. v každém roce se vyměřovací základ zvýší o 1 946 Kč a pojistné o 545 Kč.</w:t>
      </w:r>
    </w:p>
    <w:p w14:paraId="05CB3AD2" w14:textId="77777777" w:rsidR="00133AC8" w:rsidRPr="003730B5" w:rsidRDefault="00133AC8" w:rsidP="00133AC8">
      <w:pPr>
        <w:pStyle w:val="Bezmezer"/>
        <w:spacing w:before="120" w:after="120"/>
        <w:rPr>
          <w:rFonts w:ascii="Times New Roman" w:hAnsi="Times New Roman"/>
          <w:sz w:val="24"/>
          <w:szCs w:val="24"/>
        </w:rPr>
      </w:pPr>
      <w:r w:rsidRPr="003730B5">
        <w:rPr>
          <w:rFonts w:ascii="Times New Roman" w:hAnsi="Times New Roman"/>
          <w:sz w:val="24"/>
          <w:szCs w:val="24"/>
        </w:rPr>
        <w:t>Obdobný dopad z pohledů návratnosti pojistného by byl i u těch OSVČ, které by vzhledem k jejich věku platily zvýšené minimální pojistné kratší dobu. Například při době placení odvodů ve výši 40 % průměrné mzdy po dobu 10 nebo 20 let by byla změna následující:</w:t>
      </w:r>
    </w:p>
    <w:p w14:paraId="609C342C" w14:textId="77777777" w:rsidR="00133AC8" w:rsidRPr="003730B5" w:rsidRDefault="00133AC8" w:rsidP="00133AC8">
      <w:pPr>
        <w:pStyle w:val="Bezmezer"/>
        <w:spacing w:after="120"/>
        <w:rPr>
          <w:rFonts w:ascii="Times New Roman" w:hAnsi="Times New Roman"/>
          <w:b/>
          <w:sz w:val="20"/>
          <w:szCs w:val="24"/>
        </w:rPr>
      </w:pPr>
      <w:r w:rsidRPr="003730B5">
        <w:rPr>
          <w:rFonts w:ascii="Times New Roman" w:hAnsi="Times New Roman"/>
          <w:b/>
          <w:sz w:val="20"/>
          <w:szCs w:val="24"/>
        </w:rPr>
        <w:t xml:space="preserve">Tabulka </w:t>
      </w:r>
      <w:r w:rsidRPr="003730B5">
        <w:rPr>
          <w:rFonts w:ascii="Times New Roman" w:hAnsi="Times New Roman"/>
          <w:b/>
          <w:sz w:val="20"/>
          <w:szCs w:val="24"/>
        </w:rPr>
        <w:fldChar w:fldCharType="begin"/>
      </w:r>
      <w:r w:rsidRPr="003730B5">
        <w:rPr>
          <w:rFonts w:ascii="Times New Roman" w:hAnsi="Times New Roman"/>
          <w:b/>
          <w:sz w:val="20"/>
          <w:szCs w:val="24"/>
        </w:rPr>
        <w:instrText xml:space="preserve"> SEQ Tabulka \* ARABIC </w:instrText>
      </w:r>
      <w:r w:rsidRPr="003730B5">
        <w:rPr>
          <w:rFonts w:ascii="Times New Roman" w:hAnsi="Times New Roman"/>
          <w:b/>
          <w:sz w:val="20"/>
          <w:szCs w:val="24"/>
        </w:rPr>
        <w:fldChar w:fldCharType="separate"/>
      </w:r>
      <w:r w:rsidRPr="003730B5">
        <w:rPr>
          <w:rFonts w:ascii="Times New Roman" w:hAnsi="Times New Roman"/>
          <w:b/>
          <w:noProof/>
          <w:sz w:val="20"/>
          <w:szCs w:val="24"/>
        </w:rPr>
        <w:t>4</w:t>
      </w:r>
      <w:r w:rsidRPr="003730B5">
        <w:rPr>
          <w:rFonts w:ascii="Times New Roman" w:hAnsi="Times New Roman"/>
          <w:b/>
          <w:sz w:val="20"/>
          <w:szCs w:val="24"/>
        </w:rPr>
        <w:fldChar w:fldCharType="end"/>
      </w:r>
      <w:r w:rsidRPr="003730B5">
        <w:rPr>
          <w:rFonts w:ascii="Times New Roman" w:hAnsi="Times New Roman"/>
          <w:b/>
          <w:sz w:val="20"/>
          <w:szCs w:val="24"/>
        </w:rPr>
        <w:t xml:space="preserve"> - Rozdíl výše celkového odvodu a výše vyplaceného důchodu při současném a stavu a zvýšení minima (10 let)</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559"/>
        <w:gridCol w:w="1701"/>
        <w:gridCol w:w="1701"/>
        <w:gridCol w:w="1979"/>
      </w:tblGrid>
      <w:tr w:rsidR="00133AC8" w:rsidRPr="003730B5" w14:paraId="49B83C9E" w14:textId="77777777" w:rsidTr="008764C5">
        <w:trPr>
          <w:jc w:val="cent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38A6A6D" w14:textId="77777777" w:rsidR="00133AC8" w:rsidRPr="003730B5" w:rsidRDefault="00133AC8" w:rsidP="008764C5">
            <w:pPr>
              <w:keepNext/>
              <w:jc w:val="center"/>
              <w:rPr>
                <w:b/>
                <w:color w:val="000000"/>
                <w:sz w:val="20"/>
              </w:rPr>
            </w:pPr>
            <w:r w:rsidRPr="003730B5">
              <w:rPr>
                <w:b/>
                <w:color w:val="000000"/>
                <w:sz w:val="20"/>
              </w:rPr>
              <w:t>Osobní vyměřovací základ (OVZ)</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21CDC2" w14:textId="77777777" w:rsidR="00133AC8" w:rsidRPr="003730B5" w:rsidRDefault="00133AC8" w:rsidP="008764C5">
            <w:pPr>
              <w:keepNext/>
              <w:jc w:val="center"/>
              <w:rPr>
                <w:b/>
                <w:color w:val="000000"/>
                <w:sz w:val="20"/>
              </w:rPr>
            </w:pPr>
            <w:r w:rsidRPr="003730B5">
              <w:rPr>
                <w:b/>
                <w:color w:val="000000"/>
                <w:sz w:val="20"/>
              </w:rPr>
              <w:t>Výše pojistného na důchodové pojištění (z daného OVZ)</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DF767A" w14:textId="77777777" w:rsidR="00133AC8" w:rsidRPr="003730B5" w:rsidRDefault="00133AC8" w:rsidP="008764C5">
            <w:pPr>
              <w:keepNext/>
              <w:jc w:val="center"/>
              <w:rPr>
                <w:b/>
                <w:color w:val="000000"/>
                <w:sz w:val="20"/>
              </w:rPr>
            </w:pPr>
            <w:r w:rsidRPr="003730B5">
              <w:rPr>
                <w:b/>
                <w:color w:val="000000"/>
                <w:sz w:val="20"/>
              </w:rPr>
              <w:t>Výše celkového odvodu za 40 let</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D0E87C" w14:textId="77777777" w:rsidR="00133AC8" w:rsidRPr="003730B5" w:rsidRDefault="00133AC8" w:rsidP="008764C5">
            <w:pPr>
              <w:keepNext/>
              <w:jc w:val="center"/>
              <w:rPr>
                <w:b/>
                <w:color w:val="000000"/>
                <w:sz w:val="20"/>
              </w:rPr>
            </w:pPr>
            <w:r w:rsidRPr="003730B5">
              <w:rPr>
                <w:b/>
                <w:color w:val="000000"/>
                <w:sz w:val="20"/>
              </w:rPr>
              <w:t>Výše důchodu přiznaného v roce 2023 při 40 letech pojištění</w:t>
            </w:r>
          </w:p>
        </w:tc>
        <w:tc>
          <w:tcPr>
            <w:tcW w:w="19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739F70" w14:textId="77777777" w:rsidR="00133AC8" w:rsidRPr="003730B5" w:rsidRDefault="00133AC8" w:rsidP="008764C5">
            <w:pPr>
              <w:keepNext/>
              <w:jc w:val="center"/>
              <w:rPr>
                <w:b/>
                <w:color w:val="000000"/>
                <w:sz w:val="20"/>
              </w:rPr>
            </w:pPr>
            <w:r w:rsidRPr="003730B5">
              <w:rPr>
                <w:b/>
                <w:color w:val="000000"/>
                <w:sz w:val="20"/>
              </w:rPr>
              <w:t>Výše celkově vyplaceného důchodu za 20 let pobírání</w:t>
            </w:r>
          </w:p>
        </w:tc>
      </w:tr>
      <w:tr w:rsidR="00133AC8" w:rsidRPr="003730B5" w14:paraId="0233CE1A" w14:textId="77777777" w:rsidTr="008764C5">
        <w:trPr>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3BFA4454" w14:textId="77777777" w:rsidR="00133AC8" w:rsidRPr="003730B5" w:rsidRDefault="00133AC8" w:rsidP="008764C5">
            <w:pPr>
              <w:keepNext/>
              <w:jc w:val="center"/>
              <w:rPr>
                <w:color w:val="000000"/>
                <w:sz w:val="20"/>
              </w:rPr>
            </w:pPr>
            <w:r w:rsidRPr="003730B5">
              <w:rPr>
                <w:color w:val="000000"/>
                <w:sz w:val="20"/>
              </w:rPr>
              <w:t>1 459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B1C1692" w14:textId="77777777" w:rsidR="00133AC8" w:rsidRPr="003730B5" w:rsidRDefault="00133AC8" w:rsidP="008764C5">
            <w:pPr>
              <w:keepNext/>
              <w:jc w:val="center"/>
              <w:rPr>
                <w:color w:val="000000"/>
                <w:sz w:val="20"/>
              </w:rPr>
            </w:pPr>
            <w:r w:rsidRPr="003730B5">
              <w:rPr>
                <w:color w:val="000000"/>
                <w:sz w:val="20"/>
              </w:rPr>
              <w:t>408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9AA087" w14:textId="77777777" w:rsidR="00133AC8" w:rsidRPr="003730B5" w:rsidRDefault="00133AC8" w:rsidP="008764C5">
            <w:pPr>
              <w:keepNext/>
              <w:jc w:val="center"/>
              <w:rPr>
                <w:color w:val="000000"/>
                <w:sz w:val="20"/>
              </w:rPr>
            </w:pPr>
            <w:r w:rsidRPr="003730B5">
              <w:rPr>
                <w:color w:val="000000"/>
                <w:sz w:val="20"/>
              </w:rPr>
              <w:t>196 046</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A0D2B70" w14:textId="77777777" w:rsidR="00133AC8" w:rsidRPr="003730B5" w:rsidRDefault="00133AC8" w:rsidP="008764C5">
            <w:pPr>
              <w:keepNext/>
              <w:jc w:val="center"/>
              <w:rPr>
                <w:color w:val="000000"/>
                <w:sz w:val="20"/>
              </w:rPr>
            </w:pPr>
            <w:r w:rsidRPr="003730B5">
              <w:rPr>
                <w:color w:val="000000"/>
                <w:sz w:val="20"/>
              </w:rPr>
              <w:t>875</w:t>
            </w:r>
          </w:p>
        </w:tc>
        <w:tc>
          <w:tcPr>
            <w:tcW w:w="1979" w:type="dxa"/>
            <w:tcBorders>
              <w:top w:val="single" w:sz="4" w:space="0" w:color="auto"/>
              <w:left w:val="single" w:sz="4" w:space="0" w:color="auto"/>
              <w:bottom w:val="single" w:sz="4" w:space="0" w:color="auto"/>
              <w:right w:val="single" w:sz="4" w:space="0" w:color="auto"/>
            </w:tcBorders>
            <w:vAlign w:val="center"/>
            <w:hideMark/>
          </w:tcPr>
          <w:p w14:paraId="66486411" w14:textId="77777777" w:rsidR="00133AC8" w:rsidRPr="003730B5" w:rsidRDefault="00133AC8" w:rsidP="008764C5">
            <w:pPr>
              <w:keepNext/>
              <w:jc w:val="center"/>
              <w:rPr>
                <w:color w:val="000000"/>
                <w:sz w:val="20"/>
              </w:rPr>
            </w:pPr>
            <w:r w:rsidRPr="003730B5">
              <w:rPr>
                <w:color w:val="000000"/>
                <w:sz w:val="20"/>
              </w:rPr>
              <w:t>210 084</w:t>
            </w:r>
          </w:p>
        </w:tc>
      </w:tr>
    </w:tbl>
    <w:p w14:paraId="18765A78" w14:textId="77777777" w:rsidR="00133AC8" w:rsidRPr="003730B5" w:rsidRDefault="00133AC8" w:rsidP="00133AC8">
      <w:pPr>
        <w:pStyle w:val="Bezmezer"/>
        <w:spacing w:before="240" w:after="120"/>
        <w:rPr>
          <w:rFonts w:ascii="Times New Roman" w:hAnsi="Times New Roman"/>
          <w:b/>
          <w:sz w:val="20"/>
          <w:szCs w:val="24"/>
        </w:rPr>
      </w:pPr>
      <w:r w:rsidRPr="003730B5">
        <w:rPr>
          <w:rFonts w:ascii="Times New Roman" w:hAnsi="Times New Roman"/>
          <w:b/>
          <w:sz w:val="20"/>
          <w:szCs w:val="24"/>
        </w:rPr>
        <w:t xml:space="preserve">Tabulka </w:t>
      </w:r>
      <w:r w:rsidRPr="003730B5">
        <w:rPr>
          <w:rFonts w:ascii="Times New Roman" w:hAnsi="Times New Roman"/>
          <w:b/>
          <w:sz w:val="20"/>
          <w:szCs w:val="24"/>
        </w:rPr>
        <w:fldChar w:fldCharType="begin"/>
      </w:r>
      <w:r w:rsidRPr="003730B5">
        <w:rPr>
          <w:rFonts w:ascii="Times New Roman" w:hAnsi="Times New Roman"/>
          <w:b/>
          <w:sz w:val="20"/>
          <w:szCs w:val="24"/>
        </w:rPr>
        <w:instrText xml:space="preserve"> SEQ Tabulka \* ARABIC </w:instrText>
      </w:r>
      <w:r w:rsidRPr="003730B5">
        <w:rPr>
          <w:rFonts w:ascii="Times New Roman" w:hAnsi="Times New Roman"/>
          <w:b/>
          <w:sz w:val="20"/>
          <w:szCs w:val="24"/>
        </w:rPr>
        <w:fldChar w:fldCharType="separate"/>
      </w:r>
      <w:r w:rsidRPr="003730B5">
        <w:rPr>
          <w:rFonts w:ascii="Times New Roman" w:hAnsi="Times New Roman"/>
          <w:b/>
          <w:noProof/>
          <w:sz w:val="20"/>
          <w:szCs w:val="24"/>
        </w:rPr>
        <w:t>5</w:t>
      </w:r>
      <w:r w:rsidRPr="003730B5">
        <w:rPr>
          <w:rFonts w:ascii="Times New Roman" w:hAnsi="Times New Roman"/>
          <w:b/>
          <w:sz w:val="20"/>
          <w:szCs w:val="24"/>
        </w:rPr>
        <w:fldChar w:fldCharType="end"/>
      </w:r>
      <w:r w:rsidRPr="003730B5">
        <w:rPr>
          <w:rFonts w:ascii="Times New Roman" w:hAnsi="Times New Roman"/>
          <w:b/>
          <w:sz w:val="20"/>
          <w:szCs w:val="24"/>
        </w:rPr>
        <w:t xml:space="preserve"> - Rozdíl výše celkového odvodu a výše vyplaceného důchodu při současném a stavu a zvýšení minima (20 let)</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559"/>
        <w:gridCol w:w="1701"/>
        <w:gridCol w:w="1701"/>
        <w:gridCol w:w="1979"/>
      </w:tblGrid>
      <w:tr w:rsidR="00133AC8" w:rsidRPr="003730B5" w14:paraId="2BE0F969" w14:textId="77777777" w:rsidTr="008764C5">
        <w:trPr>
          <w:jc w:val="cent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F7968B8" w14:textId="77777777" w:rsidR="00133AC8" w:rsidRPr="003730B5" w:rsidRDefault="00133AC8" w:rsidP="008764C5">
            <w:pPr>
              <w:keepNext/>
              <w:jc w:val="center"/>
              <w:rPr>
                <w:b/>
                <w:color w:val="000000"/>
                <w:sz w:val="20"/>
              </w:rPr>
            </w:pPr>
            <w:r w:rsidRPr="003730B5">
              <w:rPr>
                <w:b/>
                <w:color w:val="000000"/>
                <w:sz w:val="20"/>
              </w:rPr>
              <w:t>Osobní vyměřovací základ (OVZ)</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FB30B06" w14:textId="77777777" w:rsidR="00133AC8" w:rsidRPr="003730B5" w:rsidRDefault="00133AC8" w:rsidP="008764C5">
            <w:pPr>
              <w:keepNext/>
              <w:jc w:val="center"/>
              <w:rPr>
                <w:b/>
                <w:color w:val="000000"/>
                <w:sz w:val="20"/>
              </w:rPr>
            </w:pPr>
            <w:r w:rsidRPr="003730B5">
              <w:rPr>
                <w:b/>
                <w:color w:val="000000"/>
                <w:sz w:val="20"/>
              </w:rPr>
              <w:t>Výše pojistného na důchodové pojištění (z daného OVZ)</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BAB727" w14:textId="77777777" w:rsidR="00133AC8" w:rsidRPr="003730B5" w:rsidRDefault="00133AC8" w:rsidP="008764C5">
            <w:pPr>
              <w:keepNext/>
              <w:jc w:val="center"/>
              <w:rPr>
                <w:b/>
                <w:color w:val="000000"/>
                <w:sz w:val="20"/>
              </w:rPr>
            </w:pPr>
            <w:r w:rsidRPr="003730B5">
              <w:rPr>
                <w:b/>
                <w:color w:val="000000"/>
                <w:sz w:val="20"/>
              </w:rPr>
              <w:t>Výše celkového odvodu za 40 let</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112211" w14:textId="77777777" w:rsidR="00133AC8" w:rsidRPr="003730B5" w:rsidRDefault="00133AC8" w:rsidP="008764C5">
            <w:pPr>
              <w:keepNext/>
              <w:jc w:val="center"/>
              <w:rPr>
                <w:b/>
                <w:color w:val="000000"/>
                <w:sz w:val="20"/>
              </w:rPr>
            </w:pPr>
            <w:r w:rsidRPr="003730B5">
              <w:rPr>
                <w:b/>
                <w:color w:val="000000"/>
                <w:sz w:val="20"/>
              </w:rPr>
              <w:t>Výše důchodu přiznaného v roce 2023 při 40 letech pojištění</w:t>
            </w:r>
          </w:p>
        </w:tc>
        <w:tc>
          <w:tcPr>
            <w:tcW w:w="19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54CA49" w14:textId="77777777" w:rsidR="00133AC8" w:rsidRPr="003730B5" w:rsidRDefault="00133AC8" w:rsidP="008764C5">
            <w:pPr>
              <w:keepNext/>
              <w:jc w:val="center"/>
              <w:rPr>
                <w:b/>
                <w:color w:val="000000"/>
                <w:sz w:val="20"/>
              </w:rPr>
            </w:pPr>
            <w:r w:rsidRPr="003730B5">
              <w:rPr>
                <w:b/>
                <w:color w:val="000000"/>
                <w:sz w:val="20"/>
              </w:rPr>
              <w:t>Výše celkově vyplaceného důchodu za 20 let pobírání</w:t>
            </w:r>
          </w:p>
        </w:tc>
      </w:tr>
      <w:tr w:rsidR="00133AC8" w:rsidRPr="003730B5" w14:paraId="5A8CD09D" w14:textId="77777777" w:rsidTr="008764C5">
        <w:trPr>
          <w:jc w:val="center"/>
        </w:trPr>
        <w:tc>
          <w:tcPr>
            <w:tcW w:w="2122" w:type="dxa"/>
            <w:tcBorders>
              <w:top w:val="single" w:sz="4" w:space="0" w:color="auto"/>
              <w:left w:val="single" w:sz="4" w:space="0" w:color="auto"/>
              <w:bottom w:val="single" w:sz="4" w:space="0" w:color="auto"/>
              <w:right w:val="single" w:sz="4" w:space="0" w:color="auto"/>
            </w:tcBorders>
            <w:noWrap/>
            <w:vAlign w:val="center"/>
            <w:hideMark/>
          </w:tcPr>
          <w:p w14:paraId="70CCEF08" w14:textId="77777777" w:rsidR="00133AC8" w:rsidRPr="003730B5" w:rsidRDefault="00133AC8" w:rsidP="008764C5">
            <w:pPr>
              <w:keepNext/>
              <w:jc w:val="center"/>
              <w:rPr>
                <w:color w:val="000000"/>
                <w:sz w:val="20"/>
              </w:rPr>
            </w:pPr>
            <w:r w:rsidRPr="003730B5">
              <w:rPr>
                <w:color w:val="000000"/>
                <w:sz w:val="20"/>
              </w:rPr>
              <w:t>2 919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0FB0776" w14:textId="77777777" w:rsidR="00133AC8" w:rsidRPr="003730B5" w:rsidRDefault="00133AC8" w:rsidP="008764C5">
            <w:pPr>
              <w:keepNext/>
              <w:jc w:val="center"/>
              <w:rPr>
                <w:color w:val="000000"/>
                <w:sz w:val="20"/>
              </w:rPr>
            </w:pPr>
            <w:r w:rsidRPr="003730B5">
              <w:rPr>
                <w:color w:val="000000"/>
                <w:sz w:val="20"/>
              </w:rPr>
              <w:t>817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59EF97" w14:textId="77777777" w:rsidR="00133AC8" w:rsidRPr="003730B5" w:rsidRDefault="00133AC8" w:rsidP="008764C5">
            <w:pPr>
              <w:keepNext/>
              <w:jc w:val="center"/>
              <w:rPr>
                <w:color w:val="000000"/>
                <w:sz w:val="20"/>
              </w:rPr>
            </w:pPr>
            <w:r w:rsidRPr="003730B5">
              <w:rPr>
                <w:color w:val="000000"/>
                <w:sz w:val="20"/>
              </w:rPr>
              <w:t>392 170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A4956C3" w14:textId="77777777" w:rsidR="00133AC8" w:rsidRPr="003730B5" w:rsidRDefault="00133AC8" w:rsidP="008764C5">
            <w:pPr>
              <w:keepNext/>
              <w:jc w:val="center"/>
              <w:rPr>
                <w:color w:val="000000"/>
                <w:sz w:val="20"/>
              </w:rPr>
            </w:pPr>
            <w:r w:rsidRPr="003730B5">
              <w:rPr>
                <w:color w:val="000000"/>
                <w:sz w:val="20"/>
              </w:rPr>
              <w:t>1 751</w:t>
            </w:r>
          </w:p>
        </w:tc>
        <w:tc>
          <w:tcPr>
            <w:tcW w:w="1979" w:type="dxa"/>
            <w:tcBorders>
              <w:top w:val="single" w:sz="4" w:space="0" w:color="auto"/>
              <w:left w:val="single" w:sz="4" w:space="0" w:color="auto"/>
              <w:bottom w:val="single" w:sz="4" w:space="0" w:color="auto"/>
              <w:right w:val="single" w:sz="4" w:space="0" w:color="auto"/>
            </w:tcBorders>
            <w:vAlign w:val="center"/>
            <w:hideMark/>
          </w:tcPr>
          <w:p w14:paraId="7A925326" w14:textId="77777777" w:rsidR="00133AC8" w:rsidRPr="003730B5" w:rsidRDefault="00133AC8" w:rsidP="008764C5">
            <w:pPr>
              <w:keepNext/>
              <w:jc w:val="center"/>
              <w:rPr>
                <w:color w:val="000000"/>
                <w:sz w:val="20"/>
              </w:rPr>
            </w:pPr>
            <w:r w:rsidRPr="003730B5">
              <w:rPr>
                <w:color w:val="000000"/>
                <w:sz w:val="20"/>
              </w:rPr>
              <w:t>420 216</w:t>
            </w:r>
          </w:p>
        </w:tc>
      </w:tr>
    </w:tbl>
    <w:p w14:paraId="672C01F5" w14:textId="77777777" w:rsidR="00133AC8" w:rsidRPr="003730B5" w:rsidRDefault="00133AC8" w:rsidP="00133AC8">
      <w:pPr>
        <w:spacing w:before="200"/>
      </w:pPr>
      <w:r w:rsidRPr="003730B5">
        <w:t>U osob, které se věnují dlouhodobě pouze samostatné výdělečné činnosti (celoživotní OSVČ</w:t>
      </w:r>
      <w:r w:rsidRPr="003730B5">
        <w:rPr>
          <w:rStyle w:val="Znakapoznpodarou"/>
        </w:rPr>
        <w:footnoteReference w:id="8"/>
      </w:r>
      <w:r w:rsidRPr="003730B5">
        <w:t>) je jejich osobní vyměřovací základ</w:t>
      </w:r>
      <w:r w:rsidRPr="003730B5">
        <w:rPr>
          <w:rStyle w:val="Znakapoznpodarou"/>
        </w:rPr>
        <w:footnoteReference w:id="9"/>
      </w:r>
      <w:r w:rsidRPr="003730B5">
        <w:t xml:space="preserve"> tvořen v zásadě pouze z výdělků ze samostatné výdělečné činnos</w:t>
      </w:r>
      <w:r w:rsidRPr="003730B5">
        <w:rPr>
          <w:szCs w:val="24"/>
        </w:rPr>
        <w:t>ti a jejich rozhodnutím o výši konkrétního vyměřovacího základu s ohledem na stanovená minima.</w:t>
      </w:r>
    </w:p>
    <w:p w14:paraId="1E53F590" w14:textId="77777777" w:rsidR="00133AC8" w:rsidRPr="003730B5" w:rsidRDefault="00133AC8" w:rsidP="00133AC8">
      <w:pPr>
        <w:pStyle w:val="Bezmezer"/>
        <w:spacing w:before="120" w:after="120"/>
        <w:rPr>
          <w:rFonts w:ascii="Times New Roman" w:hAnsi="Times New Roman"/>
          <w:sz w:val="24"/>
          <w:szCs w:val="24"/>
        </w:rPr>
      </w:pPr>
      <w:r w:rsidRPr="003730B5">
        <w:rPr>
          <w:rFonts w:ascii="Times New Roman" w:hAnsi="Times New Roman"/>
          <w:sz w:val="24"/>
          <w:szCs w:val="24"/>
        </w:rPr>
        <w:t>Průměrný osobní vyměřovací základ celoživotních OSVČ činil 19 515 Kč, což je zhruba 57 % průměrného osobního vyměřovacího základu všech starobních důchodů přiznaných v roce 2021 (34 050 Kč). U mužů to bylo 20 640 Kč, zatímco u žen 16 489 Kč. Osobní vyměřovací základ u žen činí necelých 80 % osobního vyměřovacího základu u mužů.</w:t>
      </w:r>
    </w:p>
    <w:p w14:paraId="16005BD3" w14:textId="77777777" w:rsidR="00133AC8" w:rsidRPr="003730B5" w:rsidRDefault="00133AC8" w:rsidP="00133AC8">
      <w:pPr>
        <w:pStyle w:val="Bezmezer"/>
        <w:keepNext/>
        <w:keepLines/>
        <w:spacing w:after="120"/>
        <w:rPr>
          <w:rFonts w:ascii="Times New Roman" w:hAnsi="Times New Roman"/>
          <w:b/>
          <w:sz w:val="20"/>
          <w:szCs w:val="24"/>
        </w:rPr>
      </w:pPr>
      <w:r w:rsidRPr="003730B5">
        <w:rPr>
          <w:rFonts w:ascii="Times New Roman" w:hAnsi="Times New Roman"/>
          <w:b/>
          <w:sz w:val="20"/>
          <w:szCs w:val="24"/>
        </w:rPr>
        <w:lastRenderedPageBreak/>
        <w:t xml:space="preserve">Graf </w:t>
      </w:r>
      <w:r w:rsidRPr="003730B5">
        <w:rPr>
          <w:rFonts w:ascii="Times New Roman" w:hAnsi="Times New Roman"/>
          <w:b/>
          <w:sz w:val="20"/>
          <w:szCs w:val="24"/>
        </w:rPr>
        <w:fldChar w:fldCharType="begin"/>
      </w:r>
      <w:r w:rsidRPr="003730B5">
        <w:rPr>
          <w:rFonts w:ascii="Times New Roman" w:hAnsi="Times New Roman"/>
          <w:b/>
          <w:sz w:val="20"/>
          <w:szCs w:val="24"/>
        </w:rPr>
        <w:instrText xml:space="preserve"> SEQ Graf \* ARABIC </w:instrText>
      </w:r>
      <w:r w:rsidRPr="003730B5">
        <w:rPr>
          <w:rFonts w:ascii="Times New Roman" w:hAnsi="Times New Roman"/>
          <w:b/>
          <w:sz w:val="20"/>
          <w:szCs w:val="24"/>
        </w:rPr>
        <w:fldChar w:fldCharType="separate"/>
      </w:r>
      <w:r w:rsidRPr="003730B5">
        <w:rPr>
          <w:rFonts w:ascii="Times New Roman" w:hAnsi="Times New Roman"/>
          <w:b/>
          <w:noProof/>
          <w:sz w:val="20"/>
          <w:szCs w:val="24"/>
        </w:rPr>
        <w:t>1</w:t>
      </w:r>
      <w:r w:rsidRPr="003730B5">
        <w:rPr>
          <w:rFonts w:ascii="Times New Roman" w:hAnsi="Times New Roman"/>
          <w:b/>
          <w:sz w:val="20"/>
          <w:szCs w:val="24"/>
        </w:rPr>
        <w:fldChar w:fldCharType="end"/>
      </w:r>
      <w:r w:rsidRPr="003730B5">
        <w:rPr>
          <w:rFonts w:ascii="Times New Roman" w:hAnsi="Times New Roman"/>
          <w:b/>
          <w:sz w:val="20"/>
          <w:szCs w:val="24"/>
        </w:rPr>
        <w:t xml:space="preserve"> – Rozložení osobního vyměřovacího základu u celoživotních OSVČ</w:t>
      </w:r>
    </w:p>
    <w:p w14:paraId="26CF5E35" w14:textId="77777777" w:rsidR="00133AC8" w:rsidRPr="003730B5" w:rsidRDefault="00133AC8" w:rsidP="00133AC8">
      <w:r w:rsidRPr="003730B5">
        <w:rPr>
          <w:noProof/>
        </w:rPr>
        <w:drawing>
          <wp:inline distT="0" distB="0" distL="0" distR="0" wp14:anchorId="20DE2328" wp14:editId="04F77ED1">
            <wp:extent cx="5764530" cy="3511550"/>
            <wp:effectExtent l="0" t="0" r="762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4530" cy="3511550"/>
                    </a:xfrm>
                    <a:prstGeom prst="rect">
                      <a:avLst/>
                    </a:prstGeom>
                    <a:noFill/>
                    <a:ln>
                      <a:noFill/>
                    </a:ln>
                  </pic:spPr>
                </pic:pic>
              </a:graphicData>
            </a:graphic>
          </wp:inline>
        </w:drawing>
      </w:r>
    </w:p>
    <w:p w14:paraId="7C5DE5B3" w14:textId="77777777" w:rsidR="00133AC8" w:rsidRPr="003730B5" w:rsidRDefault="00133AC8" w:rsidP="00133AC8">
      <w:pPr>
        <w:pStyle w:val="Bezmezer"/>
        <w:spacing w:before="120" w:after="120"/>
        <w:rPr>
          <w:rFonts w:ascii="Times New Roman" w:hAnsi="Times New Roman"/>
          <w:sz w:val="24"/>
          <w:szCs w:val="24"/>
        </w:rPr>
      </w:pPr>
      <w:r w:rsidRPr="003730B5">
        <w:rPr>
          <w:rFonts w:ascii="Times New Roman" w:hAnsi="Times New Roman"/>
          <w:sz w:val="24"/>
          <w:szCs w:val="24"/>
        </w:rPr>
        <w:t>Osobní vyměřovací základ celoživotních OSVČ se nejčastěji pohybuje mezi 13 a 15 tisíci Kč. V případě, že by tyto osoby platily po celou dobu výdělečné činnosti jako OSVČ pojistné pouze z minimálních vyměřovacích základů, činil by osobní vyměřovací základ zhruba 7 tisíc Kč. Takových osob je mezi celoživotními OSVČ maximálně do 5 %.</w:t>
      </w:r>
    </w:p>
    <w:p w14:paraId="03042319" w14:textId="77777777" w:rsidR="001915C1" w:rsidRPr="003730B5" w:rsidRDefault="001915C1" w:rsidP="00AF43AE">
      <w:pPr>
        <w:pStyle w:val="Bezmezer"/>
        <w:keepNext/>
        <w:spacing w:after="120"/>
        <w:rPr>
          <w:rFonts w:ascii="Times New Roman" w:hAnsi="Times New Roman"/>
          <w:b/>
          <w:sz w:val="20"/>
          <w:szCs w:val="24"/>
        </w:rPr>
      </w:pPr>
      <w:r w:rsidRPr="003730B5">
        <w:rPr>
          <w:rFonts w:ascii="Times New Roman" w:hAnsi="Times New Roman"/>
          <w:b/>
          <w:sz w:val="20"/>
          <w:szCs w:val="24"/>
        </w:rPr>
        <w:t xml:space="preserve">Graf </w:t>
      </w:r>
      <w:r w:rsidRPr="003730B5">
        <w:rPr>
          <w:rFonts w:ascii="Times New Roman" w:hAnsi="Times New Roman"/>
          <w:b/>
          <w:sz w:val="20"/>
          <w:szCs w:val="24"/>
        </w:rPr>
        <w:fldChar w:fldCharType="begin"/>
      </w:r>
      <w:r w:rsidRPr="003730B5">
        <w:rPr>
          <w:rFonts w:ascii="Times New Roman" w:hAnsi="Times New Roman"/>
          <w:b/>
          <w:sz w:val="20"/>
          <w:szCs w:val="24"/>
        </w:rPr>
        <w:instrText xml:space="preserve"> SEQ Graf \* ARABIC </w:instrText>
      </w:r>
      <w:r w:rsidRPr="003730B5">
        <w:rPr>
          <w:rFonts w:ascii="Times New Roman" w:hAnsi="Times New Roman"/>
          <w:b/>
          <w:sz w:val="20"/>
          <w:szCs w:val="24"/>
        </w:rPr>
        <w:fldChar w:fldCharType="separate"/>
      </w:r>
      <w:r w:rsidRPr="003730B5">
        <w:rPr>
          <w:rFonts w:ascii="Times New Roman" w:hAnsi="Times New Roman"/>
          <w:b/>
          <w:noProof/>
          <w:sz w:val="20"/>
          <w:szCs w:val="24"/>
        </w:rPr>
        <w:t>2</w:t>
      </w:r>
      <w:r w:rsidRPr="003730B5">
        <w:rPr>
          <w:rFonts w:ascii="Times New Roman" w:hAnsi="Times New Roman"/>
          <w:b/>
          <w:sz w:val="20"/>
          <w:szCs w:val="24"/>
        </w:rPr>
        <w:fldChar w:fldCharType="end"/>
      </w:r>
      <w:r w:rsidRPr="003730B5">
        <w:rPr>
          <w:rFonts w:ascii="Times New Roman" w:hAnsi="Times New Roman"/>
          <w:b/>
          <w:sz w:val="20"/>
          <w:szCs w:val="24"/>
        </w:rPr>
        <w:t xml:space="preserve"> – Rozložení osobního vyměřovacího základu u celoživotních OSVČ - muži</w:t>
      </w:r>
    </w:p>
    <w:p w14:paraId="4D42023F" w14:textId="61452F32" w:rsidR="00AB4355" w:rsidRPr="003730B5" w:rsidRDefault="001915C1" w:rsidP="00AF43AE">
      <w:pPr>
        <w:pStyle w:val="Titulek"/>
        <w:jc w:val="center"/>
        <w:outlineLvl w:val="9"/>
      </w:pPr>
      <w:r w:rsidRPr="003730B5">
        <w:rPr>
          <w:noProof/>
        </w:rPr>
        <w:drawing>
          <wp:inline distT="0" distB="0" distL="0" distR="0" wp14:anchorId="749954B8" wp14:editId="23FF229F">
            <wp:extent cx="5763600" cy="3508877"/>
            <wp:effectExtent l="0" t="0" r="889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3600" cy="3508877"/>
                    </a:xfrm>
                    <a:prstGeom prst="rect">
                      <a:avLst/>
                    </a:prstGeom>
                    <a:noFill/>
                    <a:ln>
                      <a:noFill/>
                    </a:ln>
                  </pic:spPr>
                </pic:pic>
              </a:graphicData>
            </a:graphic>
          </wp:inline>
        </w:drawing>
      </w:r>
    </w:p>
    <w:p w14:paraId="50C31759" w14:textId="3873CB10" w:rsidR="001915C1" w:rsidRPr="003730B5" w:rsidRDefault="001915C1" w:rsidP="001915C1">
      <w:pPr>
        <w:pStyle w:val="Titulek"/>
        <w:keepNext/>
        <w:outlineLvl w:val="9"/>
      </w:pPr>
      <w:r w:rsidRPr="003730B5">
        <w:rPr>
          <w:rFonts w:ascii="Times New Roman" w:hAnsi="Times New Roman"/>
          <w:color w:val="auto"/>
          <w:sz w:val="20"/>
          <w:szCs w:val="24"/>
        </w:rPr>
        <w:lastRenderedPageBreak/>
        <w:t xml:space="preserve">Graf </w:t>
      </w:r>
      <w:r w:rsidRPr="003730B5">
        <w:rPr>
          <w:rFonts w:ascii="Times New Roman" w:hAnsi="Times New Roman"/>
          <w:color w:val="auto"/>
          <w:sz w:val="20"/>
          <w:szCs w:val="24"/>
        </w:rPr>
        <w:fldChar w:fldCharType="begin"/>
      </w:r>
      <w:r w:rsidRPr="003730B5">
        <w:rPr>
          <w:rFonts w:ascii="Times New Roman" w:hAnsi="Times New Roman"/>
          <w:color w:val="auto"/>
          <w:sz w:val="20"/>
          <w:szCs w:val="24"/>
        </w:rPr>
        <w:instrText xml:space="preserve"> SEQ Graf \* ARABIC </w:instrText>
      </w:r>
      <w:r w:rsidRPr="003730B5">
        <w:rPr>
          <w:rFonts w:ascii="Times New Roman" w:hAnsi="Times New Roman"/>
          <w:color w:val="auto"/>
          <w:sz w:val="20"/>
          <w:szCs w:val="24"/>
        </w:rPr>
        <w:fldChar w:fldCharType="separate"/>
      </w:r>
      <w:r w:rsidRPr="003730B5">
        <w:rPr>
          <w:rFonts w:ascii="Times New Roman" w:hAnsi="Times New Roman"/>
          <w:noProof/>
          <w:color w:val="auto"/>
          <w:sz w:val="20"/>
          <w:szCs w:val="24"/>
        </w:rPr>
        <w:t>3</w:t>
      </w:r>
      <w:r w:rsidRPr="003730B5">
        <w:rPr>
          <w:rFonts w:ascii="Times New Roman" w:hAnsi="Times New Roman"/>
          <w:color w:val="auto"/>
          <w:sz w:val="20"/>
          <w:szCs w:val="24"/>
        </w:rPr>
        <w:fldChar w:fldCharType="end"/>
      </w:r>
      <w:r w:rsidRPr="003730B5">
        <w:rPr>
          <w:rFonts w:ascii="Times New Roman" w:hAnsi="Times New Roman"/>
          <w:color w:val="auto"/>
          <w:sz w:val="20"/>
          <w:szCs w:val="24"/>
        </w:rPr>
        <w:t xml:space="preserve"> – Rozložení osobního vyměřovacího základu u celoživotních OSVČ - ženy</w:t>
      </w:r>
    </w:p>
    <w:p w14:paraId="17836C6B" w14:textId="36307665" w:rsidR="00AB4355" w:rsidRPr="003730B5" w:rsidRDefault="001915C1" w:rsidP="00AF43AE">
      <w:pPr>
        <w:pStyle w:val="Bezmezer"/>
        <w:spacing w:before="120" w:after="120"/>
        <w:jc w:val="center"/>
        <w:rPr>
          <w:rFonts w:ascii="Times New Roman" w:hAnsi="Times New Roman"/>
          <w:sz w:val="24"/>
          <w:szCs w:val="24"/>
        </w:rPr>
      </w:pPr>
      <w:r w:rsidRPr="003730B5">
        <w:rPr>
          <w:noProof/>
        </w:rPr>
        <w:drawing>
          <wp:inline distT="0" distB="0" distL="0" distR="0" wp14:anchorId="6A865336" wp14:editId="66C68B37">
            <wp:extent cx="5763600" cy="3508877"/>
            <wp:effectExtent l="0" t="0" r="889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3600" cy="3508877"/>
                    </a:xfrm>
                    <a:prstGeom prst="rect">
                      <a:avLst/>
                    </a:prstGeom>
                    <a:noFill/>
                    <a:ln>
                      <a:noFill/>
                    </a:ln>
                  </pic:spPr>
                </pic:pic>
              </a:graphicData>
            </a:graphic>
          </wp:inline>
        </w:drawing>
      </w:r>
    </w:p>
    <w:p w14:paraId="7F4AAAD9" w14:textId="56EE3001" w:rsidR="00133AC8" w:rsidRPr="003730B5" w:rsidRDefault="00133AC8" w:rsidP="00133AC8">
      <w:pPr>
        <w:pStyle w:val="Bezmezer"/>
        <w:spacing w:before="120" w:after="120"/>
        <w:rPr>
          <w:rFonts w:ascii="Times New Roman" w:hAnsi="Times New Roman"/>
          <w:sz w:val="24"/>
          <w:szCs w:val="24"/>
        </w:rPr>
      </w:pPr>
      <w:r w:rsidRPr="003730B5">
        <w:rPr>
          <w:rFonts w:ascii="Times New Roman" w:hAnsi="Times New Roman"/>
          <w:sz w:val="24"/>
          <w:szCs w:val="24"/>
        </w:rPr>
        <w:t>U mužů se nejčastěji osobní vyměřovací základ nachází mezi 13 a 15 tisíci Kč u žen je to mezi 9 a 11 tisíci Kč.</w:t>
      </w:r>
    </w:p>
    <w:p w14:paraId="6E8935F3" w14:textId="77777777" w:rsidR="00133AC8" w:rsidRPr="003730B5" w:rsidRDefault="00133AC8" w:rsidP="00133AC8">
      <w:pPr>
        <w:pStyle w:val="Bezmezer"/>
        <w:spacing w:before="120" w:after="120"/>
        <w:rPr>
          <w:rFonts w:ascii="Times New Roman" w:hAnsi="Times New Roman"/>
          <w:sz w:val="24"/>
          <w:szCs w:val="24"/>
        </w:rPr>
      </w:pPr>
      <w:r w:rsidRPr="003730B5">
        <w:rPr>
          <w:rFonts w:ascii="Times New Roman" w:hAnsi="Times New Roman"/>
          <w:sz w:val="24"/>
          <w:szCs w:val="24"/>
        </w:rPr>
        <w:t>Zároveň skupinu celoživotních OSVČ, které platily pojistné především z minimálních vyměřovacích základů, tvoří především ženy s tím, že relativně nejvíce je jich mezi ženami se třemi a více dětmi, kde tvoří více jak ¼ z nich.</w:t>
      </w:r>
    </w:p>
    <w:p w14:paraId="20E79381" w14:textId="77777777" w:rsidR="00133AC8" w:rsidRPr="003730B5" w:rsidRDefault="00133AC8" w:rsidP="00133AC8">
      <w:pPr>
        <w:pStyle w:val="Bezmezer"/>
        <w:spacing w:before="120" w:after="120"/>
        <w:rPr>
          <w:rFonts w:ascii="Times New Roman" w:hAnsi="Times New Roman"/>
          <w:sz w:val="24"/>
          <w:szCs w:val="24"/>
        </w:rPr>
      </w:pPr>
      <w:r w:rsidRPr="003730B5">
        <w:rPr>
          <w:rFonts w:ascii="Times New Roman" w:hAnsi="Times New Roman"/>
          <w:sz w:val="24"/>
          <w:szCs w:val="24"/>
        </w:rPr>
        <w:t>Průměrná výše nově přiznaného starobního důchodu celoživotních OSVČ činila 13 632 Kč, tj. zhruba 82 % průměrného nově přiznaného starobního důchodu (16 653 Kč). Menší rozdíl mezi výšemi důchodů ve srovnání s rozdíly mezi vyměřovacími základy je dána existencí základní výměry důchodu vyplácené všem důchodcům ve stejné výši (10 % průměrné mzdy) a vyšším zápočtem nižších výdělků do 44 % průměrné mzdy (100 % do této hranice vs 26 % nad tuto hranici). Průměrná výše u mužů byla 14 278 Kč, zatímco u žen 11 893 Kč. Průměrný nově přiznaný starobní důchod žen činil zhruba 83 % průměrného nově přiznaného starobního důchodu mužů. Rozdíl ve výši důchodu oproti výši vyměřovacích základu je zde již pouze minimální.</w:t>
      </w:r>
    </w:p>
    <w:p w14:paraId="6F1288D0" w14:textId="77777777" w:rsidR="00133AC8" w:rsidRPr="003730B5" w:rsidRDefault="00133AC8" w:rsidP="00AF43AE">
      <w:pPr>
        <w:pStyle w:val="Bezmezer"/>
        <w:keepNext/>
        <w:spacing w:after="120"/>
        <w:rPr>
          <w:rFonts w:ascii="Times New Roman" w:hAnsi="Times New Roman"/>
          <w:b/>
          <w:sz w:val="20"/>
          <w:szCs w:val="24"/>
        </w:rPr>
      </w:pPr>
      <w:r w:rsidRPr="003730B5">
        <w:rPr>
          <w:rFonts w:ascii="Times New Roman" w:hAnsi="Times New Roman"/>
          <w:b/>
          <w:sz w:val="20"/>
          <w:szCs w:val="24"/>
        </w:rPr>
        <w:lastRenderedPageBreak/>
        <w:t xml:space="preserve">Graf </w:t>
      </w:r>
      <w:r w:rsidRPr="003730B5">
        <w:rPr>
          <w:rFonts w:ascii="Times New Roman" w:hAnsi="Times New Roman"/>
          <w:b/>
          <w:sz w:val="20"/>
          <w:szCs w:val="24"/>
        </w:rPr>
        <w:fldChar w:fldCharType="begin"/>
      </w:r>
      <w:r w:rsidRPr="003730B5">
        <w:rPr>
          <w:rFonts w:ascii="Times New Roman" w:hAnsi="Times New Roman"/>
          <w:b/>
          <w:sz w:val="20"/>
          <w:szCs w:val="24"/>
        </w:rPr>
        <w:instrText xml:space="preserve"> SEQ Graf \* ARABIC </w:instrText>
      </w:r>
      <w:r w:rsidRPr="003730B5">
        <w:rPr>
          <w:rFonts w:ascii="Times New Roman" w:hAnsi="Times New Roman"/>
          <w:b/>
          <w:sz w:val="20"/>
          <w:szCs w:val="24"/>
        </w:rPr>
        <w:fldChar w:fldCharType="separate"/>
      </w:r>
      <w:r w:rsidRPr="003730B5">
        <w:rPr>
          <w:rFonts w:ascii="Times New Roman" w:hAnsi="Times New Roman"/>
          <w:b/>
          <w:noProof/>
          <w:sz w:val="20"/>
          <w:szCs w:val="24"/>
        </w:rPr>
        <w:t>4</w:t>
      </w:r>
      <w:r w:rsidRPr="003730B5">
        <w:rPr>
          <w:rFonts w:ascii="Times New Roman" w:hAnsi="Times New Roman"/>
          <w:b/>
          <w:sz w:val="20"/>
          <w:szCs w:val="24"/>
        </w:rPr>
        <w:fldChar w:fldCharType="end"/>
      </w:r>
      <w:r w:rsidRPr="003730B5">
        <w:rPr>
          <w:rFonts w:ascii="Times New Roman" w:hAnsi="Times New Roman"/>
          <w:b/>
          <w:sz w:val="20"/>
          <w:szCs w:val="24"/>
        </w:rPr>
        <w:t xml:space="preserve"> – Rozložení výše nově přiznaného starobního důchodu u celoživotních OSVČ</w:t>
      </w:r>
    </w:p>
    <w:p w14:paraId="3517824F" w14:textId="77777777" w:rsidR="00133AC8" w:rsidRPr="003730B5" w:rsidRDefault="00133AC8" w:rsidP="00133AC8">
      <w:r w:rsidRPr="003730B5">
        <w:rPr>
          <w:noProof/>
        </w:rPr>
        <w:drawing>
          <wp:inline distT="0" distB="0" distL="0" distR="0" wp14:anchorId="551FB1A1" wp14:editId="3BEE5663">
            <wp:extent cx="5764530" cy="3379470"/>
            <wp:effectExtent l="0" t="0" r="762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4530" cy="3379470"/>
                    </a:xfrm>
                    <a:prstGeom prst="rect">
                      <a:avLst/>
                    </a:prstGeom>
                    <a:noFill/>
                    <a:ln>
                      <a:noFill/>
                    </a:ln>
                  </pic:spPr>
                </pic:pic>
              </a:graphicData>
            </a:graphic>
          </wp:inline>
        </w:drawing>
      </w:r>
    </w:p>
    <w:p w14:paraId="7EBB4E34" w14:textId="77777777" w:rsidR="00AF43AE" w:rsidRPr="003730B5" w:rsidRDefault="00133AC8" w:rsidP="00AF43AE">
      <w:pPr>
        <w:spacing w:before="200" w:after="200"/>
      </w:pPr>
      <w:r w:rsidRPr="003730B5">
        <w:t>Nejčastěji byl nově přiznaný starobní důchod celoživotních OSVČ do částky 11 tisíc Kč</w:t>
      </w:r>
      <w:r w:rsidRPr="003730B5">
        <w:rPr>
          <w:rStyle w:val="Znakapoznpodarou"/>
        </w:rPr>
        <w:footnoteReference w:id="10"/>
      </w:r>
      <w:r w:rsidRPr="003730B5">
        <w:t>, kterých bylo necelých 21 % všech nově přiznaných důchodů v této skupině. Naproti tomu nadprůměrných, tj. vyšších než 16 653 Kč, bylo v této skupině přiznáno necelých 13 % důchodů.</w:t>
      </w:r>
    </w:p>
    <w:p w14:paraId="74B1A3F9" w14:textId="12A929F5" w:rsidR="001915C1" w:rsidRPr="003730B5" w:rsidRDefault="001915C1" w:rsidP="00A24C00">
      <w:pPr>
        <w:keepNext/>
        <w:spacing w:before="200" w:after="200"/>
        <w:rPr>
          <w:b/>
          <w:sz w:val="20"/>
          <w:szCs w:val="24"/>
        </w:rPr>
      </w:pPr>
      <w:r w:rsidRPr="003730B5">
        <w:rPr>
          <w:b/>
          <w:sz w:val="20"/>
          <w:szCs w:val="24"/>
        </w:rPr>
        <w:lastRenderedPageBreak/>
        <w:t xml:space="preserve">Graf </w:t>
      </w:r>
      <w:r w:rsidRPr="003730B5">
        <w:rPr>
          <w:b/>
          <w:sz w:val="20"/>
          <w:szCs w:val="24"/>
        </w:rPr>
        <w:fldChar w:fldCharType="begin"/>
      </w:r>
      <w:r w:rsidRPr="003730B5">
        <w:rPr>
          <w:b/>
          <w:sz w:val="20"/>
          <w:szCs w:val="24"/>
        </w:rPr>
        <w:instrText xml:space="preserve"> SEQ Graf \* ARABIC </w:instrText>
      </w:r>
      <w:r w:rsidRPr="003730B5">
        <w:rPr>
          <w:b/>
          <w:sz w:val="20"/>
          <w:szCs w:val="24"/>
        </w:rPr>
        <w:fldChar w:fldCharType="separate"/>
      </w:r>
      <w:r w:rsidRPr="003730B5">
        <w:rPr>
          <w:b/>
          <w:noProof/>
          <w:sz w:val="20"/>
          <w:szCs w:val="24"/>
        </w:rPr>
        <w:t>5</w:t>
      </w:r>
      <w:r w:rsidRPr="003730B5">
        <w:rPr>
          <w:b/>
          <w:sz w:val="20"/>
          <w:szCs w:val="24"/>
        </w:rPr>
        <w:fldChar w:fldCharType="end"/>
      </w:r>
      <w:r w:rsidRPr="003730B5">
        <w:rPr>
          <w:b/>
          <w:sz w:val="20"/>
          <w:szCs w:val="24"/>
        </w:rPr>
        <w:t xml:space="preserve"> – Rozložení výše nově přiznaného starobního důchodu u celoživotních OSVČ - muži</w:t>
      </w:r>
    </w:p>
    <w:p w14:paraId="186281B8" w14:textId="090FA67B" w:rsidR="00AB4355" w:rsidRPr="003730B5" w:rsidRDefault="001915C1" w:rsidP="00AF43AE">
      <w:pPr>
        <w:pStyle w:val="Titulek"/>
        <w:jc w:val="center"/>
        <w:outlineLvl w:val="9"/>
      </w:pPr>
      <w:r w:rsidRPr="003730B5">
        <w:rPr>
          <w:noProof/>
        </w:rPr>
        <w:drawing>
          <wp:inline distT="0" distB="0" distL="0" distR="0" wp14:anchorId="7E0A6405" wp14:editId="3BF3EA4E">
            <wp:extent cx="5763600" cy="339724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3600" cy="3397244"/>
                    </a:xfrm>
                    <a:prstGeom prst="rect">
                      <a:avLst/>
                    </a:prstGeom>
                    <a:noFill/>
                    <a:ln>
                      <a:noFill/>
                    </a:ln>
                  </pic:spPr>
                </pic:pic>
              </a:graphicData>
            </a:graphic>
          </wp:inline>
        </w:drawing>
      </w:r>
    </w:p>
    <w:p w14:paraId="5DEC7AEC" w14:textId="0B640D65" w:rsidR="001915C1" w:rsidRPr="003730B5" w:rsidRDefault="001915C1" w:rsidP="001915C1">
      <w:pPr>
        <w:pStyle w:val="Titulek"/>
        <w:keepNext/>
        <w:outlineLvl w:val="9"/>
      </w:pPr>
      <w:r w:rsidRPr="003730B5">
        <w:rPr>
          <w:rFonts w:ascii="Times New Roman" w:hAnsi="Times New Roman"/>
          <w:color w:val="auto"/>
          <w:sz w:val="20"/>
          <w:szCs w:val="24"/>
        </w:rPr>
        <w:t xml:space="preserve">Graf </w:t>
      </w:r>
      <w:r w:rsidRPr="003730B5">
        <w:rPr>
          <w:rFonts w:ascii="Times New Roman" w:hAnsi="Times New Roman"/>
          <w:color w:val="auto"/>
          <w:sz w:val="20"/>
          <w:szCs w:val="24"/>
        </w:rPr>
        <w:fldChar w:fldCharType="begin"/>
      </w:r>
      <w:r w:rsidRPr="003730B5">
        <w:rPr>
          <w:rFonts w:ascii="Times New Roman" w:hAnsi="Times New Roman"/>
          <w:color w:val="auto"/>
          <w:sz w:val="20"/>
          <w:szCs w:val="24"/>
        </w:rPr>
        <w:instrText xml:space="preserve"> SEQ Graf \* ARABIC </w:instrText>
      </w:r>
      <w:r w:rsidRPr="003730B5">
        <w:rPr>
          <w:rFonts w:ascii="Times New Roman" w:hAnsi="Times New Roman"/>
          <w:color w:val="auto"/>
          <w:sz w:val="20"/>
          <w:szCs w:val="24"/>
        </w:rPr>
        <w:fldChar w:fldCharType="separate"/>
      </w:r>
      <w:r w:rsidRPr="003730B5">
        <w:rPr>
          <w:rFonts w:ascii="Times New Roman" w:hAnsi="Times New Roman"/>
          <w:noProof/>
          <w:color w:val="auto"/>
          <w:sz w:val="20"/>
          <w:szCs w:val="24"/>
        </w:rPr>
        <w:t>6</w:t>
      </w:r>
      <w:r w:rsidRPr="003730B5">
        <w:rPr>
          <w:rFonts w:ascii="Times New Roman" w:hAnsi="Times New Roman"/>
          <w:color w:val="auto"/>
          <w:sz w:val="20"/>
          <w:szCs w:val="24"/>
        </w:rPr>
        <w:fldChar w:fldCharType="end"/>
      </w:r>
      <w:r w:rsidRPr="003730B5">
        <w:rPr>
          <w:rFonts w:ascii="Times New Roman" w:hAnsi="Times New Roman"/>
          <w:color w:val="auto"/>
          <w:sz w:val="20"/>
          <w:szCs w:val="24"/>
        </w:rPr>
        <w:t xml:space="preserve"> – Rozložení výše nově přiznaného starobního důchodu u celoživotních OSVČ - ženy</w:t>
      </w:r>
    </w:p>
    <w:p w14:paraId="5CDD7E26" w14:textId="788014E5" w:rsidR="00C3498D" w:rsidRPr="003730B5" w:rsidRDefault="001915C1" w:rsidP="00AF43AE">
      <w:pPr>
        <w:spacing w:before="200" w:after="200"/>
        <w:jc w:val="center"/>
      </w:pPr>
      <w:r w:rsidRPr="003730B5">
        <w:rPr>
          <w:noProof/>
        </w:rPr>
        <w:drawing>
          <wp:inline distT="0" distB="0" distL="0" distR="0" wp14:anchorId="37215A38" wp14:editId="69058A29">
            <wp:extent cx="5763600" cy="3397244"/>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3600" cy="3397244"/>
                    </a:xfrm>
                    <a:prstGeom prst="rect">
                      <a:avLst/>
                    </a:prstGeom>
                    <a:noFill/>
                    <a:ln>
                      <a:noFill/>
                    </a:ln>
                  </pic:spPr>
                </pic:pic>
              </a:graphicData>
            </a:graphic>
          </wp:inline>
        </w:drawing>
      </w:r>
    </w:p>
    <w:p w14:paraId="665DE5B5" w14:textId="77777777" w:rsidR="00133AC8" w:rsidRPr="003730B5" w:rsidRDefault="00133AC8" w:rsidP="00133AC8">
      <w:pPr>
        <w:pStyle w:val="Bezmezer"/>
        <w:spacing w:before="120" w:after="120"/>
        <w:rPr>
          <w:rFonts w:ascii="Times New Roman" w:hAnsi="Times New Roman"/>
          <w:sz w:val="24"/>
          <w:szCs w:val="24"/>
        </w:rPr>
      </w:pPr>
      <w:r w:rsidRPr="003730B5">
        <w:rPr>
          <w:rFonts w:ascii="Times New Roman" w:hAnsi="Times New Roman"/>
          <w:sz w:val="24"/>
          <w:szCs w:val="24"/>
        </w:rPr>
        <w:t>U mužů se nejčastěji nově přiznaný starobní důchod pohybuje mezi 15 a 16 tisíci Kč; u žen je to výrazně většinově do 11 tisíc Kč.</w:t>
      </w:r>
    </w:p>
    <w:p w14:paraId="3B4245A5" w14:textId="77777777" w:rsidR="00133AC8" w:rsidRPr="003730B5" w:rsidRDefault="00133AC8" w:rsidP="00133AC8">
      <w:pPr>
        <w:pStyle w:val="Bezmezer"/>
        <w:spacing w:before="120" w:after="120"/>
        <w:rPr>
          <w:rFonts w:ascii="Times New Roman" w:hAnsi="Times New Roman"/>
          <w:sz w:val="24"/>
          <w:szCs w:val="24"/>
        </w:rPr>
      </w:pPr>
      <w:r w:rsidRPr="003730B5">
        <w:rPr>
          <w:rFonts w:ascii="Times New Roman" w:hAnsi="Times New Roman"/>
          <w:sz w:val="24"/>
          <w:szCs w:val="24"/>
        </w:rPr>
        <w:t>Podíl nízkých důchodů do 11 tisíc Kč tvoří u mužů necelých 12 %, zatímco u žen je to více jak 46 % s tím, že u žen s třemi a více dětmi je to téměř 60 %.</w:t>
      </w:r>
    </w:p>
    <w:p w14:paraId="7876A334" w14:textId="77777777" w:rsidR="00133AC8" w:rsidRPr="003730B5" w:rsidRDefault="00133AC8" w:rsidP="00133AC8">
      <w:pPr>
        <w:pStyle w:val="Bezmezer"/>
        <w:spacing w:before="120" w:after="120"/>
        <w:rPr>
          <w:rFonts w:ascii="Times New Roman" w:hAnsi="Times New Roman"/>
          <w:sz w:val="24"/>
          <w:szCs w:val="24"/>
        </w:rPr>
      </w:pPr>
      <w:r w:rsidRPr="003730B5">
        <w:rPr>
          <w:rFonts w:ascii="Times New Roman" w:hAnsi="Times New Roman"/>
          <w:sz w:val="24"/>
          <w:szCs w:val="24"/>
        </w:rPr>
        <w:t xml:space="preserve">Zvýšení minimálních vyměřovacích základů u OSVČ dopadne příznivě především na ženy, zejména pak na ženy s více dětmi, u nichž je při současném nastavení minimálních </w:t>
      </w:r>
      <w:r w:rsidRPr="003730B5">
        <w:rPr>
          <w:rFonts w:ascii="Times New Roman" w:hAnsi="Times New Roman"/>
          <w:sz w:val="24"/>
          <w:szCs w:val="24"/>
        </w:rPr>
        <w:lastRenderedPageBreak/>
        <w:t>vyměřovacích základů velmi často přiznáván nízký důchod, přičemž vyšší minimální vyměřovací základy jim prostřednictvím vyšších odvodů zajistí výrazně vyšší budoucí důchod.</w:t>
      </w:r>
    </w:p>
    <w:p w14:paraId="7A60010A" w14:textId="77777777" w:rsidR="00133AC8" w:rsidRPr="003730B5" w:rsidRDefault="00133AC8" w:rsidP="00133AC8">
      <w:pPr>
        <w:pStyle w:val="Dvodovzprva"/>
        <w:widowControl w:val="0"/>
        <w:spacing w:after="120"/>
        <w:outlineLvl w:val="9"/>
        <w:rPr>
          <w:rFonts w:ascii="Times New Roman" w:hAnsi="Times New Roman"/>
          <w:b/>
          <w:i/>
          <w:color w:val="auto"/>
          <w:sz w:val="24"/>
        </w:rPr>
      </w:pPr>
      <w:r w:rsidRPr="003730B5">
        <w:rPr>
          <w:rFonts w:ascii="Times New Roman" w:hAnsi="Times New Roman"/>
          <w:b/>
          <w:i/>
          <w:color w:val="auto"/>
          <w:sz w:val="24"/>
        </w:rPr>
        <w:t>Změna principů týkající se vzniku účasti na nemocenském pojištění, a tím i placení pojistného na sociální zabezpečení u zaměstnanců pracujících na základě dohody o provedení práce</w:t>
      </w:r>
    </w:p>
    <w:p w14:paraId="5014E64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Obecné pojednání k tomuto tématu je obsaženo v odůvodnění novely zákona o nemocenském pojištění.</w:t>
      </w:r>
    </w:p>
    <w:p w14:paraId="4CD2FF32" w14:textId="73071CF6" w:rsidR="00133AC8" w:rsidRPr="003730B5" w:rsidRDefault="00133AC8" w:rsidP="00133AC8">
      <w:pPr>
        <w:widowControl w:val="0"/>
        <w:spacing w:before="120" w:after="120"/>
        <w:outlineLvl w:val="2"/>
        <w:rPr>
          <w:b/>
        </w:rPr>
      </w:pPr>
      <w:r w:rsidRPr="003730B5">
        <w:rPr>
          <w:b/>
        </w:rPr>
        <w:t>K čl. </w:t>
      </w:r>
      <w:r w:rsidR="003D0993" w:rsidRPr="003730B5">
        <w:rPr>
          <w:b/>
        </w:rPr>
        <w:t>XVI</w:t>
      </w:r>
    </w:p>
    <w:p w14:paraId="5594ECFE"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1, 3 a 12 (§ 3 a § 8 odst. 5)</w:t>
      </w:r>
    </w:p>
    <w:p w14:paraId="4D549F3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Zavádí se nový typ plátce pojistného. Plátcem pojistného je zaměstnanec činný na základě dohody o provedení práce, který neprokáže, že zaměstnavatele informoval o souběžném výkonu zaměstnání na základě dohody o provedení práce u jiného zaměstnavatele, a přitom jeho zúčtované příjmy u všech zaměstnavatelů z výkonu práce formou DPP dosáhly částky rozhodného příjmu. </w:t>
      </w:r>
    </w:p>
    <w:p w14:paraId="426D041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Vzhledem k tomu, že podle nové právní úpravy nebude za stanovených podmínek plátcem pojistného vždy zaměstnavatel, ale může se jím stát namísto něj jeho zaměstnanec činný na základě DPP, je třeba stanovit podmínky, za jakých se stává zaměstnanec plátcem pojistného a podmínky pro odvod pojistného. Zaměstnanec platí a odvádí pojistné v tomto případě i za zaměstnavatele.  </w:t>
      </w:r>
    </w:p>
    <w:p w14:paraId="6B4354B3"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2, 4 a 8 až 10 (§ 3 odst. 3, § 5 odst. 1 a § 7 odst. 1 písm. c), d) a f))</w:t>
      </w:r>
    </w:p>
    <w:p w14:paraId="11154F8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nemocenském pojištění by výdaje na dávky měly být plně hrazeny z pojistného. Není důvod, aby na úhradě výdajů z tohoto systému se podílely i osoby, které z tohoto systému nemají žádný prospěch. Od roku 2018 je nemocenské pojištění trvale v deficitu. Hlavním důvodem tohoto stavu je to, že se zvyšovaly výdaje v důsledku zavedení nových dávek a zmírňování podmínek pro stanovení výše některých dávek, aniž by se adekvátně k zvyšování výdajů zvyšovalo i pojistné na nemocenské pojištění. Přitom zaměstnanci pojistné na nemocenské pojištění od roku 2009 neplatí.</w:t>
      </w:r>
    </w:p>
    <w:p w14:paraId="7998316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proto obnovit povinnost i pro zaměstnance, kterou měli před rokem 2009, platit pojistné na nemocenské pojištění, a to ve výši 0,6 % z jejich vyměřovacího základu. Pojištěnci se budou také podílet na úhradě výdajů na nemocenské pojištění. Na nemocenské pojištění bude placeno pojistné v celkové výši 2,7 % z vyměřovacího základu zaměstnance, tj. zaměstnavatel ve výši 2,1 % a zaměstnanec 0,6 %. Pojistné na nemocenské pojištění se zvýší i u osob samostatně výdělečně činných, i pro ně bude platit sazba ve výši 2,7 %. Pokud nenastane situace obdobná pandemii covidu-19 v roce 2020 a 2021, lze očekávat, že bilance nemocenského pojištění nebude již deficitní.</w:t>
      </w:r>
    </w:p>
    <w:p w14:paraId="5EACFE75" w14:textId="0A476AD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5 (§ </w:t>
      </w:r>
      <w:r w:rsidR="00031AC0" w:rsidRPr="003730B5">
        <w:rPr>
          <w:rFonts w:ascii="Times New Roman" w:hAnsi="Times New Roman"/>
          <w:color w:val="auto"/>
          <w:sz w:val="24"/>
          <w:szCs w:val="24"/>
        </w:rPr>
        <w:t>5b</w:t>
      </w:r>
      <w:r w:rsidRPr="003730B5">
        <w:rPr>
          <w:rFonts w:ascii="Times New Roman" w:hAnsi="Times New Roman"/>
          <w:color w:val="auto"/>
          <w:sz w:val="24"/>
          <w:szCs w:val="24"/>
        </w:rPr>
        <w:t> odst. 1</w:t>
      </w:r>
      <w:r w:rsidR="00031AC0" w:rsidRPr="003730B5">
        <w:rPr>
          <w:rFonts w:ascii="Times New Roman" w:hAnsi="Times New Roman"/>
          <w:color w:val="auto"/>
          <w:sz w:val="24"/>
          <w:szCs w:val="24"/>
        </w:rPr>
        <w:t xml:space="preserve"> věta p</w:t>
      </w:r>
      <w:r w:rsidR="0030578F" w:rsidRPr="003730B5">
        <w:rPr>
          <w:rFonts w:ascii="Times New Roman" w:hAnsi="Times New Roman"/>
          <w:color w:val="auto"/>
          <w:sz w:val="24"/>
          <w:szCs w:val="24"/>
        </w:rPr>
        <w:t>r</w:t>
      </w:r>
      <w:r w:rsidR="00031AC0" w:rsidRPr="003730B5">
        <w:rPr>
          <w:rFonts w:ascii="Times New Roman" w:hAnsi="Times New Roman"/>
          <w:color w:val="auto"/>
          <w:sz w:val="24"/>
          <w:szCs w:val="24"/>
        </w:rPr>
        <w:t>vní</w:t>
      </w:r>
      <w:r w:rsidRPr="003730B5">
        <w:rPr>
          <w:rFonts w:ascii="Times New Roman" w:hAnsi="Times New Roman"/>
          <w:color w:val="auto"/>
          <w:sz w:val="24"/>
          <w:szCs w:val="24"/>
        </w:rPr>
        <w:t>)</w:t>
      </w:r>
    </w:p>
    <w:p w14:paraId="2DAAC305" w14:textId="4F0BC3B8"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Minimální roční vyměřovací základ pro pojistné na důchodové pojištění (dále </w:t>
      </w:r>
      <w:r w:rsidR="008764C5" w:rsidRPr="003730B5">
        <w:rPr>
          <w:rFonts w:ascii="Times New Roman" w:hAnsi="Times New Roman"/>
          <w:color w:val="auto"/>
          <w:sz w:val="24"/>
        </w:rPr>
        <w:t>též</w:t>
      </w:r>
      <w:r w:rsidRPr="003730B5">
        <w:rPr>
          <w:rFonts w:ascii="Times New Roman" w:hAnsi="Times New Roman"/>
          <w:color w:val="auto"/>
          <w:sz w:val="24"/>
        </w:rPr>
        <w:t xml:space="preserve"> „pojistné“) placené OSVČ se zvyšuje z dosavadních 50 % daňového základu na 55 %. </w:t>
      </w:r>
    </w:p>
    <w:p w14:paraId="0B085B9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Pro OSVČ platí stejné podmínky vzniku nároku na důchody a stanovení jejich výše jako pro ostatní pojištěnce (zejména zaměstnance), avšak rozdílný je základ pro placení pojistného na důchodové pojištění; tato rozdílnost, má však za následek vyměřovaní nižších důchodů, neboť výše důchodů se odvíjí od vyměřovacích základů pro odvod pojistného. Důsledkem jsou pak nižší důchody OSVČ při dosahování stejných příjmů ostatních pojištěnců. K odstranění této disproporce a ke zvýšení vyměřovaných důchodů se navrhuje zvýšení sazby vyměřovacího základu pro pojistné na důchodové pojištění za kalendářní rok i měsíčního vyměřovacího </w:t>
      </w:r>
      <w:r w:rsidRPr="003730B5">
        <w:rPr>
          <w:rFonts w:ascii="Times New Roman" w:hAnsi="Times New Roman"/>
          <w:color w:val="auto"/>
          <w:sz w:val="24"/>
        </w:rPr>
        <w:lastRenderedPageBreak/>
        <w:t>základu pro zálohy na pojistné, a to z 50 % na 55 % daňového základu, resp. průměru připadajícího z daňového základu na kalendářní měsíc.</w:t>
      </w:r>
    </w:p>
    <w:p w14:paraId="5AAEF30B" w14:textId="2332371F" w:rsidR="00133AC8" w:rsidRPr="003730B5" w:rsidRDefault="00133AC8" w:rsidP="00133AC8">
      <w:pPr>
        <w:widowControl w:val="0"/>
        <w:tabs>
          <w:tab w:val="left" w:pos="708"/>
        </w:tabs>
        <w:spacing w:before="120"/>
        <w:outlineLvl w:val="3"/>
        <w:rPr>
          <w:b/>
          <w:szCs w:val="24"/>
        </w:rPr>
      </w:pPr>
      <w:r w:rsidRPr="003730B5">
        <w:rPr>
          <w:b/>
          <w:szCs w:val="24"/>
        </w:rPr>
        <w:t>K bodům 6 a 7 (§ </w:t>
      </w:r>
      <w:r w:rsidR="00031AC0" w:rsidRPr="003730B5">
        <w:rPr>
          <w:b/>
          <w:szCs w:val="24"/>
        </w:rPr>
        <w:t>5b odst. 2 písm. a), b) a c)</w:t>
      </w:r>
      <w:r w:rsidRPr="003730B5">
        <w:rPr>
          <w:b/>
          <w:szCs w:val="24"/>
        </w:rPr>
        <w:t>)</w:t>
      </w:r>
    </w:p>
    <w:p w14:paraId="04AECD8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Legislativně technická úprava navazující na nové řazení vět v § 14 odst. 5.</w:t>
      </w:r>
    </w:p>
    <w:p w14:paraId="410EA5E7"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11 (§ 7 odst. 1 písm. g))</w:t>
      </w:r>
    </w:p>
    <w:p w14:paraId="69FF792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Pokud se zaměstnanec činný na základě dohody o provedení práce stane plátcem pojistného, je povinen odvést pojistné za sebe i za zaměstnavatele, tedy celkem 31,9 % z vyměřovacího základu podle § 5 zákona o pojistném na sociální zabezpečení a příspěvku státní politiku zaměstnanosti. Z toho 2,7 % na nemocenské pojištění, 28 % na důchodové pojištění a 1,2 % na státní politiku zaměstnanosti. </w:t>
      </w:r>
    </w:p>
    <w:p w14:paraId="08D82FD4"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13 (§ 9 odst. 5 až 8)</w:t>
      </w:r>
    </w:p>
    <w:p w14:paraId="68AF9D3F" w14:textId="44AA8782"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Zaměstnavatel je povinen ve lhůtě stanovené pro odvod pojistného za kalendářní měsíc předložit povinně v elektronické podobě (podle § 123e odst. 2 písm. a) </w:t>
      </w:r>
      <w:r w:rsidR="00E22EEC" w:rsidRPr="003730B5">
        <w:rPr>
          <w:rFonts w:ascii="Times New Roman" w:hAnsi="Times New Roman"/>
          <w:color w:val="auto"/>
          <w:sz w:val="24"/>
        </w:rPr>
        <w:t xml:space="preserve">zákona </w:t>
      </w:r>
      <w:r w:rsidR="001C113E" w:rsidRPr="003730B5">
        <w:rPr>
          <w:rFonts w:ascii="Times New Roman" w:hAnsi="Times New Roman"/>
          <w:color w:val="auto"/>
          <w:sz w:val="24"/>
        </w:rPr>
        <w:t>o organizaci a provádění sociálního zabezpečení</w:t>
      </w:r>
      <w:r w:rsidRPr="003730B5">
        <w:rPr>
          <w:rFonts w:ascii="Times New Roman" w:hAnsi="Times New Roman"/>
          <w:color w:val="auto"/>
          <w:sz w:val="24"/>
        </w:rPr>
        <w:t>) příslušné OSSZ na předepsaném tiskopisu identifikační údaje zaměstnanců (jméno, příjmení, rodné číslo) činných na základě DPP a výši jim zúčtovaného příjmu v kalendářním měsíci. Uvádějí se i zaměstnanci, kterým DPP trvá, ale nebyl jim do kalendářního měsíce zúčtován započitatelný příjem.</w:t>
      </w:r>
    </w:p>
    <w:p w14:paraId="343073C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Podle nové právní úpravy bude zaměstnavatel po zpracování mezd každý kalendářní měsíc na předepsaném tiskopisu (v praxi datovou větou) sdělovat ČSSZ výši odměny každého zaměstnance zaměstnaného na základě DPP. Údaje jsou nezbytné ze dvou důvodů. Proto, aby návazně na informace z měsíčního hlášení příjmů byla v systémech ČSSZ v případě (prvotního) vzniku účasti na pojištění zaevidována tato změna v registru pojištěnců bez nutnosti dalšího hlášení zaměstnavatele. Dále informační systémy automaticky vyhodnotí pojištěnou a nepojištěnou DPP. Přičemž příjem z pojištěných i nepojištěných dohod bude OSSZ zohledňovat pro posuzování účasti na nemocenském pojištění v případě, kdy zaměstnanec vykonává činnost na základě DPP u více zaměstnavatelů a při dosažení částky rozhodného příjmu budou zaměstnavatelé automaticky informováni o povinnosti uhradit pojistné.</w:t>
      </w:r>
    </w:p>
    <w:p w14:paraId="41D720E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případě, že zaměstnanec pracuje u více zaměstnavatelů na základě DPP a je v souhrnu dosaženo částky rozhodného příjmu pro účast na pojištění, oznámí ČSSZ všem dotčeným zaměstnavatelům vznik účasti na pojištění v příslušném kalendářním měsíci. </w:t>
      </w:r>
    </w:p>
    <w:p w14:paraId="7515A51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 tohoto vyměřovacího základu je zaměstnavatel povinen odvést pojistné do 20. kalendářního dne následujícího po měsíci, ve kterém mu bylo doručeno oznámení o vzniku účasti na pojištění, nebude-li vedeno řízení o určení plátce pojistného. V případě řízení, je pojistné splatné do 20. kalendářního dne následujícího po měsíci, ve kterém rozhodnutí nabylo právní moci, pokud bylo rozhodnuto, že plátcem pojistného je zaměstnavatel. V případě neuhrazení pojistného bude tento dluh vymáhán dle stávající právní úpravy.</w:t>
      </w:r>
    </w:p>
    <w:p w14:paraId="5A6C4504" w14:textId="34BEB394"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Zaměstnavatelé, kteří zaměstnávání zaměstnance činné na základě DPP, jsou povinni za každý kalendářní měsíc sdělovat ČSSZ výši započitatelného příjmu zúčtovaného těmto zaměstnancům, a to bez ohledu na výši příjmu. ČSSZ u zaměstnance, který vykonává činnost na základě DPP u více zaměstnavatelů, vypočte za každý kalendářní měsíc úhrn těchto příjmů ze všech vykonávaných DPP. Pokud tento úhrn příjmu dosáhne výše rozhodného příjmu nebo je vyšší, oznámí </w:t>
      </w:r>
      <w:r w:rsidR="0026267D" w:rsidRPr="003730B5">
        <w:rPr>
          <w:rFonts w:ascii="Times New Roman" w:hAnsi="Times New Roman"/>
          <w:color w:val="auto"/>
          <w:sz w:val="24"/>
        </w:rPr>
        <w:t>orgán sociálního zabezpečení</w:t>
      </w:r>
      <w:r w:rsidRPr="003730B5">
        <w:rPr>
          <w:rFonts w:ascii="Times New Roman" w:hAnsi="Times New Roman"/>
          <w:color w:val="auto"/>
          <w:sz w:val="24"/>
        </w:rPr>
        <w:t xml:space="preserve"> všem zaměstnavatelům tuto skutečnost, informuje je o vzniku účasti na pojištění v kalendářním měsíci, v němž je zaměstnanec účasten nemocenského pojištění ve všech zaměstnáních vykonávaných na základě DPP. Splatnost pojistného se odvozuje od kalendářního měsíce, v němž zaměstnavatel obdržel od ČSSZ oznámení o povinnosti pojistné doplatit. </w:t>
      </w:r>
    </w:p>
    <w:p w14:paraId="06A0917C" w14:textId="5D1D68FB"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Zaměstnavatel bude muset v těchto případech podat nový předepsaný tiskopis, na kterém vykáže úhrn vyměřovacích základů všech zaměstnanců činných na DPP, u kterých je účast na pojištění založena takto dodatečně, pojistné za zaměstnance a pojistné za zaměstnavatele. Zaměstnavatel je povinen sám vypočítat pojistné, které je povinen platit (§ 8 odst. 4 </w:t>
      </w:r>
      <w:r w:rsidR="00B559A9" w:rsidRPr="003730B5">
        <w:rPr>
          <w:rFonts w:ascii="Times New Roman" w:hAnsi="Times New Roman"/>
          <w:color w:val="auto"/>
          <w:sz w:val="24"/>
        </w:rPr>
        <w:t xml:space="preserve">zákona </w:t>
      </w:r>
      <w:r w:rsidR="00D03256" w:rsidRPr="003730B5">
        <w:rPr>
          <w:rFonts w:ascii="Times New Roman" w:hAnsi="Times New Roman"/>
          <w:color w:val="auto"/>
          <w:sz w:val="24"/>
        </w:rPr>
        <w:t>o </w:t>
      </w:r>
      <w:r w:rsidR="00B559A9" w:rsidRPr="003730B5">
        <w:rPr>
          <w:rFonts w:ascii="Times New Roman" w:hAnsi="Times New Roman"/>
          <w:color w:val="auto"/>
          <w:sz w:val="24"/>
        </w:rPr>
        <w:t>pojistném na sociální zabezpečení</w:t>
      </w:r>
      <w:r w:rsidRPr="003730B5">
        <w:rPr>
          <w:rFonts w:ascii="Times New Roman" w:hAnsi="Times New Roman"/>
          <w:color w:val="auto"/>
          <w:sz w:val="24"/>
        </w:rPr>
        <w:t xml:space="preserve">). Nový předepsaný tiskopis bude zároveň předpisem pro účtárnu pojistného a dávek OSSZ. </w:t>
      </w:r>
    </w:p>
    <w:p w14:paraId="58F9EC2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Návrh o určení plátce pojistného musí zaměstnavatel podat ve lhůtě do 15 dnů ode dne obdržení oznámení ČSSZ o vzniku povinnosti odvést pojistné za příslušný kalendářní měsíc. </w:t>
      </w:r>
    </w:p>
    <w:p w14:paraId="06E5978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Současně s návrhem o určení plátce pojistného přiloží zaměstnavatel vždy i doklad o tom, že splnil svou informační povinnost vůči zaměstnanci.</w:t>
      </w:r>
    </w:p>
    <w:p w14:paraId="30F28CC1" w14:textId="77777777" w:rsidR="00133AC8" w:rsidRPr="003730B5" w:rsidRDefault="00133AC8" w:rsidP="00133AC8">
      <w:pPr>
        <w:widowControl w:val="0"/>
        <w:tabs>
          <w:tab w:val="left" w:pos="708"/>
        </w:tabs>
        <w:spacing w:before="120"/>
        <w:outlineLvl w:val="3"/>
        <w:rPr>
          <w:b/>
          <w:szCs w:val="24"/>
        </w:rPr>
      </w:pPr>
      <w:r w:rsidRPr="003730B5">
        <w:rPr>
          <w:b/>
          <w:szCs w:val="24"/>
        </w:rPr>
        <w:t>K bodu 14 (§ 14 odst. 2)</w:t>
      </w:r>
    </w:p>
    <w:p w14:paraId="640E8DDF" w14:textId="6854953F"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změnu procentní sazby u vyměřovacího základu (bod 1) se obdobně mění i procentní sazby pro účely stanovení měsíčního vyměřovacího základu pro zálohy na pojistné.</w:t>
      </w:r>
    </w:p>
    <w:p w14:paraId="24965CDE" w14:textId="5EF0A303" w:rsidR="00E340B0" w:rsidRPr="003730B5" w:rsidRDefault="00E340B0" w:rsidP="00A24C00">
      <w:pPr>
        <w:widowControl w:val="0"/>
        <w:tabs>
          <w:tab w:val="left" w:pos="708"/>
        </w:tabs>
        <w:spacing w:before="120"/>
        <w:outlineLvl w:val="3"/>
        <w:rPr>
          <w:b/>
          <w:szCs w:val="24"/>
        </w:rPr>
      </w:pPr>
      <w:r w:rsidRPr="003730B5">
        <w:rPr>
          <w:b/>
          <w:szCs w:val="24"/>
        </w:rPr>
        <w:t>K bodům 15 a 16 (§ 14 odst. 3)</w:t>
      </w:r>
    </w:p>
    <w:p w14:paraId="0FEE86DB" w14:textId="4FEA3079" w:rsidR="00E340B0" w:rsidRPr="003730B5" w:rsidRDefault="00E340B0" w:rsidP="00E340B0">
      <w:pPr>
        <w:pStyle w:val="Dvodovzprva"/>
        <w:widowControl w:val="0"/>
        <w:outlineLvl w:val="9"/>
        <w:rPr>
          <w:rFonts w:ascii="Times New Roman" w:hAnsi="Times New Roman"/>
          <w:color w:val="auto"/>
          <w:sz w:val="24"/>
        </w:rPr>
      </w:pPr>
      <w:r w:rsidRPr="003730B5">
        <w:rPr>
          <w:rFonts w:ascii="Times New Roman" w:hAnsi="Times New Roman"/>
          <w:color w:val="auto"/>
          <w:sz w:val="24"/>
        </w:rPr>
        <w:t>U osob samostatně výdělečně činných se v souvislosti s konsolidací veřejných financí zvyšuje vyměřovací základ pro odvod pojistného na sociální zabezpečení o 10 %, a to z 50 % na 55 % daňového základu. Navrhuje se obdobně zvýšit o 10 % vyměřovací základ i u osob samostatně výdělečně činných ve druhém a třetím pásmu paušálním režimu. V prvním pásmu je zachováno, že bude z minimálního měsíčního vyměřovacího základu OSVČ upraveného v § 14 odst. 5 věty první, který se postupně zvýší z 25 % průměrné mzdy na 40 % (30 % v roce 2024, 35 % v roce 2025 a od roku 2026 na 40 %).</w:t>
      </w:r>
    </w:p>
    <w:p w14:paraId="1D6581F9" w14:textId="4C514E75" w:rsidR="00133AC8" w:rsidRPr="003730B5" w:rsidRDefault="00133AC8" w:rsidP="00133AC8">
      <w:pPr>
        <w:widowControl w:val="0"/>
        <w:tabs>
          <w:tab w:val="left" w:pos="708"/>
        </w:tabs>
        <w:spacing w:before="120"/>
        <w:outlineLvl w:val="3"/>
        <w:rPr>
          <w:b/>
          <w:szCs w:val="24"/>
        </w:rPr>
      </w:pPr>
      <w:r w:rsidRPr="003730B5">
        <w:rPr>
          <w:b/>
          <w:szCs w:val="24"/>
        </w:rPr>
        <w:t>K bodu 1</w:t>
      </w:r>
      <w:r w:rsidR="00E340B0" w:rsidRPr="003730B5">
        <w:rPr>
          <w:b/>
          <w:szCs w:val="24"/>
        </w:rPr>
        <w:t>7</w:t>
      </w:r>
      <w:r w:rsidRPr="003730B5">
        <w:rPr>
          <w:b/>
          <w:szCs w:val="24"/>
        </w:rPr>
        <w:t xml:space="preserve"> (§ 14 odst. 5)</w:t>
      </w:r>
    </w:p>
    <w:p w14:paraId="5A37FEC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Minimální měsíční vyměřovací základ OSVČ vykonávající hlavní samostatnou výdělečnou činnost se postupně zvýší z 25 % průměrné mzdy na 40 % (30 % v roce 2024, 35 % v roce 2025 a od roku 2026 na 40 %). </w:t>
      </w:r>
    </w:p>
    <w:p w14:paraId="31350F0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OSVČ vykonávajícím hlavní samostatnou výdělečnou činnost je v současnosti stanoven minimální měsíční vyměřovací základ na pojistné ve výši nejméně 25 % průměrné mzdy. U osoby, jejíž celoživotní osobní vyměřovací základ je na úrovni nebo jen mírně nad úrovní této hranice, je důsledkem starobní důchod ve výši odpovídající přibližně jen cca 60 % průměrného důchodu a tyto osoby jsou vystaveny vysokému riziku chudoby ve stáří. Zastoupení OSVČ, které vykazují vyměřovací základ na minimální úrovni, je přitom až 60 % všech OSVČ vykonávajících tuto činnost jako hlavní. Za účelem prevence chudoby ve stáří a sekundárně i za účelem vyšší harmonizace s ekvivalentem hrubých mezd je navrženo zvýšení procentní sazby, kterou se stanoví minimální vyměřovací základ pro OSVČ vykonávající hlavní samostatnou výdělečnou činnost. Zvýšení minimálního vyměřovacího základu se navrhuje ve třech krocích, cílová úroveň jeho výše bude 40 % průměrné mzdy, což přibližně odpovídá ekonomické hodnotě minimální mzdy. Stanovení vyšší procentní sazby pojistného se pozitivně promítne do budoucích důchodových nároků pro OSVČ, jejichž samostatná výdělečná činnost je jediným či převažujícím zdrojem příjmů, a proto tuto činnost vykonávají jako hlavní. Osoba, která by celoživotně odváděla pojistné z vyměřovacího základu 40 % průměrné mzdy, by získala starobní důchod přibližně na úrovni 85 % průměrného důchodu.</w:t>
      </w:r>
    </w:p>
    <w:p w14:paraId="5B8E3C02" w14:textId="6E7798CF"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 OSVČ vykonávající vedlejší samostatnou činnost je v současnosti stanoven minimální měsíční vyměřovací základ ve výši 10 % průměrné mzdy, což odpovídá 50 % daňového základu rozhodného pro vstup do pojištění u OSVČ vedlejších, který je 20 % průměrné mzdy. Pro harmonizaci s prvním navrhovaným opatřením – zvýšením vyměřovacího základu z 50 % na 55 % daňového základu, se minimální měsíční vyměřovací základ u OSVČ vykonávajících </w:t>
      </w:r>
      <w:r w:rsidRPr="003730B5">
        <w:rPr>
          <w:rFonts w:ascii="Times New Roman" w:hAnsi="Times New Roman"/>
          <w:color w:val="auto"/>
          <w:sz w:val="24"/>
        </w:rPr>
        <w:lastRenderedPageBreak/>
        <w:t>vedlejší samostatnou výdělečnou činnost zvyšuje z 10 %</w:t>
      </w:r>
      <w:r w:rsidR="004E27CF" w:rsidRPr="003730B5">
        <w:rPr>
          <w:rFonts w:ascii="Times New Roman" w:hAnsi="Times New Roman"/>
          <w:color w:val="auto"/>
          <w:sz w:val="24"/>
        </w:rPr>
        <w:t xml:space="preserve"> </w:t>
      </w:r>
      <w:r w:rsidRPr="003730B5">
        <w:rPr>
          <w:rFonts w:ascii="Times New Roman" w:hAnsi="Times New Roman"/>
          <w:color w:val="auto"/>
          <w:sz w:val="24"/>
        </w:rPr>
        <w:t xml:space="preserve">na 11 % průměrné mzdy. </w:t>
      </w:r>
    </w:p>
    <w:p w14:paraId="7AA108F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Pro OSVČ, které nově zahajují hlavní samostatnou výdělečnou činnost nebo samostatnou výdělečnou činnost nevykonávaly v předcházejících 20 kalendářních letech, se navrhuje zvýhodnění ve formě snížení měsíčního vyměřovacího základu ve výši 25 %. Cílem je podpořit osoby, které dosud hlavní samostatnou výdělečnou činnost vykonávají poprvé nebo po velmi dlouhé době, tzn., nebyly evidovány v registru České správy sociálního zabezpečení jako OSVČ činné 20 kalendářních let před opětovným zahájením samostatné výdělečné činnosti. Tyto osoby jsou v kalendářním roce, ve kterém samostatnou výdělečnou činnost zahájí a kalendářním roce následujícím, po dobu, po kterou budou vykonávat samostatnou výdělečnou činnost jako hlavní činnost, zvýhodněny nižší procentní sazbou pro stanovení měsíčního vyměřovacího základu. </w:t>
      </w:r>
    </w:p>
    <w:p w14:paraId="0EE1EFAF" w14:textId="1D49AC10"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Příklad: OSVČ ukončila samostatnou výdělečnou činnost 30. </w:t>
      </w:r>
      <w:r w:rsidR="00820D28" w:rsidRPr="003730B5">
        <w:rPr>
          <w:rFonts w:ascii="Times New Roman" w:hAnsi="Times New Roman"/>
          <w:color w:val="auto"/>
          <w:sz w:val="24"/>
        </w:rPr>
        <w:t xml:space="preserve">5. </w:t>
      </w:r>
      <w:r w:rsidRPr="003730B5">
        <w:rPr>
          <w:rFonts w:ascii="Times New Roman" w:hAnsi="Times New Roman"/>
          <w:color w:val="auto"/>
          <w:sz w:val="24"/>
        </w:rPr>
        <w:t xml:space="preserve">2004. Aby se na OSVČ vztahoval snížený vyměřovací základ, musí zahájit činnost nejdříve od 1. </w:t>
      </w:r>
      <w:r w:rsidR="00D6156C" w:rsidRPr="003730B5">
        <w:rPr>
          <w:rFonts w:ascii="Times New Roman" w:hAnsi="Times New Roman"/>
          <w:color w:val="auto"/>
          <w:sz w:val="24"/>
        </w:rPr>
        <w:t>1.</w:t>
      </w:r>
      <w:r w:rsidRPr="003730B5">
        <w:rPr>
          <w:rFonts w:ascii="Times New Roman" w:hAnsi="Times New Roman"/>
          <w:color w:val="auto"/>
          <w:sz w:val="24"/>
        </w:rPr>
        <w:t xml:space="preserve"> 2025. Jedná se o 20 kalendářních let, které počínají 1. lednem kalendářního roku následujícího po roce, ve kterém byla samostatná výdělečná činnost ukončena.  </w:t>
      </w:r>
    </w:p>
    <w:p w14:paraId="0CB4BB1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Jedná se o dočasnou ekonomickou podporu při zahájení hlavní samostatné výdělečné činnosti, kdy OSVČ je zatížena prvotními náklady a zatím nemusí generovat zisk ke zdanění.</w:t>
      </w:r>
    </w:p>
    <w:p w14:paraId="0C7ACCEF" w14:textId="3827618D"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Povinnost platit zálohy na pojistné ve výši vyměřovacího základu stanoveného podle ustanovení § 14 odst. 2 zákona </w:t>
      </w:r>
      <w:r w:rsidR="00A42930" w:rsidRPr="003730B5">
        <w:rPr>
          <w:rFonts w:ascii="Times New Roman" w:hAnsi="Times New Roman"/>
          <w:color w:val="auto"/>
          <w:sz w:val="24"/>
        </w:rPr>
        <w:t>o </w:t>
      </w:r>
      <w:r w:rsidR="008D5875" w:rsidRPr="003730B5">
        <w:rPr>
          <w:rFonts w:ascii="Times New Roman" w:hAnsi="Times New Roman"/>
          <w:color w:val="auto"/>
          <w:sz w:val="24"/>
        </w:rPr>
        <w:t>pojistném na sociální zabezpečení</w:t>
      </w:r>
      <w:r w:rsidR="008D5875" w:rsidRPr="003730B5" w:rsidDel="008D5875">
        <w:rPr>
          <w:rFonts w:ascii="Times New Roman" w:hAnsi="Times New Roman"/>
          <w:color w:val="auto"/>
          <w:sz w:val="24"/>
        </w:rPr>
        <w:t xml:space="preserve"> </w:t>
      </w:r>
      <w:r w:rsidRPr="003730B5">
        <w:rPr>
          <w:rFonts w:ascii="Times New Roman" w:hAnsi="Times New Roman"/>
          <w:color w:val="auto"/>
          <w:sz w:val="24"/>
        </w:rPr>
        <w:t xml:space="preserve">, bude i nadále stanovena s platností od kalendářního měsíce, který následuje po kalendářním měsíci, ve kterém byl nebo měl být tento přehled o příjmech a výdajích podán, a to až do kalendářního měsíce, ve kterém bude nebo měl být podán přehled o příjmech a výdajích v dalším kalendářním roce, včetně tohoto měsíce. Vypuštěním věty poslední ustanovení § 14 odst. 5 uvedeného zákona nebude toto pravidlo aplikováno od prvního kalendářního měsíce následujícího kalendářního roku, a to v případě, že měsíční vyměřovací základ stanovený podle uvedeného ustavení § 14 odst. 2 bude nižší než měsíční vyměřovací základ v uvedeném následujícím kalendářním roce. Pokud by tedy byl měsíční vyměřovací základ stanovený dle ustanovení § 14 odst. 2 nižší, než by činil minimální měsíční vyměřovací základ v dalším kalendářním roce, bude od prvního kalendářního měsíce nového kalendářního roku až do měsíce, kdy bude nebo by měl být podán přehled o příjmech a výdajích OSVČ za předchozí kalendářní rok, stanovena minimální výše měsíčního vyměřovacího základu pro pojistné na důchodové pojištění a příspěvku na státní politiku zaměstnanosti stanovena dle ustanovení § 14 odst. 5 zákona </w:t>
      </w:r>
      <w:r w:rsidR="00A42930" w:rsidRPr="003730B5">
        <w:rPr>
          <w:rFonts w:ascii="Times New Roman" w:hAnsi="Times New Roman"/>
          <w:color w:val="auto"/>
          <w:sz w:val="24"/>
        </w:rPr>
        <w:t>o </w:t>
      </w:r>
      <w:r w:rsidR="008D5875" w:rsidRPr="003730B5">
        <w:rPr>
          <w:rFonts w:ascii="Times New Roman" w:hAnsi="Times New Roman"/>
          <w:color w:val="auto"/>
          <w:sz w:val="24"/>
        </w:rPr>
        <w:t>pojistném na sociální zabezpečení</w:t>
      </w:r>
      <w:r w:rsidRPr="003730B5">
        <w:rPr>
          <w:rFonts w:ascii="Times New Roman" w:hAnsi="Times New Roman"/>
          <w:color w:val="auto"/>
          <w:sz w:val="24"/>
        </w:rPr>
        <w:t>, platného pro daný kalendářní rok.</w:t>
      </w:r>
    </w:p>
    <w:p w14:paraId="5E14A34C" w14:textId="6B6CF093"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Minimalizují se tak situace, kdy byl minimální vyměřovací základ pro zálohy na pojistné na důchodové pojištění a příspěvku na státní politiku zaměstnanosti stanoven dle ustanovení § 14 odst. 5 zákona </w:t>
      </w:r>
      <w:r w:rsidR="00A42930" w:rsidRPr="003730B5">
        <w:rPr>
          <w:rFonts w:ascii="Times New Roman" w:hAnsi="Times New Roman"/>
          <w:color w:val="auto"/>
          <w:sz w:val="24"/>
        </w:rPr>
        <w:t>o </w:t>
      </w:r>
      <w:r w:rsidR="008D5875" w:rsidRPr="003730B5">
        <w:rPr>
          <w:rFonts w:ascii="Times New Roman" w:hAnsi="Times New Roman"/>
          <w:color w:val="auto"/>
          <w:sz w:val="24"/>
        </w:rPr>
        <w:t>pojistném na sociální zabezpečení</w:t>
      </w:r>
      <w:r w:rsidRPr="003730B5">
        <w:rPr>
          <w:rFonts w:ascii="Times New Roman" w:hAnsi="Times New Roman"/>
          <w:color w:val="auto"/>
          <w:sz w:val="24"/>
        </w:rPr>
        <w:t xml:space="preserve">, z průměrné mzdy platné v předchozím kalendářním roce až do měsíce podání přehledu a při podání přehledu o příjmech a výdajích za tento kalendářní rok vzniká větší počet nedoplatků na pojistném, protože zálohy stanovené z minimálního vyměřovacího základu stanoveného z průměrné mzdy předchozího kalendářního roku jsou vždy nižší.  </w:t>
      </w:r>
    </w:p>
    <w:p w14:paraId="58C97678" w14:textId="4D561A62"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Navrhovaný postup při změně minimálního měsíčního vyměřovacího základu od 1. </w:t>
      </w:r>
      <w:r w:rsidR="00D6156C" w:rsidRPr="003730B5">
        <w:rPr>
          <w:rFonts w:ascii="Times New Roman" w:hAnsi="Times New Roman"/>
          <w:color w:val="auto"/>
          <w:sz w:val="24"/>
        </w:rPr>
        <w:t>1.</w:t>
      </w:r>
      <w:r w:rsidRPr="003730B5">
        <w:rPr>
          <w:rFonts w:ascii="Times New Roman" w:hAnsi="Times New Roman"/>
          <w:color w:val="auto"/>
          <w:sz w:val="24"/>
        </w:rPr>
        <w:t xml:space="preserve"> je aplikován ve zdravotním pojištění.</w:t>
      </w:r>
    </w:p>
    <w:p w14:paraId="43D2CDF5" w14:textId="7B3EF97D" w:rsidR="00133AC8" w:rsidRPr="003730B5" w:rsidRDefault="00133AC8" w:rsidP="00133AC8">
      <w:pPr>
        <w:widowControl w:val="0"/>
        <w:tabs>
          <w:tab w:val="left" w:pos="708"/>
        </w:tabs>
        <w:spacing w:before="120"/>
        <w:outlineLvl w:val="3"/>
        <w:rPr>
          <w:b/>
          <w:szCs w:val="24"/>
        </w:rPr>
      </w:pPr>
      <w:r w:rsidRPr="003730B5">
        <w:rPr>
          <w:b/>
          <w:szCs w:val="24"/>
        </w:rPr>
        <w:t>K bodu 1</w:t>
      </w:r>
      <w:r w:rsidR="00E340B0" w:rsidRPr="003730B5">
        <w:rPr>
          <w:b/>
          <w:szCs w:val="24"/>
        </w:rPr>
        <w:t>8</w:t>
      </w:r>
      <w:r w:rsidRPr="003730B5">
        <w:rPr>
          <w:b/>
          <w:szCs w:val="24"/>
        </w:rPr>
        <w:t xml:space="preserve"> (§ 14 odst. 6 a 9, § 14a odst. 2 a § 22a odst. 6)</w:t>
      </w:r>
    </w:p>
    <w:p w14:paraId="09340D3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Jde o legislativně technickou úpravu, která se týká placení záloh v některých případech, například stanovení výše zálohy v měsíci podání přehledu nebo kdy OSVČ platí zálohy vyšší, než činí jejich minimální výše nebo platí zálohy dopředu. Vypouštějí se pro nadbytečnost odkazy na ustanovení, podle nichž by se mělo přihlížet i k vyměřovacím základům u OSVČ </w:t>
      </w:r>
      <w:r w:rsidRPr="003730B5">
        <w:rPr>
          <w:rFonts w:ascii="Times New Roman" w:hAnsi="Times New Roman"/>
          <w:color w:val="auto"/>
          <w:sz w:val="24"/>
        </w:rPr>
        <w:lastRenderedPageBreak/>
        <w:t>v paušálním režimu nebo k minimálním vyměřovacím základům.</w:t>
      </w:r>
    </w:p>
    <w:p w14:paraId="2CEBCF53" w14:textId="39F63316" w:rsidR="00133AC8" w:rsidRPr="003730B5" w:rsidRDefault="00133AC8" w:rsidP="00133AC8">
      <w:pPr>
        <w:keepNext/>
        <w:widowControl w:val="0"/>
        <w:tabs>
          <w:tab w:val="left" w:pos="708"/>
        </w:tabs>
        <w:spacing w:before="120"/>
        <w:outlineLvl w:val="3"/>
        <w:rPr>
          <w:b/>
          <w:szCs w:val="24"/>
        </w:rPr>
      </w:pPr>
      <w:r w:rsidRPr="003730B5">
        <w:rPr>
          <w:b/>
          <w:szCs w:val="24"/>
        </w:rPr>
        <w:t>K bodu 1</w:t>
      </w:r>
      <w:r w:rsidR="00E340B0" w:rsidRPr="003730B5">
        <w:rPr>
          <w:b/>
          <w:szCs w:val="24"/>
        </w:rPr>
        <w:t>9</w:t>
      </w:r>
      <w:r w:rsidRPr="003730B5">
        <w:rPr>
          <w:b/>
          <w:szCs w:val="24"/>
        </w:rPr>
        <w:t xml:space="preserve"> (§ 14 odst. 6)</w:t>
      </w:r>
    </w:p>
    <w:p w14:paraId="6D7D5C8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Upravuje se postup pro stanovení výše zálohy na pojistné v měsíci, v němž byl podán přehled. Podle dosavadní úpravy si mohla OSVČ stanovit za tento měsíc výši zálohy z dosavadní nebo nové výše měsíčního vyměřovacího základu. Nově bude měsíční vyměřovací základ stanovený podle odstavců 2 a 4 platit až od kalendářního měsíce, který následuje po měsíci, v němž byl nebo měl být přehled podán. </w:t>
      </w:r>
    </w:p>
    <w:p w14:paraId="7D5445F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Platná právní úprava (před navrhovanou změnou) způsobuje značné komplikace při provádění sociálního pojištění OSVČ.  </w:t>
      </w:r>
    </w:p>
    <w:p w14:paraId="250C1BB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ustanovení § 20 odst. 5 písm. b) zákona nedojde změnou pravidla, k poškození OSVČ ve smyslu pozdní úhrady zálohy na pojistné.</w:t>
      </w:r>
    </w:p>
    <w:p w14:paraId="5C9054B5" w14:textId="3512A471"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xml:space="preserve">K bodu </w:t>
      </w:r>
      <w:r w:rsidR="00E340B0" w:rsidRPr="003730B5">
        <w:rPr>
          <w:rFonts w:ascii="Times New Roman" w:hAnsi="Times New Roman"/>
          <w:color w:val="auto"/>
          <w:sz w:val="24"/>
          <w:szCs w:val="24"/>
        </w:rPr>
        <w:t xml:space="preserve">20  </w:t>
      </w:r>
      <w:r w:rsidRPr="003730B5">
        <w:rPr>
          <w:rFonts w:ascii="Times New Roman" w:hAnsi="Times New Roman"/>
          <w:color w:val="auto"/>
          <w:sz w:val="24"/>
          <w:szCs w:val="24"/>
        </w:rPr>
        <w:t>(§ 20 odst. 5 písm. j))</w:t>
      </w:r>
    </w:p>
    <w:p w14:paraId="280E8F0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 neuhrazeného dluhu na pojistném pro plátce „zaměstnanec činný na základě DPP“ neplyne penále.</w:t>
      </w:r>
    </w:p>
    <w:p w14:paraId="5192C3C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Dluh na pojistném bude na zaměstnanci vymáhat OSSZ stejným způsobem jako od ostatních plátců pojistného. Povinnost platit pojistné i za zaměstnavatele však vznikne až po několika měsících po výplatě této odměny, a to případně i v době, kdy už zaměstnání skončilo, proto nebude účtováno penále. Vymáhání dluhu na pojistném bude administrativně náročné a aplikací penále by se náročnost ještě zvýšila.</w:t>
      </w:r>
    </w:p>
    <w:p w14:paraId="066CC1BF" w14:textId="273B4789"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xml:space="preserve">K bodu </w:t>
      </w:r>
      <w:r w:rsidR="00E340B0" w:rsidRPr="003730B5">
        <w:rPr>
          <w:rFonts w:ascii="Times New Roman" w:hAnsi="Times New Roman"/>
          <w:color w:val="auto"/>
          <w:sz w:val="24"/>
          <w:szCs w:val="24"/>
        </w:rPr>
        <w:t xml:space="preserve">21  </w:t>
      </w:r>
      <w:r w:rsidRPr="003730B5">
        <w:rPr>
          <w:rFonts w:ascii="Times New Roman" w:hAnsi="Times New Roman"/>
          <w:color w:val="auto"/>
          <w:sz w:val="24"/>
          <w:szCs w:val="24"/>
        </w:rPr>
        <w:t xml:space="preserve">(§ 20a odst. 1) </w:t>
      </w:r>
    </w:p>
    <w:p w14:paraId="15516ED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 základě písemné žádosti plátce „zaměstnance činného na základě DPP“ může příslušná OSSZ povolit placení dlužného pojistného ve splátkách. Proces povolování splátek a podmínky pro povolení splátek se řídí podle platné právní úpravy s výjimkou povinnosti platit penále. </w:t>
      </w:r>
    </w:p>
    <w:p w14:paraId="701504C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Dluh zaměstnance na pojistném jako plátce pojistného může být uhrazován i ve splátkách. OSSZ stanoví obdobné podmínky pro placení dluhu ve splátkách jako pro ostatní plátce pojistného. </w:t>
      </w:r>
    </w:p>
    <w:p w14:paraId="7164BFEC" w14:textId="28342D5C"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2</w:t>
      </w:r>
      <w:r w:rsidR="00E340B0" w:rsidRPr="003730B5">
        <w:rPr>
          <w:rFonts w:ascii="Times New Roman" w:hAnsi="Times New Roman"/>
          <w:color w:val="auto"/>
          <w:sz w:val="24"/>
          <w:szCs w:val="24"/>
        </w:rPr>
        <w:t>2</w:t>
      </w:r>
      <w:r w:rsidRPr="003730B5">
        <w:rPr>
          <w:rFonts w:ascii="Times New Roman" w:hAnsi="Times New Roman"/>
          <w:color w:val="auto"/>
          <w:sz w:val="24"/>
          <w:szCs w:val="24"/>
        </w:rPr>
        <w:t xml:space="preserve"> (§ 22b odst. 1, 3 a 4)</w:t>
      </w:r>
    </w:p>
    <w:p w14:paraId="4123B02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Ustanovení o pravděpodobné výši pojistného se rozšiřují i o situace, kdy zaměstnavatel nepodá přehled podle nového § 9 odst. 7 o výši vyměřovacích základů zaměstnanců činných na základě dohod o provedení práce. </w:t>
      </w:r>
    </w:p>
    <w:p w14:paraId="1129A5E8" w14:textId="74BCED0C"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b w:val="0"/>
          <w:color w:val="auto"/>
          <w:sz w:val="24"/>
          <w:szCs w:val="24"/>
        </w:rPr>
      </w:pPr>
      <w:r w:rsidRPr="003730B5">
        <w:rPr>
          <w:rFonts w:ascii="Times New Roman" w:hAnsi="Times New Roman"/>
          <w:color w:val="auto"/>
          <w:sz w:val="24"/>
          <w:szCs w:val="24"/>
        </w:rPr>
        <w:t>K bodu 2</w:t>
      </w:r>
      <w:r w:rsidR="00E340B0" w:rsidRPr="003730B5">
        <w:rPr>
          <w:rFonts w:ascii="Times New Roman" w:hAnsi="Times New Roman"/>
          <w:color w:val="auto"/>
          <w:sz w:val="24"/>
          <w:szCs w:val="24"/>
        </w:rPr>
        <w:t>3</w:t>
      </w:r>
      <w:r w:rsidRPr="003730B5">
        <w:rPr>
          <w:rFonts w:ascii="Times New Roman" w:hAnsi="Times New Roman"/>
          <w:color w:val="auto"/>
          <w:sz w:val="24"/>
          <w:szCs w:val="24"/>
        </w:rPr>
        <w:t xml:space="preserve"> (§ 25d odst. 1 písm. b))</w:t>
      </w:r>
    </w:p>
    <w:p w14:paraId="05CE71AD" w14:textId="0EDEE245"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Nepředložení předepsaného tiskopisu nebo nepředložení ve stanovené lhůtě nebo stanoveným způsobem se považuje za přestupek s pokutou do 50 000 Kč (§ 25d </w:t>
      </w:r>
      <w:r w:rsidR="00B559A9" w:rsidRPr="003730B5">
        <w:rPr>
          <w:rFonts w:ascii="Times New Roman" w:hAnsi="Times New Roman"/>
          <w:color w:val="auto"/>
          <w:sz w:val="24"/>
        </w:rPr>
        <w:t xml:space="preserve">zákona </w:t>
      </w:r>
      <w:r w:rsidR="00D03256" w:rsidRPr="003730B5">
        <w:rPr>
          <w:rFonts w:ascii="Times New Roman" w:hAnsi="Times New Roman"/>
          <w:color w:val="auto"/>
          <w:sz w:val="24"/>
        </w:rPr>
        <w:t>o </w:t>
      </w:r>
      <w:r w:rsidR="00B559A9" w:rsidRPr="003730B5">
        <w:rPr>
          <w:rFonts w:ascii="Times New Roman" w:hAnsi="Times New Roman"/>
          <w:color w:val="auto"/>
          <w:sz w:val="24"/>
        </w:rPr>
        <w:t>pojistném na sociální zabezpečení)</w:t>
      </w:r>
      <w:r w:rsidRPr="003730B5">
        <w:rPr>
          <w:rFonts w:ascii="Times New Roman" w:hAnsi="Times New Roman"/>
          <w:color w:val="auto"/>
          <w:sz w:val="24"/>
        </w:rPr>
        <w:t>.</w:t>
      </w:r>
    </w:p>
    <w:p w14:paraId="5BEBBCC2" w14:textId="01A33D94" w:rsidR="00133AC8" w:rsidRPr="003730B5" w:rsidRDefault="00133AC8" w:rsidP="00A24C00">
      <w:pPr>
        <w:keepNext/>
        <w:widowControl w:val="0"/>
        <w:spacing w:before="240" w:after="120"/>
        <w:outlineLvl w:val="2"/>
        <w:rPr>
          <w:b/>
        </w:rPr>
      </w:pPr>
      <w:r w:rsidRPr="003730B5">
        <w:rPr>
          <w:b/>
        </w:rPr>
        <w:t>K čl. </w:t>
      </w:r>
      <w:r w:rsidR="003D0993" w:rsidRPr="003730B5">
        <w:rPr>
          <w:b/>
        </w:rPr>
        <w:t>XVII</w:t>
      </w:r>
      <w:r w:rsidRPr="003730B5">
        <w:rPr>
          <w:b/>
        </w:rPr>
        <w:t xml:space="preserve"> (Přechodná ustanovení)</w:t>
      </w:r>
    </w:p>
    <w:p w14:paraId="7DB5402E"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b w:val="0"/>
          <w:color w:val="auto"/>
          <w:sz w:val="24"/>
          <w:szCs w:val="24"/>
          <w:u w:val="single"/>
        </w:rPr>
      </w:pPr>
      <w:r w:rsidRPr="003730B5">
        <w:rPr>
          <w:rFonts w:ascii="Times New Roman" w:hAnsi="Times New Roman"/>
          <w:b w:val="0"/>
          <w:color w:val="auto"/>
          <w:sz w:val="24"/>
          <w:szCs w:val="24"/>
          <w:u w:val="single"/>
        </w:rPr>
        <w:t>K bodu 1</w:t>
      </w:r>
    </w:p>
    <w:p w14:paraId="2D6C1F8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Podle přechodného ustanovení je sazba pro stanovení výše pojistného navázána na období, za které se pojistné platí, a nikoliv na dobu, ve které se platí. Z vyměřovacích základů za kalendářní měsíce připadajících do období před účinností zákona se zvýšené pojistné na nemocenské pojištění neplatí.</w:t>
      </w:r>
    </w:p>
    <w:p w14:paraId="28020011" w14:textId="77777777" w:rsidR="00133AC8" w:rsidRPr="003730B5" w:rsidRDefault="00133AC8" w:rsidP="00133AC8">
      <w:pPr>
        <w:widowControl w:val="0"/>
        <w:tabs>
          <w:tab w:val="left" w:pos="708"/>
        </w:tabs>
        <w:spacing w:before="120"/>
        <w:outlineLvl w:val="3"/>
        <w:rPr>
          <w:szCs w:val="24"/>
          <w:u w:val="single"/>
        </w:rPr>
      </w:pPr>
      <w:r w:rsidRPr="003730B5">
        <w:rPr>
          <w:szCs w:val="24"/>
          <w:u w:val="single"/>
        </w:rPr>
        <w:t>K bodu 2</w:t>
      </w:r>
    </w:p>
    <w:p w14:paraId="6FC96257" w14:textId="179B1CC1" w:rsidR="00133AC8" w:rsidRPr="003730B5" w:rsidRDefault="00133AC8" w:rsidP="00133AC8">
      <w:pPr>
        <w:widowControl w:val="0"/>
        <w:spacing w:before="120"/>
        <w:rPr>
          <w:szCs w:val="24"/>
        </w:rPr>
      </w:pPr>
      <w:r w:rsidRPr="003730B5">
        <w:rPr>
          <w:szCs w:val="24"/>
        </w:rPr>
        <w:t xml:space="preserve">Vzhledem ke zvýšení procentní sazby pro stanovení vyměřovacího základu se stanoví, jaká </w:t>
      </w:r>
      <w:r w:rsidRPr="003730B5">
        <w:rPr>
          <w:szCs w:val="24"/>
        </w:rPr>
        <w:lastRenderedPageBreak/>
        <w:t xml:space="preserve">sazba se v daném období použije. Pojistné za dobu před 1. </w:t>
      </w:r>
      <w:r w:rsidR="004E27CF" w:rsidRPr="003730B5">
        <w:rPr>
          <w:szCs w:val="24"/>
        </w:rPr>
        <w:t>1.</w:t>
      </w:r>
      <w:r w:rsidRPr="003730B5">
        <w:rPr>
          <w:szCs w:val="24"/>
        </w:rPr>
        <w:t xml:space="preserve"> 2024 se bude platit podle předpisů platných před tímto dnem; jde o obvyklé přechodné ustanovení.</w:t>
      </w:r>
    </w:p>
    <w:p w14:paraId="1BCE9F77"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jedenácté – Změna zákona o dani silniční</w:t>
      </w:r>
    </w:p>
    <w:p w14:paraId="60C85572" w14:textId="77777777" w:rsidR="00133AC8" w:rsidRPr="003730B5" w:rsidRDefault="00133AC8" w:rsidP="00133AC8">
      <w:pPr>
        <w:spacing w:before="120" w:after="120"/>
        <w:rPr>
          <w:bCs/>
        </w:rPr>
      </w:pPr>
      <w:r w:rsidRPr="003730B5">
        <w:t>Novelou zákona o dani silniční, provedenou zákonem č. 142/2022 Sb., došlo k</w:t>
      </w:r>
      <w:r w:rsidRPr="003730B5">
        <w:rPr>
          <w:b/>
          <w:bCs/>
        </w:rPr>
        <w:t> </w:t>
      </w:r>
      <w:r w:rsidRPr="003730B5">
        <w:t>výrazným změnám zákona o dani silniční, jejímž charakteristickým znakem byla</w:t>
      </w:r>
      <w:r w:rsidRPr="003730B5">
        <w:rPr>
          <w:bCs/>
        </w:rPr>
        <w:t xml:space="preserve"> redukce této daně</w:t>
      </w:r>
      <w:r w:rsidRPr="003730B5">
        <w:t>. Předkládaná novela zákona o dani silniční všechna zásadní ustanovení, která se týkají výše daně</w:t>
      </w:r>
      <w:r w:rsidRPr="003730B5">
        <w:rPr>
          <w:bCs/>
        </w:rPr>
        <w:t xml:space="preserve"> a rozsahu vozidel, která jsou předmětem daně, zachovává. </w:t>
      </w:r>
    </w:p>
    <w:p w14:paraId="0082DF9E" w14:textId="77777777" w:rsidR="00133AC8" w:rsidRPr="003730B5" w:rsidRDefault="00133AC8" w:rsidP="00133AC8">
      <w:pPr>
        <w:spacing w:before="120" w:after="120"/>
      </w:pPr>
      <w:r w:rsidRPr="003730B5">
        <w:t>Pokud jde o klíčové ustanovení zákona týkající se předmětu daně, jedinou úpravou zužující okruh vozidel, kterých se daň týká, je vyjmutí přípojných vozidel zvláštního určení určených pro přepravu nadměrného nákladu z předmětu daně. Důvodem úpravy je snaha o soulad postupu u těchto specifických vozidel mezi vozidly přípojnými a nepřípojnými. Rozpočtový dopad této úpravy je zanedbatelný. Zanedbatelný je rovněž dopad úpravy zpřesňující podmínky pro osvobození vozidel vybavených výstražným světlem, případně doplněným zvláštním zvukovým zařízením.</w:t>
      </w:r>
    </w:p>
    <w:p w14:paraId="37C964C6" w14:textId="77777777" w:rsidR="00133AC8" w:rsidRPr="003730B5" w:rsidRDefault="00133AC8" w:rsidP="00133AC8">
      <w:pPr>
        <w:spacing w:before="120" w:after="120"/>
      </w:pPr>
      <w:r w:rsidRPr="003730B5">
        <w:t xml:space="preserve">Další úpravy v předmětu daně silniční v předkládané novele mají upřesnit postupy například při prodeji vozidel, při vyřazení vozidel z provozu s uložením registračních značek do registru silničních vozidel a jejich opětovném zařazení apod. Tyto úpravy věcně nemění dosavadní stav a jsou rozpočtově neutrální. </w:t>
      </w:r>
    </w:p>
    <w:p w14:paraId="442BD87F" w14:textId="77777777" w:rsidR="00133AC8" w:rsidRPr="003730B5" w:rsidRDefault="00133AC8" w:rsidP="00133AC8">
      <w:pPr>
        <w:spacing w:before="120" w:after="120"/>
      </w:pPr>
      <w:r w:rsidRPr="003730B5">
        <w:t xml:space="preserve">Předkládaná novela obsahuje rovněž upřesnění výpočtu a výše daně a způsobu určení dvanáctiny výše daně za jednotlivý kalendářní měsíc ve vztahu k údajům obsaženým v registru silničních vozidel. Navrhované řešení posiluje princip měsíčního „organizování“ daně silniční tak, aby změny v rozhodných skutečnostech u zdanitelných vozidel byly promítány do daňové povinnosti uváděné poplatníkem v ročním přiznání k dani nikoliv podle formálního stavu v registru silničních vozidel k 1. lednu, ale aby se dopad do daňové povinnosti více přiblížil datu změny zapisovanému v registru silničních vozidel již v průběhu zdaňovacího období. Tyto úpravy budou celkově pro poplatníky neutrální a nebudou mít dopad na výši inkasa daně. </w:t>
      </w:r>
    </w:p>
    <w:p w14:paraId="611D59E6" w14:textId="16B8D862" w:rsidR="00133AC8" w:rsidRPr="003730B5" w:rsidRDefault="00133AC8" w:rsidP="00133AC8">
      <w:pPr>
        <w:spacing w:before="120" w:after="120"/>
      </w:pPr>
      <w:r w:rsidRPr="003730B5">
        <w:t xml:space="preserve">Novelou navrhovaná změna rozpočtového určení daně silniční je dána potřebou vyřešit problémy vzniklé z dlouhodobého poklesu inkasa daně vlivem redukce této daně a zrušením záloh na dani. Převod ze Státního fondu dopravní infrastruktury do státního rozpočtu umožňuje bezproblémově řešit vracení přeplatků na dani. O očekávaný roční výnos daně silniční ve výši cca 1,3 mld. Kč se ve zdaňovacím období po nabytí účinnosti zákona (která se navrhuje od 1. </w:t>
      </w:r>
      <w:r w:rsidR="00D6156C" w:rsidRPr="003730B5">
        <w:t>1.</w:t>
      </w:r>
      <w:r w:rsidRPr="003730B5">
        <w:t xml:space="preserve"> 2024) zvýší příjmy příslušné kapitoly státního rozpočtu za současného poklesu stejné částky ve zdrojích Státního fondu dopravní infrastruktury. Popisovaná změna v příjemci výnosu daně proběhne poprvé návazně na podání daňových přiznání poplatníky za zdaňovací období 2023, jejichž termín je stanoven na 31. </w:t>
      </w:r>
      <w:r w:rsidR="00D6156C" w:rsidRPr="003730B5">
        <w:t>1.</w:t>
      </w:r>
      <w:r w:rsidRPr="003730B5">
        <w:t xml:space="preserve"> 2024.</w:t>
      </w:r>
    </w:p>
    <w:p w14:paraId="3E0EBD9F" w14:textId="57505F5C" w:rsidR="00133AC8" w:rsidRPr="003730B5" w:rsidRDefault="00133AC8" w:rsidP="00A24C00">
      <w:pPr>
        <w:keepNext/>
        <w:widowControl w:val="0"/>
        <w:spacing w:after="120"/>
        <w:outlineLvl w:val="2"/>
        <w:rPr>
          <w:b/>
        </w:rPr>
      </w:pPr>
      <w:r w:rsidRPr="003730B5">
        <w:rPr>
          <w:b/>
        </w:rPr>
        <w:t>K čl. </w:t>
      </w:r>
      <w:r w:rsidR="003D0993" w:rsidRPr="003730B5">
        <w:rPr>
          <w:b/>
        </w:rPr>
        <w:t>XVIII</w:t>
      </w:r>
    </w:p>
    <w:p w14:paraId="568D5A45" w14:textId="77777777" w:rsidR="00133AC8" w:rsidRPr="003730B5" w:rsidRDefault="00133AC8" w:rsidP="00133AC8">
      <w:pPr>
        <w:pStyle w:val="Dvodovzprvakbodu"/>
        <w:widowControl w:val="0"/>
        <w:numPr>
          <w:ilvl w:val="0"/>
          <w:numId w:val="85"/>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2 odst. 3 písm. a))</w:t>
      </w:r>
    </w:p>
    <w:p w14:paraId="07CCFD49" w14:textId="4C51F53A" w:rsidR="00133AC8" w:rsidRPr="003730B5" w:rsidRDefault="00133AC8" w:rsidP="00133AC8">
      <w:pPr>
        <w:spacing w:before="120"/>
      </w:pPr>
      <w:r w:rsidRPr="003730B5">
        <w:t xml:space="preserve">Navrhuje se nově v zákoně výslovně upravit zdanitelná vozidla, která jsou vyřazena z provozu podle § 12 zákona o podmínkách provozu vozidel na pozemních komunikacích. Podle stávající ustálené praxe se tato vozidla považovala za vyňatá z předmětu daně, avšak tato praxe nebyla dostatečně podpořena explicitní právní úpravou.  Podmínka provozu vozidla nebyla u nákladních automobilů dlouhodobě jednou z rozhodných podmínek předmětu daně silniční a Nejvyšší správní soud opakovaně potvrdil názor, že vozidla s nejvyšší povolenou hmotností nad 3,5 tuny určená výlučně k přepravě nákladů a registrovaná v České republice, která nejsou </w:t>
      </w:r>
      <w:r w:rsidRPr="003730B5">
        <w:lastRenderedPageBreak/>
        <w:t>provozovaná (nebo nejsou fakticky vůbec používána), ale nebyla vyřazena z registru, podléhají silniční dani, resp. jsou předmětem daně silniční</w:t>
      </w:r>
      <w:r w:rsidRPr="003730B5">
        <w:rPr>
          <w:vertAlign w:val="superscript"/>
        </w:rPr>
        <w:footnoteReference w:id="11"/>
      </w:r>
      <w:r w:rsidRPr="003730B5">
        <w:t xml:space="preserve">. </w:t>
      </w:r>
    </w:p>
    <w:p w14:paraId="5E1D826E" w14:textId="77777777" w:rsidR="00133AC8" w:rsidRPr="003730B5" w:rsidRDefault="00133AC8" w:rsidP="00133AC8">
      <w:pPr>
        <w:spacing w:before="120"/>
      </w:pPr>
      <w:r w:rsidRPr="003730B5">
        <w:t xml:space="preserve">Protože jsou i nadále důvody k zohlednění využívaného institutu vyřazení vozidel z provozu tak, aby nedocházelo k zatížení daní silniční, byla zvolena výslovná úprava v zákoně o dani silniční týkající se vyjímání těchto vozidel z předmětu daně za předem stanovených zákonných podmínek. </w:t>
      </w:r>
    </w:p>
    <w:p w14:paraId="2D21968C" w14:textId="77777777" w:rsidR="00133AC8" w:rsidRPr="003730B5" w:rsidRDefault="00133AC8" w:rsidP="00133AC8">
      <w:pPr>
        <w:spacing w:before="120"/>
      </w:pPr>
      <w:r w:rsidRPr="003730B5">
        <w:t xml:space="preserve">Vlastník silničního vozidla spolu s žádostí o vyřazení silničního vozidla z provozu odevzdá obecnímu úřadu obce s rozšířenou působností osvědčení o registraci silničního vozidla a všechny vydané tabulky s přidělenou registrační značkou. Odevzdání tabulek s přidělenou registrační značkou příslušnému orgánu je přitom natolik charakteristickým prvkem procesu vyřazení vozidla z provozu, že jej výslovně vedle zákona o podmínkách povozu na pozemních komunikacích uvádí jako podmínku pro osvobození i nově doplněné ustanovení zákona o dani silniční. </w:t>
      </w:r>
    </w:p>
    <w:p w14:paraId="7C993180" w14:textId="77777777" w:rsidR="00133AC8" w:rsidRPr="003730B5" w:rsidRDefault="00133AC8" w:rsidP="00133AC8">
      <w:pPr>
        <w:spacing w:before="120"/>
      </w:pPr>
      <w:r w:rsidRPr="003730B5">
        <w:t>Cílem navržené úpravy není odklon od stávající praxe, ale naopak její jasné zakotvení v rámci zákona o dani silniční.</w:t>
      </w:r>
    </w:p>
    <w:p w14:paraId="1C0D07FE" w14:textId="77777777" w:rsidR="00133AC8" w:rsidRPr="003730B5" w:rsidRDefault="00133AC8" w:rsidP="00133AC8">
      <w:pPr>
        <w:pStyle w:val="Dvodovzprvakbodu"/>
        <w:widowControl w:val="0"/>
        <w:numPr>
          <w:ilvl w:val="0"/>
          <w:numId w:val="85"/>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2 odst. 3 písm. d))</w:t>
      </w:r>
    </w:p>
    <w:p w14:paraId="3AF864EE" w14:textId="77777777" w:rsidR="00133AC8" w:rsidRPr="003730B5" w:rsidRDefault="00133AC8" w:rsidP="00133AC8">
      <w:pPr>
        <w:spacing w:before="120"/>
      </w:pPr>
      <w:r w:rsidRPr="003730B5">
        <w:t>Předkládaná novela zákona o dani silniční zachovává všechna zásadní ustanovení, která se týkají výše daně a rozsahu vozidel, která jsou předmětem daně. Jediným věcným rozšířením negativního výčtu zdanitelných vozidel je úprava týkající se vozidel zvláštního určení, kde se navrhuje vedle motorových vozidel pro přepravu nadměrných nákladů, které jsou již dnes z předmětu daně vyjmuty (stávající úprava vyjímá z předmětu daně zdanitelná vozidla kategorie N podkategorie vozidla zvláštního určení a terénní vozidla zvláštního určení). Nově budou z předmětu daně vyjmuta také přípojná vozidla (vozidla kategorie O) pro přepravu nadměrných nákladů, která patří do vozidel zvláštního určení (s ohledem na výši daně se úprava prakticky dotkne pouze vozidel kategorie O</w:t>
      </w:r>
      <w:r w:rsidRPr="003730B5">
        <w:rPr>
          <w:vertAlign w:val="subscript"/>
        </w:rPr>
        <w:t xml:space="preserve">3 </w:t>
      </w:r>
      <w:r w:rsidRPr="003730B5">
        <w:t>nebo O</w:t>
      </w:r>
      <w:r w:rsidRPr="003730B5">
        <w:rPr>
          <w:vertAlign w:val="subscript"/>
        </w:rPr>
        <w:t>4</w:t>
      </w:r>
      <w:r w:rsidRPr="003730B5">
        <w:t xml:space="preserve">). Důvodem úpravy je snaha uvést obě skupiny vozidel zvláštního určení pro přepravu nadměrných nákladů pro účely daně silniční do souladu.  </w:t>
      </w:r>
    </w:p>
    <w:p w14:paraId="6644C724" w14:textId="77777777" w:rsidR="00133AC8" w:rsidRPr="003730B5" w:rsidRDefault="00133AC8" w:rsidP="00133AC8">
      <w:pPr>
        <w:pStyle w:val="Dvodovzprvakbodu"/>
        <w:widowControl w:val="0"/>
        <w:numPr>
          <w:ilvl w:val="0"/>
          <w:numId w:val="85"/>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2 odst. 4)</w:t>
      </w:r>
    </w:p>
    <w:p w14:paraId="7798914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 důvodů právní jistoty poplatníků dochází ke zpřesnění znění § 2 odst. 4 zákona o dani silniční doplněním slova „vůbec“, které potvrzuje, že zdanitelné vozidlo není předmětem daně silniční v měsíci, ve kterém vůbec nedošlo naplnění skutečností, které jsou předmětem daně. Cílem změny není dosažení věcné změny oproti dosavadnímu právnímu stavu.</w:t>
      </w:r>
    </w:p>
    <w:p w14:paraId="3309815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měsíci, ve kterém alespoň v jednom dni došlo k naplnění podmínek předmětu daně, je vozidlo předmětem daně.</w:t>
      </w:r>
    </w:p>
    <w:p w14:paraId="0EB4DEAD" w14:textId="77777777" w:rsidR="00133AC8" w:rsidRPr="003730B5" w:rsidRDefault="00133AC8" w:rsidP="00133AC8">
      <w:pPr>
        <w:pStyle w:val="Dvodovzprvakbodu"/>
        <w:widowControl w:val="0"/>
        <w:numPr>
          <w:ilvl w:val="0"/>
          <w:numId w:val="85"/>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2 odst. 5)</w:t>
      </w:r>
    </w:p>
    <w:p w14:paraId="4BCF391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Výslovný text zákona týkající se předmětu daně silniční u vozidla, u něhož dojde ke změně poplatníka (například při prodeji vozidla) pouze potvrzuje dosavadní postup, který byl součástí odůvodnění předchozí novely zákona provedené zákonem č. 142/2022 Sb., které explicitně uvádělo, že „Pokud jde o případy, kdy v průběhu kalendářního měsíce dojde ke změně v osobě provozovatele (nebo jiného poplatníka), nově bude zdanitelné vozidlo, u něhož k takové změně došlo, předmětem daně u obou provozovatelů (nebo jiných poplatníků).“ Ustanovení se doplňuje přímo do zákona za účelem zvýšení právní jistoty poplatníků.</w:t>
      </w:r>
    </w:p>
    <w:p w14:paraId="67CCE6B6" w14:textId="77777777" w:rsidR="00133AC8" w:rsidRPr="003730B5" w:rsidRDefault="00133AC8" w:rsidP="00133AC8">
      <w:pPr>
        <w:pStyle w:val="Dvodovzprvakbodu"/>
        <w:widowControl w:val="0"/>
        <w:numPr>
          <w:ilvl w:val="0"/>
          <w:numId w:val="85"/>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lastRenderedPageBreak/>
        <w:t>(§ 3 odst. 1 písm. a))</w:t>
      </w:r>
    </w:p>
    <w:p w14:paraId="3ABBD46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 navržena terminologická úprava v podmínkách nároku na osvobození podle § 3 odst. 1 zákona o dani silniční (zvláštní výstražná světla případně doplněná o zvláštní zvukové výstražné znamení) s důvodem zajistit soulad s věcným předpisem, kterým je zákon č. 361/2000 Sb. Doplnění slova „případně“ v části ustanovení, které se týká zvukového výstražného zařízení, je úpravou ve prospěch poplatníka, která zmírňuje stávající podmínky pro osvobození vozidla. Naopak jednoznačná výslovná vazba osvobození na zápis v registru silničních vozidel vylučuje z osvobození případy, které by prokazování skutečnosti o vybavení vozidla dokladovaly jiným způsobem (například jinými technickými doklady).</w:t>
      </w:r>
    </w:p>
    <w:p w14:paraId="52CFFF55" w14:textId="77777777" w:rsidR="00133AC8" w:rsidRPr="003730B5" w:rsidRDefault="00133AC8" w:rsidP="00133AC8">
      <w:pPr>
        <w:pStyle w:val="Dvodovzprvakbodu"/>
        <w:widowControl w:val="0"/>
        <w:numPr>
          <w:ilvl w:val="0"/>
          <w:numId w:val="85"/>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 odst. 2 a 3)</w:t>
      </w:r>
    </w:p>
    <w:p w14:paraId="10833527" w14:textId="7F3992CD"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aby byl ke stávajícímu ustanovení o výši daně doplněn text, ze kterého by vyplynula přednost registru silničních vozidel jakožto zdroje údajů pro určení skutečností rozhodných pro výši daně před ostatními zdroji údajů (např. technický průkaz, jiné technické dokumenty nebo ohledání vozidla). Registr silničních vozidel (§ 4 zákona o podmínkách provozu vozidel na pozemních komunikacích) nahrazuje od 1. </w:t>
      </w:r>
      <w:r w:rsidR="00D6156C" w:rsidRPr="003730B5">
        <w:rPr>
          <w:rFonts w:ascii="Times New Roman" w:hAnsi="Times New Roman"/>
          <w:color w:val="auto"/>
          <w:sz w:val="24"/>
        </w:rPr>
        <w:t>1.</w:t>
      </w:r>
      <w:r w:rsidRPr="003730B5">
        <w:rPr>
          <w:rFonts w:ascii="Times New Roman" w:hAnsi="Times New Roman"/>
          <w:color w:val="auto"/>
          <w:sz w:val="24"/>
        </w:rPr>
        <w:t xml:space="preserve"> 2024 funkci listinné podoby Osvědčení o registraci silničního vozidla (dále jen „technický průkaz“). Navržené ustanovení § 5 odst. 2 převzalo v upravené podobě dnešní § 14a zákona o dani silniční.</w:t>
      </w:r>
    </w:p>
    <w:p w14:paraId="149AC168" w14:textId="5EC1AF6B"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Pokud nedochází k přestavbě vozidla, určí se výše daně podle stavu na počátku zdaňovacího období (1. </w:t>
      </w:r>
      <w:r w:rsidR="00D6156C" w:rsidRPr="003730B5">
        <w:rPr>
          <w:rFonts w:ascii="Times New Roman" w:hAnsi="Times New Roman"/>
          <w:color w:val="auto"/>
          <w:sz w:val="24"/>
        </w:rPr>
        <w:t>1.</w:t>
      </w:r>
      <w:r w:rsidRPr="003730B5">
        <w:rPr>
          <w:rFonts w:ascii="Times New Roman" w:hAnsi="Times New Roman"/>
          <w:color w:val="auto"/>
          <w:sz w:val="24"/>
        </w:rPr>
        <w:t xml:space="preserve"> daného kalendářního roku v 00:00), případně se vychází z prvních evidovaných údajů při první registraci vozidla v registru silničních vozidel (např. v situaci, kdy vozidlo na počátku zdaňovacího období neexistovalo nebo ještě nebylo dovezeno na území České republiky).</w:t>
      </w:r>
    </w:p>
    <w:p w14:paraId="0FFA7B0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Pokud v průběhu zdaňovacího období došlo k přestavbě vozidla upravené v části páté zákona o podmínkách provozu vozidel na pozemních komunikacích, která má za následek změnu výše daně, určí se pro každý kalendářní měsíc, kdy je vozidlo předmětem daně dvanáctina výše daně podle stavu na začátku daného kalendářního měsíce (případně podle prvních údajů uvedených v registru silničních vozidel při první registraci vozidla v daném kalendářním měsíci). Obdobně se pro účely výpočtu určí výše dvanáctiny výše daně za každý měsíc, kdy je vozidlo osvobozeno.</w:t>
      </w:r>
    </w:p>
    <w:p w14:paraId="174DFFD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Pokud je například v důsledku přestavby zvýšen počet náprav vozidla nebo je změněna největší povolená hmotnost v tunách tak, že vozidlu po přestavbě přísluší podle přílohy k zákonu o dani silniční jiná výše daně, přestavba měla vliv na skutečnost rozhodnou pro výši daně a je nutné postupovat podle odstavce 3. Kromě uvedených technických parametrů takovou skutečností může být změna druhu karoserie vozidla (například při přestavbě zdanitelného vozidla kategorie N s druhem karoserie BA na vozidlo kategorie N s druhem karoserie BC nebo BD). </w:t>
      </w:r>
    </w:p>
    <w:p w14:paraId="265C246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Pokud je v důsledku přestavby vozidla dotčen pouze předmět daně (§ 2 zákona o dani silniční) nebo nárok na osvobození vozidla (§ 3 zákona o dani silniční), § 5 odst. 3 zákona o dani silniční se neuplatní a daňové důsledky přestavby jsou nadále posuzovány podle těchto ustanovení organizovaných na měsíčním principu. Např. u předmětu daně stačí, aby vozidlo splňovalo podmínky pro jeho zařazení do předmětu daně jeden den v měsíci a vozidlo je v předmětu daně za celý takový měsíc.</w:t>
      </w:r>
    </w:p>
    <w:p w14:paraId="37ED930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Pokud jde o měsíc, kdy vozidlo splní nárok na osvobození, vozidlo je podle § 3 odst. 2 zákona o dani silniční  osvobozeno v kalendářním měsíci, ve kterém byly splněny podmínky pro osvobození ve všech dnech, kdy byly u tohoto zdanitelného vozidla naplněny skutečnosti, které jsou předmětem daně. Posuzován je souběh splnění podmínek pro osvobození a všech dnů, kdy byly u zdanitelného vozidla naplněny skutečnosti, které jsou předmětem daně.  Pokud u zdanitelného vozidla (například kategorie N2), které bylo v předmětu daně podle zákona </w:t>
      </w:r>
      <w:r w:rsidRPr="003730B5">
        <w:rPr>
          <w:rFonts w:ascii="Times New Roman" w:hAnsi="Times New Roman"/>
          <w:color w:val="auto"/>
          <w:sz w:val="24"/>
        </w:rPr>
        <w:lastRenderedPageBreak/>
        <w:t xml:space="preserve">o dani silniční, byla k 16. dubnu zdaňovacího období zapsána do registru silničních vozidel skutečnost, ze které plyne jeho nárok na osvobození podle zákona o dani silniční, je prvním měsícem, kdy došlo k naplnění výše uváděného souběhu podmínek, a tedy prvním měsíce jeho osvobození, až květen tohoto zdaňovacího období.  V dubnu sice bylo vozidlo ve všech jeho dnech předmětem daně, ale podmínka pro osvobození byla splněna pouze část měsíce, a tedy nedošlo k popisovanému souběhu (jiná situace by nastala, kdyby vozidlo například před 16. 4. předmětem daně nebylo a do předmětu daně by vstoupilo až tímto datem). </w:t>
      </w:r>
    </w:p>
    <w:p w14:paraId="302F61C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Tyto principy jsou zachovány i v případech přestavby vozidel. Pokud budou nové údaje na základě přestavby zdanitelného vozidla zaevidovány v registru silničních vozidel v průběhu měsíce dubna, použije se pro měsíc duben dvanáctina výše daně podle stavu před přestavbou (protože na začátku měsíce nebyly nové údaje ještě zaevidovány) a nový stav bude reflektován až v měsíci květnu. V této souvislosti platí, že i pokud je změna provedena v první den kalendářního měsíce, není zpravidla nikdy provedena na začátku měsíce (tedy v čase 00:00).</w:t>
      </w:r>
    </w:p>
    <w:p w14:paraId="24C77D3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Podle obdobného pravidla bude souběh posuzován u vozidla, kde důsledkem jeho přestavby byla skutečnost, že vozidlo se ocitlo mimo předmět daně nebo kdy zdanitelnému vozidlu skončil nárok na osvobození.</w:t>
      </w:r>
    </w:p>
    <w:p w14:paraId="141A8F7A" w14:textId="3BD3C017" w:rsidR="00133AC8" w:rsidRPr="003730B5" w:rsidRDefault="00133AC8" w:rsidP="00133AC8">
      <w:pPr>
        <w:pStyle w:val="Dvodovzprvakbodu"/>
        <w:widowControl w:val="0"/>
        <w:numPr>
          <w:ilvl w:val="0"/>
          <w:numId w:val="85"/>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12a odst. 2 písm. a)</w:t>
      </w:r>
      <w:r w:rsidR="006E5679" w:rsidRPr="003730B5">
        <w:rPr>
          <w:rFonts w:ascii="Times New Roman" w:hAnsi="Times New Roman"/>
          <w:color w:val="auto"/>
          <w:sz w:val="24"/>
          <w:szCs w:val="24"/>
        </w:rPr>
        <w:t>)</w:t>
      </w:r>
    </w:p>
    <w:p w14:paraId="59FF0A8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Právní úprava se přesouvá do nového odstavce 3. V případě, kdy u zdanitelného vozidla v průběhu zdaňovacího období nedochází ke změnám, stanoví se jednodušší postup výpočtu daně za jednotlivé zdanitelné vozidlo.</w:t>
      </w:r>
    </w:p>
    <w:p w14:paraId="284369EF" w14:textId="77777777" w:rsidR="00133AC8" w:rsidRPr="003730B5" w:rsidRDefault="00133AC8" w:rsidP="00133AC8">
      <w:pPr>
        <w:pStyle w:val="Dvodovzprvakbodu"/>
        <w:widowControl w:val="0"/>
        <w:numPr>
          <w:ilvl w:val="0"/>
          <w:numId w:val="85"/>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12a odst. 3)</w:t>
      </w:r>
    </w:p>
    <w:p w14:paraId="3D43B297" w14:textId="77777777" w:rsidR="00133AC8" w:rsidRPr="003730B5" w:rsidRDefault="00133AC8" w:rsidP="00133AC8">
      <w:pPr>
        <w:spacing w:before="120"/>
      </w:pPr>
      <w:r w:rsidRPr="003730B5">
        <w:t xml:space="preserve">Nově se doplňuje odstavec 3, který stanoví výslovný postup pro výpočet dílčí daně za jednotlivé vozidlo v situaci, kdy zdanitelné vozidlo není část zdaňovacího období předmětem daně nebo je část zdaňovacího období osvobozeno anebo dojde v důsledku přestavby ke změně výše daně. Tato právní úprava byla doposud z části obsažena v odstavci 2. Důvodem jsou stávající problémy se zaokrouhlováním, které vyvstaly z aplikační praxe. </w:t>
      </w:r>
    </w:p>
    <w:p w14:paraId="6927309B" w14:textId="77777777" w:rsidR="00133AC8" w:rsidRPr="003730B5" w:rsidRDefault="00133AC8" w:rsidP="00133AC8">
      <w:pPr>
        <w:spacing w:before="120"/>
      </w:pPr>
      <w:r w:rsidRPr="003730B5">
        <w:t xml:space="preserve">U zdanitelného vozidla (pokud odhlédneme od zákonných slev na dani) je možné spočítat výši dílčí daně za vozidla:  </w:t>
      </w:r>
    </w:p>
    <w:p w14:paraId="1F809DC7" w14:textId="77777777" w:rsidR="00133AC8" w:rsidRPr="003730B5" w:rsidRDefault="00133AC8" w:rsidP="00133AC8">
      <w:pPr>
        <w:numPr>
          <w:ilvl w:val="0"/>
          <w:numId w:val="84"/>
        </w:numPr>
        <w:spacing w:before="120"/>
      </w:pPr>
      <w:r w:rsidRPr="003730B5">
        <w:t>jako úhrn dvanáctin roční výše daně za měsíce, kdy vozidlo předmětem daně je a není osvobozeno nebo</w:t>
      </w:r>
    </w:p>
    <w:p w14:paraId="24318B40" w14:textId="77777777" w:rsidR="00133AC8" w:rsidRPr="003730B5" w:rsidRDefault="00133AC8" w:rsidP="00133AC8">
      <w:pPr>
        <w:numPr>
          <w:ilvl w:val="0"/>
          <w:numId w:val="84"/>
        </w:numPr>
        <w:spacing w:before="120"/>
      </w:pPr>
      <w:r w:rsidRPr="003730B5">
        <w:t xml:space="preserve">jako rozdíl mezi roční výší daně a úhrnem dvanáctin, kdy vozidlo předmětem daně není nebo je osvobozeno, </w:t>
      </w:r>
    </w:p>
    <w:p w14:paraId="1BB7D352" w14:textId="77777777" w:rsidR="00133AC8" w:rsidRPr="003730B5" w:rsidRDefault="00133AC8" w:rsidP="00133AC8">
      <w:pPr>
        <w:spacing w:before="120"/>
      </w:pPr>
      <w:r w:rsidRPr="003730B5">
        <w:t xml:space="preserve">přičemž ve výsledcích výpočtu dle a), nebo b) jsou rozdíly vznikající ze zaokrouhlení na základě § 146 daňového řádu. Navržený text odstavce 3 jednoznačně upřesňuje postup výpočtu dílčí daně s cílem zajistit soulad v postupu dle zákona a stávající praxe vyplývající z pokynů k vyplnění daňového přiznání k dani silniční. </w:t>
      </w:r>
    </w:p>
    <w:p w14:paraId="7632A5AF" w14:textId="77777777" w:rsidR="00133AC8" w:rsidRPr="003730B5" w:rsidRDefault="00133AC8" w:rsidP="00133AC8">
      <w:pPr>
        <w:pStyle w:val="Dvodovzprvakbodu"/>
        <w:widowControl w:val="0"/>
        <w:numPr>
          <w:ilvl w:val="0"/>
          <w:numId w:val="85"/>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14)</w:t>
      </w:r>
    </w:p>
    <w:p w14:paraId="100B33E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návaznosti na novelu zákona o dani silniční provedenou zákonem č. 142/2022 Sb. došlo v důsledku významné redukce předmětu daně silniční a zrušení záloh na dani k zásadnímu snížení inkasa této daně a ke změně peněžních toků tak, že daň je vybrána zásadně pouze jednou ročně. I přes redukci předmětu daně a zrušení záloh na dani poplatníci (či domnělí poplatníci) i nadále zasílají správci daně částky odpovídající zrušeným zálohám na dani. To vedlo ke vzniku dlouhodobého problému s vracením přeplatků na této dani, k němuž dochází naopak průběžně po celý kalendářní rok. </w:t>
      </w:r>
    </w:p>
    <w:p w14:paraId="18D3964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Protože výnos daně nepostačuje na úhradu těchto přeplatků a protože je příjemcem celostátního </w:t>
      </w:r>
      <w:r w:rsidRPr="003730B5">
        <w:rPr>
          <w:rFonts w:ascii="Times New Roman" w:hAnsi="Times New Roman"/>
          <w:color w:val="auto"/>
          <w:sz w:val="24"/>
        </w:rPr>
        <w:lastRenderedPageBreak/>
        <w:t xml:space="preserve">hrubého výnosu daně silniční Státní fond dopravní infrastruktury, je v souladu s § 258 daňového řádu tento státní fond povinen přímo vracet přeplatky poplatníkům, a to v rozsahu celého výnosu daně, který mu je převáděn, což tento státní fond značně administrativně zatěžuje. </w:t>
      </w:r>
    </w:p>
    <w:p w14:paraId="083864A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 důvodu snížení administrativní zátěže státního fondu proto Státní fond dopravní infrastruktury podle § 17 daňového řádu dožádal orgány Finanční správy České republiky o provádění úkonů spojených s vracením přeplatků na dani silniční, přičemž státní fond těmto orgánům pouze převádí souhrnnou částku určenou k vrácení.</w:t>
      </w:r>
    </w:p>
    <w:p w14:paraId="767A2C1D" w14:textId="2D9480A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Tato úprava se promítne zároveň v zákoně o rozpočtovém určení daní a v zákoně o Státním fondu dopravní infrastruktury.</w:t>
      </w:r>
    </w:p>
    <w:p w14:paraId="47FB3F62" w14:textId="77777777" w:rsidR="00133AC8" w:rsidRPr="003730B5" w:rsidRDefault="00133AC8" w:rsidP="00133AC8">
      <w:pPr>
        <w:pStyle w:val="Dvodovzprvakbodu"/>
        <w:widowControl w:val="0"/>
        <w:numPr>
          <w:ilvl w:val="0"/>
          <w:numId w:val="85"/>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14a)</w:t>
      </w:r>
    </w:p>
    <w:p w14:paraId="0CBB6D5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Zrušení § 14a souvisí s doplněním § 5 odst. 2 a 3, kde je normováno, jak se určí skutečnosti rozhodné pro výši daně silniční ve vztahu k jednotlivému zdanitelnému vozidlu.  </w:t>
      </w:r>
    </w:p>
    <w:p w14:paraId="0D5E7B2D" w14:textId="5C63EDA1" w:rsidR="00133AC8" w:rsidRPr="003730B5" w:rsidRDefault="00133AC8" w:rsidP="00133AC8">
      <w:pPr>
        <w:widowControl w:val="0"/>
        <w:spacing w:before="240" w:after="120"/>
        <w:outlineLvl w:val="2"/>
        <w:rPr>
          <w:b/>
        </w:rPr>
      </w:pPr>
      <w:r w:rsidRPr="003730B5">
        <w:rPr>
          <w:b/>
        </w:rPr>
        <w:t>K čl. </w:t>
      </w:r>
      <w:r w:rsidR="003D0993" w:rsidRPr="003730B5">
        <w:rPr>
          <w:b/>
        </w:rPr>
        <w:t>XIX (Přechodné</w:t>
      </w:r>
      <w:r w:rsidRPr="003730B5">
        <w:rPr>
          <w:b/>
        </w:rPr>
        <w:t xml:space="preserve"> ustanovení)</w:t>
      </w:r>
    </w:p>
    <w:p w14:paraId="7CA8154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Jedná se o standardní přechodné ustanovení, které jednoznačně stanoví rozhodný moment pro změnu daňových povinností.</w:t>
      </w:r>
    </w:p>
    <w:p w14:paraId="5745643D"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dvanácté – Změna zákona o stavebním spoření a státní podpoře stavebního spoření</w:t>
      </w:r>
    </w:p>
    <w:p w14:paraId="1C236662" w14:textId="05369116" w:rsidR="00133AC8" w:rsidRPr="003730B5" w:rsidRDefault="00133AC8" w:rsidP="00133AC8">
      <w:pPr>
        <w:widowControl w:val="0"/>
        <w:spacing w:after="120"/>
        <w:outlineLvl w:val="2"/>
        <w:rPr>
          <w:b/>
        </w:rPr>
      </w:pPr>
      <w:r w:rsidRPr="003730B5">
        <w:rPr>
          <w:b/>
        </w:rPr>
        <w:t>K čl. </w:t>
      </w:r>
      <w:r w:rsidR="003D0993" w:rsidRPr="003730B5">
        <w:rPr>
          <w:b/>
        </w:rPr>
        <w:t>XX</w:t>
      </w:r>
    </w:p>
    <w:p w14:paraId="151B7880" w14:textId="3D5FB378"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1 (§ 1</w:t>
      </w:r>
      <w:r w:rsidR="006E5679" w:rsidRPr="003730B5">
        <w:rPr>
          <w:rFonts w:ascii="Times New Roman" w:hAnsi="Times New Roman"/>
          <w:color w:val="auto"/>
          <w:sz w:val="24"/>
          <w:szCs w:val="24"/>
        </w:rPr>
        <w:t xml:space="preserve"> písm. c)</w:t>
      </w:r>
      <w:r w:rsidRPr="003730B5">
        <w:rPr>
          <w:rFonts w:ascii="Times New Roman" w:hAnsi="Times New Roman"/>
          <w:color w:val="auto"/>
          <w:sz w:val="24"/>
          <w:szCs w:val="24"/>
        </w:rPr>
        <w:t>)</w:t>
      </w:r>
    </w:p>
    <w:p w14:paraId="59EA7122"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Změna daného ustanovení má za cíl postavit najisto, že poskytování státní podpory není definičním znakem stavebního spoření. Nejde tedy o věcnou změnu oproti předchozímu stavu, ale upravení formulace tak, aby se zamezilo případnému nesprávnému výkladu ustanovení. Stanovení příspěvku ze státního rozpočtu za určitým účelem a pro určitou skupinu osob závisí vždy na tom, do jaké míry je ze strany zákonodárce shledána jeho účelnost, resp. veřejný zájem na jeho poskytování.</w:t>
      </w:r>
    </w:p>
    <w:p w14:paraId="12030CC1"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2 (§ 2 a 3)</w:t>
      </w:r>
    </w:p>
    <w:p w14:paraId="1A0D151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Dochází k rozšíření okruhu subjektů oprávněných poskytovat produkt – stavební spoření na další úvěrové instituce, tj. na univerzální banky. Stavební spoření však i nadále bude činností specializovanou, jejíž výkon bude vyžadovat povolení od dohledového orgánu, kterým je Česká národní banka.</w:t>
      </w:r>
    </w:p>
    <w:p w14:paraId="02EDF59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Vzhledem k rozšíření oprávnění poskytovat stavební spoření se v odstavci 1 zavádí pojem „poskytovatel stavebního spoření“, kterým jsou stavební spořitelny a banky za předpokladu, že mají v souladu se zákonem o bankách povolenu činnost poskytování stavebního spoření a další činnosti s tím související. Tento pojem na příslušných místech zákona nahradí dosavadní pojem „stavební spořitelna“.</w:t>
      </w:r>
    </w:p>
    <w:p w14:paraId="7DF2344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Banky budou moci požádat o rozšíření licence na povolení poskytování stavebního spoření podle ustanovení § 1 odst. 3 písm. q) zákona o bankách a po získání tohoto povolení budou moci poskytovat stavební spoření. V případě rozšíření licence na poskytování stavebního spoření se na ně budou nově vztahovat povinnosti stanovené zákonem o stavebním spoření, jako je např. vypracování Všeobecných obchodních podmínek pro účely poskytování stavebního spoření a po jejich schválení Ministerstvem financí jejich následné uveřejnění (srov. § 7).</w:t>
      </w:r>
    </w:p>
    <w:p w14:paraId="4FCBA27E"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lastRenderedPageBreak/>
        <w:t>Stavební spořitelna bude nadále existovat jako specializovaná banka, která bude moci poskytovat pouze stavební spoření a mimo to vykonávat činnosti vymezené v ustanovení § 9.</w:t>
      </w:r>
    </w:p>
    <w:p w14:paraId="52259683"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Vzhledem ke zpřístupnění systému poskytování stavebního spoření univerzálním bankám je recipročně umožněno stavebním spořitelnám transformovat se na univerzální banky. Stavební spořitelny tedy od účinnosti tohoto zákona budou moci požádat o rozšíření licence a po splnění podmínek podle zákona o bankách a získání příslušného povolení poskytovat i jiné služby než pouze ty, k nimž jsou oprávněny podle zákona o stavebním spoření. V případě rozšíření licence se ze stavební spořitelny stane univerzální banka, nebude se tedy jednat již nadále o specializovanou instituci. Z toho důvodu dojde ke ztrátě statutu „stavební spořitelny“ a taková banka nebude již moci používat označení „stavební spořitelna“ ve své obchodní firmě (viz § 3). Vzhledem k definici banky v ustanovení § 1 zákona o bankách bylo využito v odstavci 3 negativního vymezení stavební spořitelny.</w:t>
      </w:r>
    </w:p>
    <w:p w14:paraId="070BF829"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souladu s Legislativními pravidly vlády dochází k odstranění poznámek pod čarou, které jsou nahrazeny označením konkrétního předpisu přímo v textu ustanovení.</w:t>
      </w:r>
    </w:p>
    <w:p w14:paraId="713BE4D4"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Vzhledem k rozšíření okruhu subjektů, které budou moci poskytovat stavební spoření, dochází ke změně označení produktu – stavební spoření – a označení stavební spořitelny. Označení „stavební spoření“ a jeho překlady je možno využít pouze pro produkt stavebního spoření ve smyslu zákona o stavebním spoření. Cílem tohoto ustanovení je zajistit přehlednost pro spotřebitele. </w:t>
      </w:r>
    </w:p>
    <w:p w14:paraId="21C6921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Označení stavební spořitelna v obchodní firmě (a jeho překlady nebo označení od tohoto spojení odvozené) bude moci využívat pouze stavební spořitelna – specializovaná banka, která poskytuje pouze stavební spoření a vykonává činnosti podle ustanovení § 9. Tato změna souvisí s rozšířením okruhu subjektů oprávněných poskytovat stavební spoření, a má zajistit informovanost jejich klientů, pro které by mělo být zřejmé, kdo jim poskytuje tento produkt a jaký je status takového poskytovatele.</w:t>
      </w:r>
    </w:p>
    <w:p w14:paraId="59DFB74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Pro situace, kdy bude stavební spořitelna žádat o rozšíření licence i na další bankovní činnosti, je zároveň vhodné umožnit, aby používala ve své obchodní firmě označení „stavební spořitelna“ i po dobu jednoho roku poté, kdy jí bude licence rozšířena. Do okamžiku, než nabude právní moci rozhodnutí České národní banky, kterým se povoluje rozšíření bankovní licence této stavební spořitelny, stavební spořitelna nemá jistotu, že jí bude umožněno vykonávat další bankovní činnosti. Z tohoto důvodu by pro ni nebylo účelné měnit obchodní firmu předem (změna obchodní firmy je nákladný a časově náročný proces). Proces transformace ze stavební spořitelny na univerzální banku by se bez takového opatření podstatně ztížil, ne-li znemožnil. S cílem zajistit informovanost stávajících i potenciálních účastníků stavebního spoření a dalších osob o tom, že stavební spořitelna již fakticky není stavební spořitelnou, se ukládá této instituci příslušná informační povinnost, tj. informovat bez zbytečného odkladu o změně bankovní licence, tedy co nejdříve po nabytí právní moci rozhodnutí o změně bankovní licence. V případě, že by banka nesplnila tuto povinnost, může být postihnuta dohledovým orgánem (Česká národní banka) podle § 26 zákona o bankách.</w:t>
      </w:r>
    </w:p>
    <w:p w14:paraId="7687E63A" w14:textId="77777777" w:rsidR="00133AC8" w:rsidRPr="003730B5" w:rsidRDefault="00133AC8" w:rsidP="00133AC8">
      <w:pPr>
        <w:pStyle w:val="Dvodovzprvakbodu"/>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4 až 11 (§ 5, 7, 9a, 11, 12, 13, 15, 16, 16a)</w:t>
      </w:r>
    </w:p>
    <w:p w14:paraId="5698366E"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souvislosti s rozšířením okruhu subjektů oprávněných poskytovat stavební spoření a s vymezením pojmu „poskytovatel stavebního spoření“ v ustanovení § 2 odst. 1, kterým je banka a stavební spořitelna, dochází k promítnutí tohoto pojmu v celém zákoně.</w:t>
      </w:r>
    </w:p>
    <w:p w14:paraId="286D0170" w14:textId="1DC241F6"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12 (§ 7</w:t>
      </w:r>
      <w:r w:rsidR="007D4378" w:rsidRPr="003730B5">
        <w:rPr>
          <w:rFonts w:ascii="Times New Roman" w:hAnsi="Times New Roman"/>
          <w:color w:val="auto"/>
          <w:sz w:val="24"/>
          <w:szCs w:val="24"/>
        </w:rPr>
        <w:t xml:space="preserve"> odst. 3 písm. d)</w:t>
      </w:r>
      <w:r w:rsidRPr="003730B5">
        <w:rPr>
          <w:rFonts w:ascii="Times New Roman" w:hAnsi="Times New Roman"/>
          <w:color w:val="auto"/>
          <w:sz w:val="24"/>
          <w:szCs w:val="24"/>
        </w:rPr>
        <w:t>)</w:t>
      </w:r>
    </w:p>
    <w:p w14:paraId="78DCF99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Všeobecné obchodní podmínky jsou jako legislativní zkratka vymezeny v ustanovení § 5 odst. 1, podle něhož se jedná o všeobecné obchodní podmínky stavebního spoření. Tyto všeobecné </w:t>
      </w:r>
      <w:r w:rsidRPr="003730B5">
        <w:rPr>
          <w:rFonts w:ascii="Times New Roman" w:hAnsi="Times New Roman"/>
          <w:color w:val="auto"/>
          <w:sz w:val="24"/>
        </w:rPr>
        <w:lastRenderedPageBreak/>
        <w:t>obchodní podmínky musí zpracovávat každý poskytovatel stavebního spoření. Nově je budou muset zpracovat a nechat si schválit banky, které budou chtít poskytovat stavební spoření.</w:t>
      </w:r>
    </w:p>
    <w:p w14:paraId="506099EE"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odstavci 3 je nově upraveno písmeno d), podle něhož se bude postupovat v případě, že dojde k odnětí licence k poskytování stavebního spoření, tedy v případech, kdy bude banka dále existovat jako úvěrová instituce, jen přestane poskytovat stavební spoření, ať již ze svého rozhodnutí, nebo z rozhodnutí České národní banky. Řešení takové situace by mělo být upraveno ve všeobecných obchodních podmínkách.</w:t>
      </w:r>
    </w:p>
    <w:p w14:paraId="24FE2B96"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13 (§ 9 odst. 2)</w:t>
      </w:r>
    </w:p>
    <w:p w14:paraId="45DAD11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Cílem navrhované úpravy je postavit najisto, že přednostní zabezpečení závazků vyplývajících z uzavřených smluv, a to bez zkracování lhůt splatnosti úvěrů ze stavebního spoření či prodlužování čekacích lhůt na jejich poskytnutí, se vztahují jak k činnostem podle § 9 odst. 1, tak k činnosti poskytování překlenovacích úvěrů. Úprava má zabránit například potenciálnímu prodlužování čekacích lhůt na úvěr ze stavebního spoření. Zejména v období vysokých úrokových sazeb by mohly být stavební spořitelny motivovány k upřednostňování překlenovacích úvěrů před úvěry ze stavebního spoření. Systém stavebního spoření má být principiálně postaven na přednostním poskytování úvěrů ze stavebního spoření, což by mělo platit pro jakoukoliv tržní situaci.</w:t>
      </w:r>
    </w:p>
    <w:p w14:paraId="769430A6"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14 až 21 (§ 9a)</w:t>
      </w:r>
    </w:p>
    <w:p w14:paraId="2E1B5395"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Změny v ustanovení § 9a souvisejí s promítnutím pojmu poskytovatel stavebního spoření. Dále jsou v ustanovení provedeny některé legislativně technické úpravy, jako např. upřesnění normativního odkazu na zákon upravující informační systémy veřejné správy.</w:t>
      </w:r>
    </w:p>
    <w:p w14:paraId="69623798" w14:textId="153BE41E"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22 (§ 10</w:t>
      </w:r>
      <w:r w:rsidR="007D4378" w:rsidRPr="003730B5">
        <w:rPr>
          <w:rFonts w:ascii="Times New Roman" w:hAnsi="Times New Roman"/>
          <w:color w:val="auto"/>
          <w:sz w:val="24"/>
          <w:szCs w:val="24"/>
        </w:rPr>
        <w:t xml:space="preserve"> odst. 2</w:t>
      </w:r>
      <w:r w:rsidRPr="003730B5">
        <w:rPr>
          <w:rFonts w:ascii="Times New Roman" w:hAnsi="Times New Roman"/>
          <w:color w:val="auto"/>
          <w:sz w:val="24"/>
          <w:szCs w:val="24"/>
        </w:rPr>
        <w:t>)</w:t>
      </w:r>
    </w:p>
    <w:p w14:paraId="77FBB275" w14:textId="4544A658"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Nově dochází ke snížení výše státní podpory na 5% z uspořené částky. Zároveň zůstává zachován maximální limit základu ve výši 20 000 Kč. Tzn., že maximální výše státní podpory za jeden rok činí </w:t>
      </w:r>
      <w:r w:rsidR="00D03256" w:rsidRPr="003730B5">
        <w:rPr>
          <w:rFonts w:ascii="Times New Roman" w:hAnsi="Times New Roman"/>
          <w:color w:val="auto"/>
          <w:sz w:val="24"/>
        </w:rPr>
        <w:t>1 </w:t>
      </w:r>
      <w:r w:rsidRPr="003730B5">
        <w:rPr>
          <w:rFonts w:ascii="Times New Roman" w:hAnsi="Times New Roman"/>
          <w:color w:val="auto"/>
          <w:sz w:val="24"/>
        </w:rPr>
        <w:t xml:space="preserve">000 Kč. </w:t>
      </w:r>
    </w:p>
    <w:p w14:paraId="0DFA3675"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23 až 25 (§ 12 a 13)</w:t>
      </w:r>
    </w:p>
    <w:p w14:paraId="5307D509"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Dochází k legislativně technické změně v souvislosti s promítnutím pojmu poskytovatel stavebního spoření.</w:t>
      </w:r>
    </w:p>
    <w:p w14:paraId="6E848C63"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26, 27 a 33 až 36 (§ 16, § 16a, § 16aa, §16ba, § 16c)</w:t>
      </w:r>
    </w:p>
    <w:p w14:paraId="6E0AB529"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Dochází k legislativně technickým změnám v souvislosti s promítnutím pojmu poskytovatel stavebního spoření a s tím související jazykové úpravě zákona a opravě legislativně technických nedostatků stávajícího znění zákona.</w:t>
      </w:r>
    </w:p>
    <w:p w14:paraId="2BD4E832"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28 až 32 (§ 16 odst. 1, 2 a 4)</w:t>
      </w:r>
    </w:p>
    <w:p w14:paraId="21DC9B36"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Dochází k přesunu přestupku, kterého se stavební spořitelna dopustí tím, že v rozporu s § 5 odst. 5 poskytne úvěr na jiný účel, než je úhrada nákladů na řešení bytových potřeb, a to z původního odstavce 2 do odstavce 1. Potřeba této změny vyplývá z nahrazení pojmu „stavební spořitelna“ pojmem „poskytovatel stavebního spoření“. Nově se přestupky v odstavci 2 týkají poskytovatelů stavebního spoření. Výše uvedeného přestupku se však může dopustit pouze stavební spořitelna, proto dochází k jeho přesunu do odstavce 1, ve kterém jsou obsaženy přestupky stavební spořitelny. Dále jsou provedeny související legislativně technické úpravy v odstavci 4, kde dochází k přečíslování písmen.</w:t>
      </w:r>
    </w:p>
    <w:p w14:paraId="273B2050" w14:textId="46066A25" w:rsidR="00133AC8" w:rsidRPr="003730B5" w:rsidRDefault="00133AC8" w:rsidP="00133AC8">
      <w:pPr>
        <w:widowControl w:val="0"/>
        <w:spacing w:before="240" w:after="120"/>
        <w:outlineLvl w:val="2"/>
        <w:rPr>
          <w:b/>
        </w:rPr>
      </w:pPr>
      <w:r w:rsidRPr="003730B5">
        <w:rPr>
          <w:b/>
        </w:rPr>
        <w:t>K čl. </w:t>
      </w:r>
      <w:r w:rsidR="003D0993" w:rsidRPr="003730B5">
        <w:rPr>
          <w:b/>
        </w:rPr>
        <w:t>XXI</w:t>
      </w:r>
      <w:r w:rsidRPr="003730B5">
        <w:rPr>
          <w:b/>
        </w:rPr>
        <w:t xml:space="preserve"> (Přechodné ustanovení)</w:t>
      </w:r>
    </w:p>
    <w:p w14:paraId="225371A9"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Přechodné ustanovení k § 10 odst. 2 (výše státní podpory) řeší vztah stávající a nové právní </w:t>
      </w:r>
      <w:r w:rsidRPr="003730B5">
        <w:rPr>
          <w:rFonts w:ascii="Times New Roman" w:hAnsi="Times New Roman"/>
          <w:color w:val="auto"/>
          <w:sz w:val="24"/>
        </w:rPr>
        <w:lastRenderedPageBreak/>
        <w:t>úpravy při určení výše státní podpory. Od okamžiku nabytí účinnosti zákona se bude u všech smluv (tj. smluv uzavřených před datem účinnosti novely zákona i smluv uzavřených po nabytí účinnosti novely zákona) posuzovat procentuální sazba státní podpory podle nové úpravy. Důvodem je zejména snaha o to, aby zamýšlené účinky nové právní úpravy nastaly co nejdříve i u stávajících smluv.</w:t>
      </w:r>
    </w:p>
    <w:p w14:paraId="763C16A4" w14:textId="77777777" w:rsidR="00133AC8" w:rsidRPr="003730B5" w:rsidRDefault="00133AC8" w:rsidP="00133AC8">
      <w:pPr>
        <w:widowControl w:val="0"/>
        <w:spacing w:before="240" w:after="120"/>
        <w:outlineLvl w:val="1"/>
        <w:rPr>
          <w:b/>
          <w:sz w:val="28"/>
        </w:rPr>
      </w:pPr>
      <w:r w:rsidRPr="003730B5">
        <w:rPr>
          <w:b/>
          <w:sz w:val="28"/>
        </w:rPr>
        <w:t>K části třinácté – Změna zákona o Ústavním soudu</w:t>
      </w:r>
    </w:p>
    <w:p w14:paraId="7A3D7EE5"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rámci této části je řešen převod kompetence k vymáhání tzv. justičních pohledávek na orgány Celní správy České republiky. V podrobnostech lze odkázat na odůvodnění novely trestního řádu.</w:t>
      </w:r>
    </w:p>
    <w:p w14:paraId="243A17FF" w14:textId="45A3C49B" w:rsidR="00133AC8" w:rsidRPr="003730B5" w:rsidRDefault="00133AC8" w:rsidP="00133AC8">
      <w:pPr>
        <w:widowControl w:val="0"/>
        <w:spacing w:before="120" w:after="120"/>
        <w:outlineLvl w:val="2"/>
        <w:rPr>
          <w:b/>
        </w:rPr>
      </w:pPr>
      <w:r w:rsidRPr="003730B5">
        <w:rPr>
          <w:b/>
        </w:rPr>
        <w:t>K čl. </w:t>
      </w:r>
      <w:r w:rsidR="003D0993" w:rsidRPr="003730B5">
        <w:rPr>
          <w:b/>
        </w:rPr>
        <w:t>XXII</w:t>
      </w:r>
      <w:r w:rsidRPr="003730B5">
        <w:rPr>
          <w:b/>
        </w:rPr>
        <w:t> (§ 61 odst. 2)</w:t>
      </w:r>
    </w:p>
    <w:p w14:paraId="63B74E67" w14:textId="77777777" w:rsidR="00133AC8" w:rsidRPr="003730B5" w:rsidRDefault="00133AC8" w:rsidP="00133AC8">
      <w:pPr>
        <w:widowControl w:val="0"/>
        <w:spacing w:after="120"/>
        <w:outlineLvl w:val="2"/>
        <w:rPr>
          <w:b/>
        </w:rPr>
      </w:pPr>
      <w:r w:rsidRPr="003730B5">
        <w:rPr>
          <w:rFonts w:eastAsiaTheme="minorHAnsi"/>
          <w:szCs w:val="24"/>
          <w:lang w:eastAsia="en-US"/>
        </w:rPr>
        <w:t>Vymáhání pořádkových pokut uložených v řízení před Ústavním soudem je podle současné právní úpravy realizováno ve vykonávacím řízení dle části šesté občanského soudního řádu. V souladu s obecnou částí důvodové zprávy se stanovuje, že k vymáhání pořádkových pokut bude napříště příslušný celní úřad. V této souvislosti se zavádí i procesní dělená správa, není důvod, proč by správa placení těchto pořádkových pokut se měla řídit jinými principy než správa placení pořádkových pokut ukládaných obecnými soudy.</w:t>
      </w:r>
    </w:p>
    <w:p w14:paraId="0A47AB2D" w14:textId="24C0A03E" w:rsidR="00133AC8" w:rsidRPr="003730B5" w:rsidRDefault="00133AC8" w:rsidP="00133AC8">
      <w:pPr>
        <w:widowControl w:val="0"/>
        <w:spacing w:before="240" w:after="120"/>
        <w:outlineLvl w:val="2"/>
        <w:rPr>
          <w:b/>
        </w:rPr>
      </w:pPr>
      <w:r w:rsidRPr="003730B5">
        <w:rPr>
          <w:b/>
        </w:rPr>
        <w:t>K čl. </w:t>
      </w:r>
      <w:r w:rsidR="003D0993" w:rsidRPr="003730B5">
        <w:rPr>
          <w:b/>
        </w:rPr>
        <w:t>XXIII</w:t>
      </w:r>
      <w:r w:rsidRPr="003730B5">
        <w:rPr>
          <w:b/>
        </w:rPr>
        <w:t xml:space="preserve"> (Přechodná ustanovení)</w:t>
      </w:r>
    </w:p>
    <w:p w14:paraId="7A7E8415"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Procesní režim pořádkových pokut podle § 61 odst. 1 zákona o Ústavním soudu, které se vznikly přede dnem nabytí účinnosti tohoto zákona, se nemění; daňový řád se bude vztahovat až na ty, které se staly splatnými ode dne nabytí účinnosti tohoto zákona. S ohledem na odlišnost procesního režimu se nemění ani příslušnost k vymáhání pořádkových pokut, které se staly splatnými přede dnem nabytí účinnosti tohoto zákona. K vymáhání pořádkových pokut bude celní úřad příslušný pouze v případě těch pohledávek, které vzniknou ode dne nabytí účinnosti tohoto zákona.</w:t>
      </w:r>
    </w:p>
    <w:p w14:paraId="629E164F"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čtrnácté – Změna zákona o státním zastupitelství</w:t>
      </w:r>
    </w:p>
    <w:p w14:paraId="65CAB82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rámci této části je řešen převod kompetence k vymáhání tzv. justičních pohledávek na orgány Celní správy České republiky. V podrobnostech lze odkázat na odůvodnění novely trestního řádu.</w:t>
      </w:r>
    </w:p>
    <w:p w14:paraId="2D06A541" w14:textId="303F9DDE" w:rsidR="00133AC8" w:rsidRPr="003730B5" w:rsidRDefault="00133AC8" w:rsidP="00133AC8">
      <w:pPr>
        <w:widowControl w:val="0"/>
        <w:spacing w:before="120" w:after="120"/>
        <w:outlineLvl w:val="2"/>
        <w:rPr>
          <w:b/>
        </w:rPr>
      </w:pPr>
      <w:r w:rsidRPr="003730B5">
        <w:rPr>
          <w:b/>
        </w:rPr>
        <w:t>K čl. </w:t>
      </w:r>
      <w:r w:rsidR="00F12C3E" w:rsidRPr="003730B5">
        <w:rPr>
          <w:b/>
        </w:rPr>
        <w:t>XXIV</w:t>
      </w:r>
    </w:p>
    <w:p w14:paraId="72FE6B3A"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1 a 2 (§ 13b odst. 4 a § 16 odst. 4)</w:t>
      </w:r>
    </w:p>
    <w:p w14:paraId="25648E4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souladu s obecnou částí důvodové zprávy se stanovuje, že k vymáhání pořádkových pokut uložených podle zákona o státním zastupitelství bude napříště příslušný celní úřad. Úprava pořádkových pokut podle zákona o státním zastupitelství se přitom systematicky upravuje na jednom místě.</w:t>
      </w:r>
    </w:p>
    <w:p w14:paraId="1DB20299" w14:textId="77894418" w:rsidR="00133AC8" w:rsidRPr="003730B5" w:rsidRDefault="00133AC8" w:rsidP="00133AC8">
      <w:pPr>
        <w:widowControl w:val="0"/>
        <w:spacing w:before="240" w:after="120"/>
        <w:outlineLvl w:val="2"/>
        <w:rPr>
          <w:b/>
        </w:rPr>
      </w:pPr>
      <w:r w:rsidRPr="003730B5">
        <w:rPr>
          <w:b/>
        </w:rPr>
        <w:t>K čl. </w:t>
      </w:r>
      <w:r w:rsidR="00F12C3E" w:rsidRPr="003730B5">
        <w:rPr>
          <w:b/>
        </w:rPr>
        <w:t>XXV</w:t>
      </w:r>
      <w:r w:rsidRPr="003730B5">
        <w:rPr>
          <w:b/>
        </w:rPr>
        <w:t xml:space="preserve"> (Přechodná ustanovení)</w:t>
      </w:r>
    </w:p>
    <w:p w14:paraId="511A56C9" w14:textId="77777777" w:rsidR="00133AC8" w:rsidRPr="003730B5" w:rsidRDefault="00133AC8" w:rsidP="00133AC8">
      <w:pPr>
        <w:widowControl w:val="0"/>
        <w:autoSpaceDE w:val="0"/>
        <w:autoSpaceDN w:val="0"/>
        <w:adjustRightInd w:val="0"/>
        <w:spacing w:after="120"/>
      </w:pPr>
      <w:r w:rsidRPr="003730B5">
        <w:t>K vymáhání pořádkových pokut uložených podle zákona o státním zastupitelství bude celní úřad příslušný ode dne nabytí účinnosti tohoto zákona v případě těch pohledávek, které vzniknou ode dne nabytí účinnosti tohoto zákona.</w:t>
      </w:r>
    </w:p>
    <w:p w14:paraId="7A80477D" w14:textId="77777777" w:rsidR="00133AC8" w:rsidRPr="003730B5" w:rsidRDefault="00133AC8" w:rsidP="00133AC8">
      <w:pPr>
        <w:widowControl w:val="0"/>
        <w:autoSpaceDE w:val="0"/>
        <w:autoSpaceDN w:val="0"/>
        <w:adjustRightInd w:val="0"/>
        <w:spacing w:after="120"/>
      </w:pPr>
      <w:r w:rsidRPr="003730B5">
        <w:t xml:space="preserve">K vymáhání pořádkových pokut uložených podle zákona o státním zastupitelství, které vznikly přede dnem nabytí účinnosti tohoto zákona, nebyly však předány k vymáhání soudnímu exekutorovi nebo přihlášeny do veřejné dražby podle § 175 odst. 1 daňového řádu, bude celní úřad příslušný ode dne převzetí jejich vymáhání. Nebyla-li daňová exekuce pro takovou </w:t>
      </w:r>
      <w:r w:rsidRPr="003730B5">
        <w:lastRenderedPageBreak/>
        <w:t xml:space="preserve">pohledávku ke dni nabytí účinnosti tohoto zákona nařízena vydáním exekučního příkazu, předá orgán, který je příslušný k jejímu vymáhání podle stávající právní úpravy, pohledávku k vymáhání celnímu úřadu bez zbytečného odkladu, nejpozději do 30. 6. 2024. Byla-li ke dni nabytí účinnosti tohoto zákona pro pohledávku nařízena daňová exekuce vydáním exekučního příkazu, postupují orgány příslušné k jejímu vymáhání podle stávající právní úpravy k jejímu vymožení. Pohledávky, které tímto postupem nebudou zcela vymoženy, předá orgán příslušný k jejich vymáhání podle stávající právní úpravy k vymáhání celnímu úřadu do 31. 12. 2024. </w:t>
      </w:r>
    </w:p>
    <w:p w14:paraId="26438AE3" w14:textId="77777777" w:rsidR="00133AC8" w:rsidRPr="003730B5" w:rsidRDefault="00133AC8" w:rsidP="00133AC8">
      <w:pPr>
        <w:widowControl w:val="0"/>
        <w:autoSpaceDE w:val="0"/>
        <w:autoSpaceDN w:val="0"/>
        <w:adjustRightInd w:val="0"/>
        <w:spacing w:after="120"/>
      </w:pPr>
      <w:r w:rsidRPr="003730B5">
        <w:t>Příslušnost k vymáhání pohledávek, které vznikly přede dnem účinnosti tohoto zákona a byly předány k vymáhání soudnímu exekutorovi nebo přihlášeny do veřejné dražby podle § 175 odst. 1 daňového řádu, se z procesních důvodů nemění.</w:t>
      </w:r>
    </w:p>
    <w:p w14:paraId="0833DF57" w14:textId="77777777" w:rsidR="00133AC8" w:rsidRPr="003730B5" w:rsidRDefault="00133AC8" w:rsidP="00133AC8">
      <w:pPr>
        <w:widowControl w:val="0"/>
        <w:spacing w:before="240" w:after="120"/>
        <w:outlineLvl w:val="1"/>
        <w:rPr>
          <w:b/>
          <w:sz w:val="28"/>
        </w:rPr>
      </w:pPr>
      <w:r w:rsidRPr="003730B5">
        <w:rPr>
          <w:b/>
          <w:sz w:val="28"/>
        </w:rPr>
        <w:t>K části patnácté – Změna zákona o výkonu vazby</w:t>
      </w:r>
    </w:p>
    <w:p w14:paraId="490BBAE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rámci této části je řešen převod kompetence k vymáhání tzv. justičních pohledávek na orgány Celní správy České republiky. V podrobnostech lze odkázat na odůvodnění novely trestního řádu.</w:t>
      </w:r>
    </w:p>
    <w:p w14:paraId="620E6039" w14:textId="1FCDCDD7" w:rsidR="00133AC8" w:rsidRPr="003730B5" w:rsidRDefault="00133AC8" w:rsidP="00133AC8">
      <w:pPr>
        <w:widowControl w:val="0"/>
        <w:spacing w:before="120" w:after="120"/>
        <w:outlineLvl w:val="2"/>
        <w:rPr>
          <w:b/>
        </w:rPr>
      </w:pPr>
      <w:r w:rsidRPr="003730B5">
        <w:rPr>
          <w:b/>
        </w:rPr>
        <w:t>K čl. </w:t>
      </w:r>
      <w:r w:rsidR="00F12C3E" w:rsidRPr="003730B5">
        <w:rPr>
          <w:b/>
        </w:rPr>
        <w:t>XXVI</w:t>
      </w:r>
    </w:p>
    <w:p w14:paraId="5C8E53E8"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1 až 3 (§ 21a odst. 3, § 21b odst. 2 a § 21c)</w:t>
      </w:r>
    </w:p>
    <w:p w14:paraId="5B35C605" w14:textId="7EE2BEF2"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 legislativně technických důvodů se vydělují společná ustanovení platná pro vymáhání nákladů výkonu vazby, nákladů spojených s výkonem vazby a náhrady škody podle § 21b do samostatného ustanovení. K bližšímu odůvodnění lze odkázat na odůvodnění k § 36a </w:t>
      </w:r>
      <w:r w:rsidR="00887D92" w:rsidRPr="003730B5">
        <w:rPr>
          <w:rFonts w:ascii="Times New Roman" w:hAnsi="Times New Roman"/>
          <w:color w:val="auto"/>
          <w:sz w:val="24"/>
        </w:rPr>
        <w:t>zákona o výkonu trestu odnětí svobody</w:t>
      </w:r>
      <w:r w:rsidRPr="003730B5">
        <w:rPr>
          <w:rFonts w:ascii="Times New Roman" w:hAnsi="Times New Roman"/>
          <w:color w:val="auto"/>
          <w:sz w:val="24"/>
        </w:rPr>
        <w:t xml:space="preserve">, které je obsaženo v části </w:t>
      </w:r>
      <w:r w:rsidR="00887D92" w:rsidRPr="003730B5">
        <w:rPr>
          <w:rFonts w:ascii="Times New Roman" w:hAnsi="Times New Roman"/>
          <w:color w:val="auto"/>
          <w:sz w:val="24"/>
        </w:rPr>
        <w:t>devatenácté</w:t>
      </w:r>
      <w:r w:rsidRPr="003730B5">
        <w:rPr>
          <w:rFonts w:ascii="Times New Roman" w:hAnsi="Times New Roman"/>
          <w:color w:val="auto"/>
          <w:sz w:val="24"/>
        </w:rPr>
        <w:t xml:space="preserve"> tohoto návrhu.</w:t>
      </w:r>
    </w:p>
    <w:p w14:paraId="38FA8662" w14:textId="3A5313EB" w:rsidR="00133AC8" w:rsidRPr="003730B5" w:rsidRDefault="00133AC8" w:rsidP="00133AC8">
      <w:pPr>
        <w:widowControl w:val="0"/>
        <w:spacing w:before="240" w:after="120"/>
        <w:outlineLvl w:val="2"/>
        <w:rPr>
          <w:b/>
        </w:rPr>
      </w:pPr>
      <w:r w:rsidRPr="003730B5">
        <w:rPr>
          <w:b/>
        </w:rPr>
        <w:t>K čl. </w:t>
      </w:r>
      <w:r w:rsidR="00F12C3E" w:rsidRPr="003730B5">
        <w:rPr>
          <w:b/>
        </w:rPr>
        <w:t xml:space="preserve">XXVII </w:t>
      </w:r>
      <w:r w:rsidRPr="003730B5">
        <w:rPr>
          <w:b/>
        </w:rPr>
        <w:t>(Přechodná ustanovení)</w:t>
      </w:r>
    </w:p>
    <w:p w14:paraId="7E022BE6" w14:textId="77777777" w:rsidR="00133AC8" w:rsidRPr="003730B5" w:rsidRDefault="00133AC8" w:rsidP="00133AC8">
      <w:pPr>
        <w:widowControl w:val="0"/>
        <w:autoSpaceDE w:val="0"/>
        <w:autoSpaceDN w:val="0"/>
        <w:adjustRightInd w:val="0"/>
        <w:spacing w:after="120"/>
      </w:pPr>
      <w:r w:rsidRPr="003730B5">
        <w:t>K vymáhání pohledávek, jejichž správa placení se řídí daňovým řádem, bude celní úřad příslušný ode dne nabytí účinnosti tohoto zákona v případě těch pohledávek, které vzniknou ode dne nabytí účinnosti tohoto zákona.</w:t>
      </w:r>
    </w:p>
    <w:p w14:paraId="345B0FA4" w14:textId="77777777" w:rsidR="00133AC8" w:rsidRPr="003730B5" w:rsidRDefault="00133AC8" w:rsidP="00133AC8">
      <w:pPr>
        <w:widowControl w:val="0"/>
        <w:autoSpaceDE w:val="0"/>
        <w:autoSpaceDN w:val="0"/>
        <w:adjustRightInd w:val="0"/>
        <w:spacing w:after="120"/>
      </w:pPr>
      <w:r w:rsidRPr="003730B5">
        <w:t xml:space="preserve">K vymáhání pohledávek, jejichž správa placení se řídí daňovým řádem, které vznikly přede dnem nabytí účinnosti tohoto zákona, nebyly však předány k vymáhání soudnímu exekutorovi, uplatněny v insolvenčním řízení nebo přihlášeny do veřejné dražby podle § 175 odst. 1 daňového řádu, bude celní úřad příslušný ode dne převzetí jejich vymáhání. Nebyla-li daňová exekuce pro takovou pohledávku ke dni nabytí účinnosti tohoto zákona nařízena vydáním exekučního příkazu, předá orgán, který je příslušný k jejímu vymáhání podle stávající právní úpravy, pohledávku k vymáhání celní úřadu bez zbytečného odkladu, nejpozději do 30. 6. 2024. Byla-li ke dni nabytí účinnosti tohoto zákona pro pohledávku nařízena daňová exekuce vydáním exekučního příkazu, postupují orgány příslušné k jejímu vymáhání podle stávající právní úpravy k jejímu vymožení. Pohledávky, které tímto postupem nebudou zcela vymoženy, předá orgán příslušný k jejich vymáhání podle stávající právní úpravy k vymáhání celnímu úřadu do 31. 12. 2024. </w:t>
      </w:r>
    </w:p>
    <w:p w14:paraId="2473CE70" w14:textId="77777777" w:rsidR="00133AC8" w:rsidRPr="003730B5" w:rsidRDefault="00133AC8" w:rsidP="00133AC8">
      <w:pPr>
        <w:widowControl w:val="0"/>
        <w:autoSpaceDE w:val="0"/>
        <w:autoSpaceDN w:val="0"/>
        <w:adjustRightInd w:val="0"/>
        <w:spacing w:after="120"/>
      </w:pPr>
      <w:r w:rsidRPr="003730B5">
        <w:t>Příslušnost k vymáhání pohledávek, které vznikly přede dnem účinnosti tohoto zákona a byly předány k vymáhání soudnímu exekutorovi, uplatněny v insolvenčním řízení nebo přihlášeny do veřejné dražby podle § 175 odst. 1 daňového řádu, se z procesních důvodů nemění.</w:t>
      </w:r>
    </w:p>
    <w:p w14:paraId="09C35996"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šestnácté – Změna zákona o platu a dalších náležitostech spojených s výkonem funkce představitelů státní moci a některých státních orgánů a soudců a poslanců Evropského parlamentu</w:t>
      </w:r>
    </w:p>
    <w:p w14:paraId="26507A21" w14:textId="546BB573" w:rsidR="00133AC8" w:rsidRPr="003730B5" w:rsidRDefault="00133AC8" w:rsidP="00133AC8">
      <w:pPr>
        <w:widowControl w:val="0"/>
        <w:spacing w:after="120"/>
        <w:outlineLvl w:val="2"/>
        <w:rPr>
          <w:b/>
        </w:rPr>
      </w:pPr>
      <w:r w:rsidRPr="003730B5">
        <w:rPr>
          <w:b/>
        </w:rPr>
        <w:t>K čl. </w:t>
      </w:r>
      <w:r w:rsidR="00F12C3E" w:rsidRPr="003730B5">
        <w:rPr>
          <w:b/>
        </w:rPr>
        <w:t xml:space="preserve">XXVIII </w:t>
      </w:r>
      <w:r w:rsidRPr="003730B5">
        <w:rPr>
          <w:b/>
        </w:rPr>
        <w:t>(§ 3 odst. 3 a poznámka pod čarou č. 1)</w:t>
      </w:r>
    </w:p>
    <w:p w14:paraId="786A0506" w14:textId="5BC43942" w:rsidR="00133AC8" w:rsidRPr="003730B5" w:rsidRDefault="00133AC8" w:rsidP="00133AC8">
      <w:pPr>
        <w:widowControl w:val="0"/>
        <w:autoSpaceDE w:val="0"/>
        <w:autoSpaceDN w:val="0"/>
        <w:adjustRightInd w:val="0"/>
        <w:spacing w:after="120"/>
      </w:pPr>
      <w:r w:rsidRPr="003730B5">
        <w:lastRenderedPageBreak/>
        <w:t xml:space="preserve">Navrhuje se trvalé snížení výchozí veličiny pro výpočet platových základen představitelů, soudců a státních zástupců, které odpovídá zhruba meziročnímu rozdílu výchozí veličiny výpočtu, tj. průměrné hrubé měsíční nominální mzdy v národním hospodářství v letech 2021 a 2022. V praxi by tato změna znamenala, že by došlo ke zvýšení platových základen od 1. </w:t>
      </w:r>
      <w:r w:rsidR="00D6156C" w:rsidRPr="003730B5">
        <w:t>1.</w:t>
      </w:r>
      <w:r w:rsidRPr="003730B5">
        <w:t xml:space="preserve"> 2024 řádově pouze o desítky korun.</w:t>
      </w:r>
    </w:p>
    <w:p w14:paraId="164FAA7F" w14:textId="77777777" w:rsidR="00133AC8" w:rsidRPr="003730B5" w:rsidRDefault="00133AC8" w:rsidP="00133AC8">
      <w:pPr>
        <w:widowControl w:val="0"/>
        <w:autoSpaceDE w:val="0"/>
        <w:autoSpaceDN w:val="0"/>
        <w:adjustRightInd w:val="0"/>
        <w:spacing w:after="120"/>
      </w:pPr>
      <w:r w:rsidRPr="003730B5">
        <w:t>Za účelem formálního sjednocení systému odměňování za výkon funkce se navrhuje příslušné ustanovení § 3 odst. 3 legislativně-technicky přeformulovat tak, aby byl do budoucna ustálen poměr výše platových základen představitelů a soudců podobně, jako je tomu v případě platových základen soudců a státních zástupců. Poměr platové základny představitelů k platové základně soudců, jenž činí pět ku šesti tedy 83,3 %, se nemění.</w:t>
      </w:r>
    </w:p>
    <w:p w14:paraId="094C9299" w14:textId="77777777" w:rsidR="00133AC8" w:rsidRPr="003730B5" w:rsidRDefault="00133AC8" w:rsidP="00133AC8">
      <w:pPr>
        <w:widowControl w:val="0"/>
        <w:spacing w:before="240" w:after="120"/>
        <w:outlineLvl w:val="1"/>
        <w:rPr>
          <w:b/>
          <w:sz w:val="28"/>
        </w:rPr>
      </w:pPr>
      <w:r w:rsidRPr="003730B5">
        <w:rPr>
          <w:b/>
          <w:sz w:val="28"/>
        </w:rPr>
        <w:t>K části sedmnácté – Změna zákona o pozemních komunikacích</w:t>
      </w:r>
    </w:p>
    <w:p w14:paraId="59A09D7F" w14:textId="77777777" w:rsidR="00133AC8" w:rsidRPr="003730B5" w:rsidRDefault="00133AC8" w:rsidP="00133AC8">
      <w:pPr>
        <w:widowControl w:val="0"/>
        <w:autoSpaceDE w:val="0"/>
        <w:autoSpaceDN w:val="0"/>
        <w:adjustRightInd w:val="0"/>
        <w:spacing w:after="120"/>
      </w:pPr>
      <w:r w:rsidRPr="003730B5">
        <w:t>Hlavním cílem předkládané novely zákona o pozemních komunikacích, jakož i souvisejících novel zákona o podmínkách provozu vozidel na pozemních komunikacích a zákona o správních poplatcích, je provést transpozici směrnice Evropského parlamentu a Rady (EU) 2022/362 ze dne 24. února 2022, kterou se mění směrnice  1999/62/ES, 1999/37/ES a (EU) 2019/520, pokud jde o výběr poplatků pro vozidla za užívání určitých pozemních komunikací (dále jen „směrnice (EU) 2022/362“). Nad rámec transpozice unijní směrnice obsahuje návrh zákona i další změny stávající právní úpravy, jejichž provedení navazuje na požadavky z aplikační praxe.</w:t>
      </w:r>
    </w:p>
    <w:p w14:paraId="01C6E788" w14:textId="77777777" w:rsidR="00133AC8" w:rsidRPr="003730B5" w:rsidRDefault="00133AC8" w:rsidP="00133AC8">
      <w:pPr>
        <w:widowControl w:val="0"/>
        <w:autoSpaceDE w:val="0"/>
        <w:autoSpaceDN w:val="0"/>
        <w:adjustRightInd w:val="0"/>
        <w:spacing w:after="120"/>
        <w:rPr>
          <w:u w:val="single"/>
        </w:rPr>
      </w:pPr>
      <w:r w:rsidRPr="003730B5">
        <w:rPr>
          <w:u w:val="single"/>
        </w:rPr>
        <w:t xml:space="preserve">Časový poplatek </w:t>
      </w:r>
    </w:p>
    <w:p w14:paraId="46AD1071" w14:textId="77777777" w:rsidR="00133AC8" w:rsidRPr="003730B5" w:rsidRDefault="00133AC8" w:rsidP="00133AC8">
      <w:pPr>
        <w:widowControl w:val="0"/>
        <w:autoSpaceDE w:val="0"/>
        <w:autoSpaceDN w:val="0"/>
        <w:adjustRightInd w:val="0"/>
        <w:spacing w:after="120"/>
      </w:pPr>
      <w:r w:rsidRPr="003730B5">
        <w:t xml:space="preserve">Směrnice (EU) 2022/362 přináší několik změn v oblasti zpoplatnění užívání pozemních komunikací, které nicméně pokračují v trendu, jenž zavedly předchozí novely směrnice 1999/62/ES, tedy v rozšiřování působnosti unijní úpravy a v posilování uplatňování zásady „znečišťovatel platí“ a „uživatel platí“. </w:t>
      </w:r>
    </w:p>
    <w:p w14:paraId="785C9631" w14:textId="77777777" w:rsidR="00133AC8" w:rsidRPr="003730B5" w:rsidRDefault="00133AC8" w:rsidP="00133AC8">
      <w:pPr>
        <w:widowControl w:val="0"/>
        <w:autoSpaceDE w:val="0"/>
        <w:autoSpaceDN w:val="0"/>
        <w:adjustRightInd w:val="0"/>
        <w:spacing w:after="120"/>
      </w:pPr>
      <w:r w:rsidRPr="003730B5">
        <w:t xml:space="preserve">Podle unijního normotvůrce mají bez ohledu na důležitost odvětví silniční dopravy všechna těžká vozidla (vozidla s maximální technicky přípustnou hmotností naloženého vozidla přesahující 3,5 tuny) významný dopad na pozemní komunikace a podílejí se na znečišťování ovzduší. Lehká vozidla (vozidla s maximální technicky přípustnou hmotností naloženého vozidla nepřesahující 3,5 tuny) jsou navzdory svému hospodářskému a sociálnímu významu zdrojem většiny negativních environmentálních a sociálních dopadů silniční dopravy spojených s emisemi a kongescemi. V zájmu rovného zacházení a spravedlivé hospodářské soutěže byla působnost uvedené směrnice ve vztahu k poplatkům za užívání a mýtnému rozšířena i na těžká vozidla s určením jiným, než je převoz zboží, a na lehká vozidla, včetně osobních automobilů. </w:t>
      </w:r>
    </w:p>
    <w:p w14:paraId="12FAD029" w14:textId="77777777" w:rsidR="00133AC8" w:rsidRPr="003730B5" w:rsidRDefault="00133AC8" w:rsidP="00133AC8">
      <w:pPr>
        <w:widowControl w:val="0"/>
        <w:autoSpaceDE w:val="0"/>
        <w:autoSpaceDN w:val="0"/>
        <w:adjustRightInd w:val="0"/>
        <w:spacing w:after="120"/>
      </w:pPr>
      <w:r w:rsidRPr="003730B5">
        <w:t xml:space="preserve">Současně nová unijní právní úprava výrazně omezuje možnosti uplatňovat poplatky založené zcela na čase za užívání těžkých vozidel na úsecích hlavní transevropské dopravní sítě pouze na případy, kdy by uplatňování mýtného na těžká vozidla ve srovnání s očekávanými příjmy nebo přínosy, které by takové mýtné přineslo, znamenalo neúměrné administrativní, investiční a provozní náklady, nebo vedlo k odklonu dopravy s negativními dopady na bezpečnost silničního provozu nebo veřejné zdraví. V případě lehkých vozidel mohou členské státy Evropské unie nadále poplatek za užívání vybírat, musí nicméně vyhovět unijním požadavkům. </w:t>
      </w:r>
    </w:p>
    <w:p w14:paraId="3B108033" w14:textId="77777777" w:rsidR="00133AC8" w:rsidRPr="003730B5" w:rsidRDefault="00133AC8" w:rsidP="00133AC8">
      <w:pPr>
        <w:widowControl w:val="0"/>
        <w:autoSpaceDE w:val="0"/>
        <w:autoSpaceDN w:val="0"/>
        <w:adjustRightInd w:val="0"/>
        <w:spacing w:after="120"/>
      </w:pPr>
      <w:r w:rsidRPr="003730B5">
        <w:t xml:space="preserve">V této souvislosti směrnice (EU) 2022/362 požaduje, aby užívání zpoplatněných pozemních komunikací bylo v případě lehkých vozidel umožněno alespoň na dobu 1 dne, 1 týdne nebo 10 dnů, 1 nebo 2 měsíců a 1 roku. Současně stanoví, kolik procent roční sazby může maximálně poplatek za užívání pro konkrétní období činit a možnosti osvobození od tohoto poplatku. </w:t>
      </w:r>
    </w:p>
    <w:p w14:paraId="0312ED10" w14:textId="4CC274A0" w:rsidR="00133AC8" w:rsidRPr="003730B5" w:rsidRDefault="00133AC8" w:rsidP="00133AC8">
      <w:pPr>
        <w:widowControl w:val="0"/>
        <w:autoSpaceDE w:val="0"/>
        <w:autoSpaceDN w:val="0"/>
        <w:adjustRightInd w:val="0"/>
        <w:spacing w:after="120"/>
      </w:pPr>
      <w:r w:rsidRPr="003730B5">
        <w:t xml:space="preserve">Časovému poplatku (dle unijní právní úpravy poplatku za užívání) podléhá v souladu s § 21 odst. 1 zákona o pozemních komunikacích, užití zpoplatněné pozemní komunikace silničním </w:t>
      </w:r>
      <w:r w:rsidRPr="003730B5">
        <w:lastRenderedPageBreak/>
        <w:t xml:space="preserve">motorovým vozidlem nejméně se čtyřmi koly, jehož největší povolená hmotnost činí nejvýše 3,5 tun. Tuto vnitrostátní právní úpravu lze vyhodnotit jako souladnou s požadavky unijního práva. </w:t>
      </w:r>
    </w:p>
    <w:p w14:paraId="081D2BB3" w14:textId="77777777" w:rsidR="00133AC8" w:rsidRPr="003730B5" w:rsidRDefault="00133AC8" w:rsidP="00133AC8">
      <w:pPr>
        <w:widowControl w:val="0"/>
        <w:autoSpaceDE w:val="0"/>
        <w:autoSpaceDN w:val="0"/>
        <w:adjustRightInd w:val="0"/>
        <w:spacing w:after="120"/>
      </w:pPr>
      <w:r w:rsidRPr="003730B5">
        <w:t>Období, na která lze časový poplatek podle stávajícího § 21 odst. 2 zákona o pozemních komunikacích hradit (na 1 rok, na 30 dnů nebo na 10 dnů), nicméně naplňují požadavky směrnice (EU) 2022/362 pouze částečně, neboť absentuje možnost uhradit časový poplatek na dobu jednoho dne. Současně maximální výše časového poplatku stanovené v § 21 odst. 3 zákona o pozemních komunikacích a jeho konkrétní sazby stanovené v navazujícím nařízení vlády zcela neodpovídají procentům předvídaným směrnicí (EU) 2022/362, kdy vnitrostátní sazby časového poplatku na období kratší než 1 rok jsou vyšší, než jaké připouští směrnice (s ohledem na výši časového poplatku na rok). Vnitrostátní právní úprava časového poplatku se tedy jeví jako nedostačující a je nezbytné přistoupit k její změně.</w:t>
      </w:r>
    </w:p>
    <w:p w14:paraId="62221DF0" w14:textId="77777777" w:rsidR="00133AC8" w:rsidRPr="003730B5" w:rsidRDefault="00133AC8" w:rsidP="00133AC8">
      <w:pPr>
        <w:widowControl w:val="0"/>
        <w:autoSpaceDE w:val="0"/>
        <w:autoSpaceDN w:val="0"/>
        <w:adjustRightInd w:val="0"/>
        <w:spacing w:after="120"/>
      </w:pPr>
      <w:r w:rsidRPr="003730B5">
        <w:t>Směrnice (EU) 2022/362 přinesla změny též v rozsahu možného osvobození od povinnosti platit mýtné nebo poplatek za užívání, a to zejména ve vztahu k environmentálně šetrným vozidlům. Konkrétně umožňuje směrnice (EU) 2022/362 členským státům Evropské unie osvobodit toliko vozidla s nulovými emisemi, která mají maximální technicky přípustnou hmotnost naloženého vozidla do 4,25 tuny. Stávající vnitrostátní právní úprava obsažená v § 20a odst. 1 písm. o) zákona o pozemních komunikacích oproti tomu osvobozuje vozidla používající jako palivo výlučně elektrickou energii nebo vodík a též vozidla používající jako palivo elektrickou energii nebo vodík v kombinaci s jiným palivem, je-li hodnota emisí CO</w:t>
      </w:r>
      <w:r w:rsidRPr="003730B5">
        <w:rPr>
          <w:vertAlign w:val="subscript"/>
        </w:rPr>
        <w:t>2</w:t>
      </w:r>
      <w:r w:rsidRPr="003730B5">
        <w:t xml:space="preserve"> v kombinovaném provozu nejvýše 50 g/km (dále jen „hybridní vozidlo“). Stávající vnitrostátní právní úprava tedy ve vztahu k hybridním vozidlům a vozidlům nad 4,25 tuny nerespektuje požadavky unijní právní úpravy týkající se (ne)možnosti osvobodit tato vozidla a měla by být změněna. Ve vztahu k ostatním osvobozením uvedeným ve stávajícím znění § 20a odst. 1 zákona o pozemních komunikacích nebyla shledána potřeba jejich změny.</w:t>
      </w:r>
    </w:p>
    <w:p w14:paraId="51E35B97" w14:textId="77777777" w:rsidR="00133AC8" w:rsidRPr="003730B5" w:rsidRDefault="00133AC8" w:rsidP="00133AC8">
      <w:pPr>
        <w:widowControl w:val="0"/>
        <w:autoSpaceDE w:val="0"/>
        <w:autoSpaceDN w:val="0"/>
        <w:adjustRightInd w:val="0"/>
        <w:spacing w:after="120"/>
      </w:pPr>
      <w:r w:rsidRPr="003730B5">
        <w:t xml:space="preserve">Přestože unijní právní úprava stanoví, kolik procent roční sazby může maximálně činit poplatek za užívání pro jednotlivá období (1 dne, 1 týdne nebo 10 dnů, 1 nebo 2 měsíců), nestanoví limit poplatku za užívání pro období 1 roku. Je tedy ponecháno na členských státech Evropské unie, a tedy i na České republice, v jaké výši bude časový poplatek vyměřen. </w:t>
      </w:r>
    </w:p>
    <w:p w14:paraId="1A3D917D" w14:textId="77777777" w:rsidR="00133AC8" w:rsidRPr="003730B5" w:rsidRDefault="00133AC8" w:rsidP="00133AC8">
      <w:pPr>
        <w:widowControl w:val="0"/>
        <w:autoSpaceDE w:val="0"/>
        <w:autoSpaceDN w:val="0"/>
        <w:adjustRightInd w:val="0"/>
        <w:spacing w:after="120"/>
      </w:pPr>
      <w:r w:rsidRPr="003730B5">
        <w:t>Výše časového poplatku se v České republice neměnila od roku 2012, kdy narazila na zákonem dané omezení ve výši 1 500 Kč. Původní úmysl zákonodárce umožnit vládě stanovovat výši poplatku pro každý rok nařízením vlády tak nebylo možné dále využívat bez změny zákona. Zároveň platilo, že tempo výstavby dálnic bylo v letech 2012 – 2022 pomalejší ve srovnání s dlouhodobým průměrem z minulosti. Zároveň docházelo k modernizaci uceleného úseku 160 km dálnice D1 mezi Prahou a Brnem, přičemž tento fakt měl významné dopady na cestující veřejnost.</w:t>
      </w:r>
    </w:p>
    <w:p w14:paraId="470335E3" w14:textId="77777777" w:rsidR="00133AC8" w:rsidRPr="003730B5" w:rsidRDefault="00133AC8" w:rsidP="00133AC8">
      <w:pPr>
        <w:widowControl w:val="0"/>
        <w:autoSpaceDE w:val="0"/>
        <w:autoSpaceDN w:val="0"/>
        <w:adjustRightInd w:val="0"/>
        <w:spacing w:after="120"/>
      </w:pPr>
      <w:r w:rsidRPr="003730B5">
        <w:t xml:space="preserve">Zdražení časového poplatku za užití vybraných pozemních komunikací (dálnic) je dlouhodobě avizovanou potřebou resortu dopravy, neboť příjmy z časového zpoplatnění tvoří nezanedbatelný zdroj pro jejich správu, údržbu, ale i další rozvoj. Od roku 2012 do roku 2022 přitom došlo k výraznému, a z ekonomických principů očekávatelnému, posunu v hodnotě peněz. Nominální částka 1 500 Kč v cenové úrovni roku 2012 odpovídá v dnešních cenách nominální hodnotě 2 300 Kč, přičemž mezi lety 2011 až 2021 přibylo na dálniční síti celkem 217,4 km dálnic „na zelené louce“ (vedle výše zmíněné modernizace dálnice D1 mezi Prahou a Brnem). </w:t>
      </w:r>
    </w:p>
    <w:p w14:paraId="61371842" w14:textId="77777777" w:rsidR="00133AC8" w:rsidRPr="003730B5" w:rsidRDefault="00133AC8" w:rsidP="00133AC8">
      <w:pPr>
        <w:widowControl w:val="0"/>
        <w:autoSpaceDE w:val="0"/>
        <w:autoSpaceDN w:val="0"/>
        <w:adjustRightInd w:val="0"/>
        <w:spacing w:after="120"/>
      </w:pPr>
      <w:r w:rsidRPr="003730B5">
        <w:t xml:space="preserve">Dalším neméně podstatným důvodem pro navýšení sazby ročního poplatku je potřeba zavést povinnou proporcionalitu výše ročních a krátkodobějších časových poplatků v rámci transpozice směrnice (EU) 362/2022. Povinné zavedení proporcionality výše ročního a krátkodobých poplatků by tak při zachování výše ročního poplatku 1 500 Kč znamenalo </w:t>
      </w:r>
      <w:r w:rsidRPr="003730B5">
        <w:lastRenderedPageBreak/>
        <w:t xml:space="preserve">faktickou nutnost snížit velmi výrazně výši krátkodobých poplatků. Měsíční poplatek v dnešní výši 440 Kč by musel být snížen na 285 Kč (maximální sazba 30 denního poplatku dle směrnice (EU) 2022/362 činí 19 % z výše ročního poplatku) a 10 denní poplatek by musel být snížen z 310 Kč na 180 Kč (maximální sazba 10 denního poplatku dle směrnice (EU) 2022/362 činí 12 % z výše ročního poplatku). Zároveň by musel být dle směrnice (EU) 2022/362 povinně zaveden jednodenní poplatek ve výši 135 Kč. Příjmy z krátkodobých časových poplatků přitom v roce 2022 činily 25,38 % z celkového příjmu z časového zpoplatnění ve výši 5,85 mld. Kč. Profil úhrad krátkodobých časových poplatků signalizuje, že většina nákupů je realizována zahraničními uživateli. V případě zachování roční výše časového poplatku 1 500 Kč a povinného zavedení proporcionality výše ročního a krátkodobých poplatků by tak došlo, na základě propočtu zpracovaného podle dat z roku 2022, k poklesu ročních příjmů Státního fondu dopravní infrastruktury o 597 mil. Kč, tj. o více než 10 % celoročního výběru. V této částce navíc není zohledněn další pokles příjmů, ke kterému nutně dojde k důsledku povinného zavedení jednodenních časových poplatků, čehož využije část uživatelů, kteří doposud hradí poplatek na 30 nebo 10 dní. </w:t>
      </w:r>
    </w:p>
    <w:p w14:paraId="19AA912B" w14:textId="77777777" w:rsidR="00133AC8" w:rsidRPr="003730B5" w:rsidRDefault="00133AC8" w:rsidP="00133AC8">
      <w:pPr>
        <w:widowControl w:val="0"/>
        <w:autoSpaceDE w:val="0"/>
        <w:autoSpaceDN w:val="0"/>
        <w:adjustRightInd w:val="0"/>
        <w:spacing w:after="120"/>
      </w:pPr>
      <w:r w:rsidRPr="003730B5">
        <w:t>Otázka potřebnosti navýšení časového poplatku byla na přelomu let 2022 a 2023 diskutována též na platformě Národní ekonomické rady vlády.</w:t>
      </w:r>
    </w:p>
    <w:p w14:paraId="3F8FD565" w14:textId="77777777" w:rsidR="00133AC8" w:rsidRPr="003730B5" w:rsidRDefault="00133AC8" w:rsidP="00133AC8">
      <w:pPr>
        <w:widowControl w:val="0"/>
        <w:autoSpaceDE w:val="0"/>
        <w:autoSpaceDN w:val="0"/>
        <w:adjustRightInd w:val="0"/>
        <w:spacing w:after="120"/>
      </w:pPr>
      <w:r w:rsidRPr="003730B5">
        <w:t xml:space="preserve">Zvýšení sazeb časového poplatku lze přitom provést buď navýšením stávajících limitů zakotvených v zákoně o pozemních komunikacích, nebo zakotvením automatické valorizace těchto sazeb přímo v zákoně. První z uvedených cest ponechává stanovení výše konkrétních sazeb časového poplatku na exekutivním rozhodnutí (a připouští přitom politické úvahy při tomto rozhodování) s hrozbou dosažení zákonného limitu ve střednědobém horizontu a tím i opakování situace mezi lety 2012 a 2023, kdy výše poplatku dosáhla na zákonný limit a nebyla zjevná politická vůle tento limit navýšit. Druhá cesta předpokládá stanovení objektivních kritérií, od nichž se bude zvyšování či snižování sazeb časového poplatku odvíjet. Časový poplatek coby významný zdroj příjmů Státního fondu dopravní infrastruktury slouží k následnému financování výstavby, modernizace, oprav, údržby a správy dálnic. V horizontu cca 10 let se předpokládá dokončení výstavby sítě dálnic, která by v úhrnu měla dosáhnout délky cca 2 100 km oproti současné délce 1 360 km. Takto rozšířená síť dálnic v provozu bude znamenat zvýšené nároky zejména na financování její cyklické obnovy a dalších relevantních činností, přičemž automatické zohlednění délky dálnic v provozu spolu se zohledněním vývoje spotřebitelských cen povede k eliminaci potřeby </w:t>
      </w:r>
      <w:r w:rsidRPr="003730B5">
        <w:rPr>
          <w:i/>
        </w:rPr>
        <w:t>ad hoc</w:t>
      </w:r>
      <w:r w:rsidRPr="003730B5">
        <w:t xml:space="preserve"> rozhodování o výši časových poplatků a přinese vyšší míru jistoty příjmů pro Státní fond dopravní infrastruktury, zprostředkovaně tedy i pro Ředitelství silnic a dálnic v podobě státního podniku, který bude na výši příjmů ze zpoplatnění pozemních komunikací nepřímo závislý, jelikož jeho činnost je a bude financována ze zdrojů Státního fondu dopravní infrastruktury.</w:t>
      </w:r>
    </w:p>
    <w:p w14:paraId="0BFA5511" w14:textId="77777777" w:rsidR="00133AC8" w:rsidRPr="003730B5" w:rsidRDefault="00133AC8" w:rsidP="00133AC8">
      <w:pPr>
        <w:widowControl w:val="0"/>
        <w:autoSpaceDE w:val="0"/>
        <w:autoSpaceDN w:val="0"/>
        <w:adjustRightInd w:val="0"/>
        <w:spacing w:after="120"/>
      </w:pPr>
      <w:r w:rsidRPr="003730B5">
        <w:t xml:space="preserve">Za dílčí nedostatek stávající právní úpravy, na nějž poukázal rovněž Nejvyšší kontrolní úřad, lze považovat nemožnost Státního fondu dopravní infrastruktury ověřit si z registru silničních vozidel data rozhodná pro učení výše časového poplatku. Relevantní je to u vozidel poháněných zemním plynem nebo biometanem, u nichž je účelné, aby si Státní fond dopravní infrastruktury mohl tvrzený nárok na úhradu časového poplatku ve snížené výši ověřit, a to alespoň u vozidel registrovaných v České republice.  </w:t>
      </w:r>
    </w:p>
    <w:p w14:paraId="1D9E2AB2" w14:textId="77777777" w:rsidR="00133AC8" w:rsidRPr="003730B5" w:rsidRDefault="00133AC8" w:rsidP="00133AC8">
      <w:pPr>
        <w:widowControl w:val="0"/>
        <w:autoSpaceDE w:val="0"/>
        <w:autoSpaceDN w:val="0"/>
        <w:adjustRightInd w:val="0"/>
        <w:spacing w:after="120"/>
      </w:pPr>
      <w:r w:rsidRPr="003730B5">
        <w:t xml:space="preserve">Návrhem zákona dochází ke zrušení osvobození od zpoplatnění užití zpoplatněné pozemní komunikace hybridními vozidly v systému časového zpoplatnění (tedy silničními motorovými vozidly nejméně se čtyřmi koly, jejichž největší povolená hmotnost činí nejvýše 3,5 tuny). Osvobozena budou nadále toliko vozidla v systému časového zpoplatnění, která používají jako palivo výlučně elektrickou energii nebo vodík. Osvobození uvedených vozidel v dosavadním rozsahu by nebylo slučitelné se směrnicí (EU) 2022/362. Pokud jde o hybridní vozidla v systému časového zpoplatnění, zůstanou však nadále významně zvýhodněna tím, že </w:t>
      </w:r>
      <w:r w:rsidRPr="003730B5">
        <w:lastRenderedPageBreak/>
        <w:t>poplatková povinnost bude omezena na 25 % sazby časového poplatku, jenž je hrazen za vozidla bez zvýhodnění. U vozidel v systému časového zpoplatnění poháněných zemním plynem nebo biometanem zůstane stávající míra zvýhodnění nedotčena, tedy na úrovni 50 % sazby časového poplatku, jenž je hrazen za vozidla bez zvýhodnění. Toto rozlišení respektuje fakticky rozdílné kombinované množství emisí CO</w:t>
      </w:r>
      <w:r w:rsidRPr="003730B5">
        <w:rPr>
          <w:vertAlign w:val="subscript"/>
        </w:rPr>
        <w:t>2</w:t>
      </w:r>
      <w:r w:rsidRPr="003730B5">
        <w:t xml:space="preserve"> u těchto vozidel.</w:t>
      </w:r>
    </w:p>
    <w:p w14:paraId="57D8A702" w14:textId="77777777" w:rsidR="00133AC8" w:rsidRPr="003730B5" w:rsidRDefault="00133AC8" w:rsidP="00133AC8">
      <w:pPr>
        <w:widowControl w:val="0"/>
        <w:autoSpaceDE w:val="0"/>
        <w:autoSpaceDN w:val="0"/>
        <w:adjustRightInd w:val="0"/>
        <w:spacing w:after="120"/>
      </w:pPr>
      <w:r w:rsidRPr="003730B5">
        <w:t xml:space="preserve">V souladu se směrnicí se navrhuje rovněž zavedení možnosti úhrady časového poplatku na období 1 kalendářního dne a stanovení proporcí mezi výší sazby časového poplatku na 1 rok a výší sazeb časového poplatku na kratší období, kdy sazba časového poplatku na 30 kalendářních dnů činí 19 % sazby časového poplatku na 1 rok, sazba časového poplatku na 10 kalendářních dnů činí 12 % sazby časového poplatku na 1 rok a sazba časového poplatku na 1 kalendářní den činí 9 % sazby časového poplatku na 1 rok. </w:t>
      </w:r>
    </w:p>
    <w:p w14:paraId="2D8BE858" w14:textId="11D56FD2" w:rsidR="00133AC8" w:rsidRPr="003730B5" w:rsidRDefault="00133AC8" w:rsidP="00133AC8">
      <w:pPr>
        <w:widowControl w:val="0"/>
        <w:autoSpaceDE w:val="0"/>
        <w:autoSpaceDN w:val="0"/>
        <w:adjustRightInd w:val="0"/>
        <w:spacing w:after="120"/>
      </w:pPr>
      <w:r w:rsidRPr="003730B5">
        <w:t xml:space="preserve">Významnou změnou je zvýšení sazby časového poplatku na 1 rok a snížení ostatních sazeb časového poplatku na kratší období, a to ode dne nabytí účinnosti navrženého zákona, přičemž tento návrh rovněž počítá se zakotvením mechanismu automatické valorizace všech sazeb časového poplatku, jenž bude relevantní pro časový poplatek hrazený ode dne 1. </w:t>
      </w:r>
      <w:r w:rsidR="00D6156C" w:rsidRPr="003730B5">
        <w:t>1.</w:t>
      </w:r>
      <w:r w:rsidRPr="003730B5">
        <w:t xml:space="preserve"> 2025. </w:t>
      </w:r>
    </w:p>
    <w:p w14:paraId="6B5D5208" w14:textId="77777777" w:rsidR="00133AC8" w:rsidRPr="003730B5" w:rsidRDefault="00133AC8" w:rsidP="00133AC8">
      <w:pPr>
        <w:widowControl w:val="0"/>
        <w:autoSpaceDE w:val="0"/>
        <w:autoSpaceDN w:val="0"/>
        <w:adjustRightInd w:val="0"/>
        <w:spacing w:after="120"/>
      </w:pPr>
      <w:r w:rsidRPr="003730B5">
        <w:t xml:space="preserve">Ode dne nabytí účinnosti navrženého zákona do konce roku 2024 bude sazba časového poplatku na 1 rok činit 2 300 Kč. Od této částky, dle pevně stanovených proporcí vyplývajících ze směrnice (EU) 2022/362, se budou odvíjet i sazby časového poplatku hrazeného na 30 kalendářních dnů, na 10 kalendářních dnů, na 1 kalendářní den, stejně jako sazby časového poplatku hrazeného za užití zpoplatněných pozemních komunikací hybridními vozidly a vozidly poháněnými zemním plynem nebo biometanem. </w:t>
      </w:r>
    </w:p>
    <w:p w14:paraId="7620E37B" w14:textId="442F92C5" w:rsidR="00133AC8" w:rsidRPr="003730B5" w:rsidRDefault="00133AC8" w:rsidP="00133AC8">
      <w:pPr>
        <w:widowControl w:val="0"/>
        <w:autoSpaceDE w:val="0"/>
        <w:autoSpaceDN w:val="0"/>
        <w:adjustRightInd w:val="0"/>
        <w:spacing w:after="120"/>
      </w:pPr>
      <w:r w:rsidRPr="003730B5">
        <w:t xml:space="preserve">Od 1. </w:t>
      </w:r>
      <w:r w:rsidR="00D6156C" w:rsidRPr="003730B5">
        <w:t>1.</w:t>
      </w:r>
      <w:r w:rsidRPr="003730B5">
        <w:t xml:space="preserve"> 2025 se pak uplatní mechanismus automatické valorizace všech sazeb časového poplatku, jenž může vést ke zvýšení nebo ke snížení sazeb podle pevně stanovených 2 kritérií. Těmito kritérii bude na jedné straně meziroční (procentuálně vyjádřený) vývoj spotřebitelských cen dle zjištění Českého statistického úřadu (nanejvýš však v rozsahu 10 %) a na druhé straně meziroční (procentuálně vyjádřená) změna délky dálnic v provozu evidovaná Ministerstvem dopravy. Navrhuje se, aby konečné sazby časového poplatku, vypočtené dle uvedených objektivních kritérií, každoročně a předem zveřejňovalo Ministerstvo dopravy ve Sbírce zákonů. </w:t>
      </w:r>
    </w:p>
    <w:p w14:paraId="66C3D925" w14:textId="77777777" w:rsidR="00133AC8" w:rsidRPr="003730B5" w:rsidRDefault="00133AC8" w:rsidP="00133AC8">
      <w:pPr>
        <w:widowControl w:val="0"/>
        <w:autoSpaceDE w:val="0"/>
        <w:autoSpaceDN w:val="0"/>
        <w:adjustRightInd w:val="0"/>
        <w:spacing w:after="120"/>
      </w:pPr>
      <w:r w:rsidRPr="003730B5">
        <w:t xml:space="preserve">Od výše popsaných změn si předkladatel slibuje zvýšený a stabilní příjem finančních prostředků pro Státní fond dopravní infrastruktury, jenž bude možné využít na financování výstavby, modernizace, oprav, údržby a správy dálnic. </w:t>
      </w:r>
    </w:p>
    <w:p w14:paraId="026E5D33" w14:textId="77777777" w:rsidR="00133AC8" w:rsidRPr="003730B5" w:rsidRDefault="00133AC8" w:rsidP="00133AC8">
      <w:pPr>
        <w:widowControl w:val="0"/>
        <w:autoSpaceDE w:val="0"/>
        <w:autoSpaceDN w:val="0"/>
        <w:adjustRightInd w:val="0"/>
        <w:spacing w:after="120"/>
      </w:pPr>
      <w:r w:rsidRPr="003730B5">
        <w:t>Návrh zákona dále počítá s tím, že z registru silničních vozidel budou Státnímu fondu dopravní infrastruktury poskytovány údaje rozhodné pro určení výše časového poplatku, což bude primárně využitelné pro ověření toho, zda vozidlům v systému časového zpoplatnění registrovaným v tomto registru náleží zvýhodněná sazba časového poplatku.</w:t>
      </w:r>
    </w:p>
    <w:p w14:paraId="5EFA3190" w14:textId="77777777" w:rsidR="00133AC8" w:rsidRPr="003730B5" w:rsidRDefault="00133AC8" w:rsidP="00133AC8">
      <w:pPr>
        <w:widowControl w:val="0"/>
        <w:autoSpaceDE w:val="0"/>
        <w:autoSpaceDN w:val="0"/>
        <w:adjustRightInd w:val="0"/>
        <w:spacing w:after="120"/>
        <w:rPr>
          <w:u w:val="single"/>
        </w:rPr>
      </w:pPr>
      <w:r w:rsidRPr="003730B5">
        <w:rPr>
          <w:u w:val="single"/>
        </w:rPr>
        <w:t>Mýtné</w:t>
      </w:r>
    </w:p>
    <w:p w14:paraId="3F4C3875" w14:textId="77777777" w:rsidR="00133AC8" w:rsidRPr="003730B5" w:rsidRDefault="00133AC8" w:rsidP="00133AC8">
      <w:pPr>
        <w:widowControl w:val="0"/>
        <w:autoSpaceDE w:val="0"/>
        <w:autoSpaceDN w:val="0"/>
        <w:adjustRightInd w:val="0"/>
        <w:spacing w:after="120"/>
      </w:pPr>
      <w:r w:rsidRPr="003730B5">
        <w:t>V souladu s § 22 odst. 1 zákona o pozemních komunikacích podléhá úhradě mýtného užití zpoplatněné pozemní komunikace silničním motorovým vozidlem nejméně se čtyřmi koly, jehož největší povolená hmotnost činí více než 3,5 tuny.</w:t>
      </w:r>
    </w:p>
    <w:p w14:paraId="6A1EB47F" w14:textId="77777777" w:rsidR="00133AC8" w:rsidRPr="003730B5" w:rsidRDefault="00133AC8" w:rsidP="00133AC8">
      <w:pPr>
        <w:widowControl w:val="0"/>
        <w:autoSpaceDE w:val="0"/>
        <w:autoSpaceDN w:val="0"/>
        <w:adjustRightInd w:val="0"/>
        <w:spacing w:after="120"/>
      </w:pPr>
      <w:r w:rsidRPr="003730B5">
        <w:t xml:space="preserve">Vnitrostátní právní úprava užití zpoplatněné pozemní komunikace těžkým vozidlem se tedy již nyní vztahuje i na těžká vozidla s určením jiným, než je převoz zboží. Rozšíření působnosti směrnice (EU) 2022/362 i na tato vozidla tedy nebude mít na vnitrostátní právní úpravu dopad. Vzhledem k tomu, že na základě zákona o pozemních komunikacích dochází k zpoplatnění užití vymezených pozemních komunikací mýtným, není ani ve vztahu ke směrnicí předvídanému omezení možnosti užití časových poplatků u těžkých vozidel potřeba </w:t>
      </w:r>
      <w:r w:rsidRPr="003730B5">
        <w:lastRenderedPageBreak/>
        <w:t xml:space="preserve">vnitrostátní právní úpravu měnit. </w:t>
      </w:r>
    </w:p>
    <w:p w14:paraId="36FF5DBB" w14:textId="77777777" w:rsidR="00133AC8" w:rsidRPr="003730B5" w:rsidRDefault="00133AC8" w:rsidP="00133AC8">
      <w:pPr>
        <w:widowControl w:val="0"/>
        <w:autoSpaceDE w:val="0"/>
        <w:autoSpaceDN w:val="0"/>
        <w:adjustRightInd w:val="0"/>
        <w:spacing w:after="120"/>
      </w:pPr>
      <w:r w:rsidRPr="003730B5">
        <w:t>Jak však bylo uvedeno výše, stávající vnitrostátní právní úprava ve vztahu k bezemisním a hybridním vozidlům nad 4,25 tuny nerespektuje požadavky unijní právní úpravy týkající se (ne)možnosti osvobodit tato vozidla a měla by být změněna.</w:t>
      </w:r>
    </w:p>
    <w:p w14:paraId="7DBB907E" w14:textId="701E7458" w:rsidR="00133AC8" w:rsidRPr="003730B5" w:rsidRDefault="00133AC8" w:rsidP="00133AC8">
      <w:pPr>
        <w:widowControl w:val="0"/>
        <w:autoSpaceDE w:val="0"/>
        <w:autoSpaceDN w:val="0"/>
        <w:adjustRightInd w:val="0"/>
        <w:spacing w:after="120"/>
      </w:pPr>
      <w:r w:rsidRPr="003730B5">
        <w:t xml:space="preserve">S cílem pokročit v plném uplatňování zásady „znečišťovatel platí“ požaduje směrnice (EU) 2022/362, aby členské státy Evropské unie mandatorně od 25. </w:t>
      </w:r>
      <w:r w:rsidR="00820D28" w:rsidRPr="003730B5">
        <w:t xml:space="preserve">3. </w:t>
      </w:r>
      <w:r w:rsidRPr="003730B5">
        <w:t>2026 uplatňovaly poplatky za externí náklady na těžká vozidla alespoň z důvodu znečištění ovzduší, a to v sítích, na něž se vztahuje poplatek za pozemní komunikace. Vzhledem k tomu, že již stávající § 22 odst. 1 písm. b) zákona o pozemních komunikacích mezi jednu ze složek mýtného řadí i náklady vyvolané znečištěním ovzduší z provozu vozidel v systému elektronického mýtného na zpoplatněných pozemních komunikacích, naplňuje vnitrostátní právní úprava požadavky směrnice (EU) 2022/362 již nyní.</w:t>
      </w:r>
    </w:p>
    <w:p w14:paraId="1FA32F81" w14:textId="77777777" w:rsidR="00133AC8" w:rsidRPr="003730B5" w:rsidRDefault="00133AC8" w:rsidP="00133AC8">
      <w:pPr>
        <w:widowControl w:val="0"/>
        <w:autoSpaceDE w:val="0"/>
        <w:autoSpaceDN w:val="0"/>
        <w:adjustRightInd w:val="0"/>
        <w:spacing w:after="120"/>
      </w:pPr>
      <w:r w:rsidRPr="003730B5">
        <w:t>Další změnou, kterou směrnice (EU) 2022/362 přináší, je zavedení právní úpravy výběru poplatků rovněž na základě diferenciace emisí CO</w:t>
      </w:r>
      <w:r w:rsidRPr="003730B5">
        <w:rPr>
          <w:vertAlign w:val="subscript"/>
        </w:rPr>
        <w:t>2</w:t>
      </w:r>
      <w:r w:rsidRPr="003730B5">
        <w:t>. S cílem podpořit přechod k čistšímu vozovému parku těžkých vozidel požaduje nově unijní úprava, aby si v případě těžkých vozidel členské státy Evropské unie vybraly, jakým způsobem budou emise CO</w:t>
      </w:r>
      <w:r w:rsidRPr="003730B5">
        <w:rPr>
          <w:vertAlign w:val="subscript"/>
        </w:rPr>
        <w:t>2</w:t>
      </w:r>
      <w:r w:rsidRPr="003730B5">
        <w:t xml:space="preserve"> v jejich systému zohledněny. V případě mýtného mohou být emise CO</w:t>
      </w:r>
      <w:r w:rsidRPr="003730B5">
        <w:rPr>
          <w:vertAlign w:val="subscript"/>
        </w:rPr>
        <w:t>2</w:t>
      </w:r>
      <w:r w:rsidRPr="003730B5">
        <w:t xml:space="preserve"> u vozidel zohledněny prostřednictvím a) uplatňování poplatku za externí náklady na emise CO</w:t>
      </w:r>
      <w:r w:rsidRPr="003730B5">
        <w:rPr>
          <w:vertAlign w:val="subscript"/>
        </w:rPr>
        <w:t>2</w:t>
      </w:r>
      <w:r w:rsidRPr="003730B5">
        <w:t>, b) rozlišení poplatků za pozemní komunikace vycházející z emisí CO</w:t>
      </w:r>
      <w:r w:rsidRPr="003730B5">
        <w:rPr>
          <w:vertAlign w:val="subscript"/>
        </w:rPr>
        <w:t>2</w:t>
      </w:r>
      <w:r w:rsidRPr="003730B5">
        <w:t xml:space="preserve"> těchto vozidel, nebo c) kombinací předchozích 2 možností. Podle § 22 odst. 1 zákona o pozemních komunikacích jsou do mýtného zahrnuty náklady vynaložené na zpoplatněné pozemní komunikace, náklady vyvolané znečištěním ovzduší z provozu vozidel v systému elektronického mýtného na zpoplatněných pozemních komunikacích a náklady vyvolané hlukem z provozu vozidel v systému elektronického mýtného na zpoplatněných pozemních komunikacích. Rozlišení sazeb mýtného je pak upraveno v § 22 odst. 2 zákona o pozemních komunikacích, a to podle kategorie vozidla, počtu náprav, hmotnosti vozidla nebo jízdní soupravy, kategorie pozemní komunikace, emisní třídy vozidla a období dne. Stávající vnitrostátní právní úprava tedy při ukládání mýtného emise CO</w:t>
      </w:r>
      <w:r w:rsidRPr="003730B5">
        <w:rPr>
          <w:vertAlign w:val="subscript"/>
        </w:rPr>
        <w:t>2</w:t>
      </w:r>
      <w:r w:rsidRPr="003730B5">
        <w:t xml:space="preserve"> vozidla nikterak nezohledňuje, a proto musí být v tomto směru změněna. V dané souvislosti rovněž platí, že platná vnitrostátní právní úprava neumožňuje provozovateli systému elektronického mýtného získávat údaje z registru silničních vozidel pro účely určení emisí CO</w:t>
      </w:r>
      <w:r w:rsidRPr="003730B5">
        <w:rPr>
          <w:vertAlign w:val="subscript"/>
        </w:rPr>
        <w:t>2</w:t>
      </w:r>
      <w:r w:rsidRPr="003730B5">
        <w:t xml:space="preserve"> vozidel. </w:t>
      </w:r>
    </w:p>
    <w:p w14:paraId="526239E9" w14:textId="77777777" w:rsidR="00133AC8" w:rsidRPr="003730B5" w:rsidRDefault="00133AC8" w:rsidP="00133AC8">
      <w:pPr>
        <w:widowControl w:val="0"/>
        <w:autoSpaceDE w:val="0"/>
        <w:autoSpaceDN w:val="0"/>
        <w:adjustRightInd w:val="0"/>
        <w:spacing w:after="120"/>
      </w:pPr>
      <w:r w:rsidRPr="003730B5">
        <w:t xml:space="preserve">Směrnice (EU) 2022/362 stanoví povinnost členských států Evropské unie zajistit, aby byl v návaznosti na uložení mýtného vydáván - pokud možno elektronicky - doklad, jenž bude uvádět celkovou částku mýtného, výši poplatku za pozemní komunikace, výši poplatku za externí náklady a případně výši poplatku za kongesci (tento poplatek však v České republice není zaveden a ani to není navrhováno). Vyhláška č. 470/2012 Sb., o užívání pozemních komunikací zpoplatněných mýtným, ve znění pozdějších předpisů (dále jen „vyhláška o užívání pozemních komunikací zpoplatněných mýtným“), sice předpokládá v § 9 odst. 3 vydávání dokladu o vyúčtovaném mýtném, nicméně jde o povinnost, která by měla být vyjádřena na úrovni zákona, a to v souladu s požadavky plynoucími nejen ze směrnice.  </w:t>
      </w:r>
    </w:p>
    <w:p w14:paraId="1D547584" w14:textId="77777777" w:rsidR="00133AC8" w:rsidRPr="003730B5" w:rsidRDefault="00133AC8" w:rsidP="00133AC8">
      <w:pPr>
        <w:widowControl w:val="0"/>
        <w:autoSpaceDE w:val="0"/>
        <w:autoSpaceDN w:val="0"/>
        <w:adjustRightInd w:val="0"/>
        <w:spacing w:after="120"/>
      </w:pPr>
      <w:r w:rsidRPr="003730B5">
        <w:t>Lze též uvést, že směrnice (EU) 2022/362 obsahuje celou řadu fakultativních možností realizace zpoplatnění pozemních komunikací. Předkladatel se rozhodl převážné většiny fakultativních ustanovení nevyužít, není tedy třeba je vnitrostátně provádět.</w:t>
      </w:r>
    </w:p>
    <w:p w14:paraId="4C2D0293" w14:textId="77777777" w:rsidR="00133AC8" w:rsidRPr="003730B5" w:rsidRDefault="00133AC8" w:rsidP="00133AC8">
      <w:pPr>
        <w:widowControl w:val="0"/>
        <w:autoSpaceDE w:val="0"/>
        <w:autoSpaceDN w:val="0"/>
        <w:adjustRightInd w:val="0"/>
        <w:spacing w:after="120"/>
      </w:pPr>
      <w:r w:rsidRPr="003730B5">
        <w:t xml:space="preserve">Návrhem zákona dochází ke zrušení osvobození od zpoplatnění užití zpoplatněné pozemní komunikace vozidly používajícími jako palivo výlučně elektrickou energii nebo vodík nebo hybridními vozidly (v obou případech, jde-li o vozidla v systému elektronického mýtného, tedy silniční motorová vozidla nejméně se čtyřmi koly, jejichž největší povolená hmotnost činí více než 3,5 tuny). V souladu se směrnicí (EU) 2022/362 budou tato vozidla platit nižší mýtné za </w:t>
      </w:r>
      <w:r w:rsidRPr="003730B5">
        <w:lastRenderedPageBreak/>
        <w:t>jeho část vybíranou za účelem dosažení návratnosti nákladů vyvolaných emisemi CO</w:t>
      </w:r>
      <w:r w:rsidRPr="003730B5">
        <w:rPr>
          <w:vertAlign w:val="subscript"/>
        </w:rPr>
        <w:t>2</w:t>
      </w:r>
      <w:r w:rsidRPr="003730B5">
        <w:t xml:space="preserve"> při provozu těchto vozidel na zpoplatněných pozemních komunikacích. </w:t>
      </w:r>
    </w:p>
    <w:p w14:paraId="75C88F06" w14:textId="77777777" w:rsidR="00133AC8" w:rsidRPr="003730B5" w:rsidRDefault="00133AC8" w:rsidP="00133AC8">
      <w:pPr>
        <w:widowControl w:val="0"/>
        <w:autoSpaceDE w:val="0"/>
        <w:autoSpaceDN w:val="0"/>
        <w:adjustRightInd w:val="0"/>
        <w:spacing w:after="120"/>
      </w:pPr>
      <w:r w:rsidRPr="003730B5">
        <w:t>Podstatnou změnou obsaženou v návrhu zákona je právě zavedení čtyř-složkové struktury mýtného, kdy ke stávajícím 3 složkám se přiřadí část mýtného vybíraná za účelem dosažení návratnosti nákladů vyvolaných emisemi CO</w:t>
      </w:r>
      <w:r w:rsidRPr="003730B5">
        <w:rPr>
          <w:vertAlign w:val="subscript"/>
        </w:rPr>
        <w:t>2</w:t>
      </w:r>
      <w:r w:rsidRPr="003730B5">
        <w:t xml:space="preserve"> při provozu vozidel na zpoplatněných pozemních komunikacích. Přistupováno je k tomu z důvodu transpozice směrnice (EU) 2022/362 do vnitrostátního právního řádu. Výběr této složky mýtného umožní zavedení dalšího kritéria pro stanovení sazeb mýtného, jímž bude emisní třída CO</w:t>
      </w:r>
      <w:r w:rsidRPr="003730B5">
        <w:rPr>
          <w:vertAlign w:val="subscript"/>
        </w:rPr>
        <w:t>2</w:t>
      </w:r>
      <w:r w:rsidRPr="003730B5">
        <w:t xml:space="preserve"> vozidla. Emisní třídu CO</w:t>
      </w:r>
      <w:r w:rsidRPr="003730B5">
        <w:rPr>
          <w:vertAlign w:val="subscript"/>
        </w:rPr>
        <w:t>2</w:t>
      </w:r>
      <w:r w:rsidRPr="003730B5">
        <w:t xml:space="preserve"> vozidla určí provozovatel systému elektronického mýtného na základě údajů z registru silničních vozidel, popřípadě dokumentů, které mu předloží provozovatel vozidla, obvykle registrovaného v zahraničí. Předpokládá se, že pravidla způsobu určení emisní třídy CO</w:t>
      </w:r>
      <w:r w:rsidRPr="003730B5">
        <w:rPr>
          <w:vertAlign w:val="subscript"/>
        </w:rPr>
        <w:t xml:space="preserve">2 </w:t>
      </w:r>
      <w:r w:rsidRPr="003730B5">
        <w:t xml:space="preserve">vozidla upraví, dle požadavků vyplývajících z unijního práva, vyhláška, k jejímuž vydání je pro Ministerstvo dopravy navrženo příslušné zmocnění.  </w:t>
      </w:r>
    </w:p>
    <w:p w14:paraId="2A23E047" w14:textId="77777777" w:rsidR="00133AC8" w:rsidRPr="003730B5" w:rsidRDefault="00133AC8" w:rsidP="00133AC8">
      <w:pPr>
        <w:widowControl w:val="0"/>
        <w:autoSpaceDE w:val="0"/>
        <w:autoSpaceDN w:val="0"/>
        <w:adjustRightInd w:val="0"/>
        <w:spacing w:after="120"/>
      </w:pPr>
      <w:r w:rsidRPr="003730B5">
        <w:t>V souladu se směrnicí (EU) 2022/362 se též navrhuje na zákonné úrovni stanovit povinnost provozovatele systému elektronického mýtného, popřípadě poskytovatele evropského mýtného, vydávat v elektronické podobě doklad, z něhož bude moci provozovatel vozidla poznat emisní třídu CO</w:t>
      </w:r>
      <w:r w:rsidRPr="003730B5">
        <w:rPr>
          <w:vertAlign w:val="subscript"/>
        </w:rPr>
        <w:t>2</w:t>
      </w:r>
      <w:r w:rsidRPr="003730B5">
        <w:t xml:space="preserve"> vozidla a nejen celkově vyúčtované mýtné, ale i jeho části, které byly uloženy za účelem dosažení návratnosti nákladů vynaložených na zpoplatněné pozemní komunikace a za účelem dosažení návratnosti externích nákladů.</w:t>
      </w:r>
    </w:p>
    <w:p w14:paraId="3D5FCA73" w14:textId="77777777" w:rsidR="00133AC8" w:rsidRPr="003730B5" w:rsidRDefault="00133AC8" w:rsidP="00133AC8">
      <w:pPr>
        <w:widowControl w:val="0"/>
        <w:autoSpaceDE w:val="0"/>
        <w:autoSpaceDN w:val="0"/>
        <w:adjustRightInd w:val="0"/>
        <w:spacing w:after="120"/>
        <w:rPr>
          <w:u w:val="single"/>
        </w:rPr>
      </w:pPr>
      <w:r w:rsidRPr="003730B5">
        <w:rPr>
          <w:u w:val="single"/>
        </w:rPr>
        <w:t>Zvláštní užívání pozemních komunikací nadměrnými vozidly</w:t>
      </w:r>
    </w:p>
    <w:p w14:paraId="1EE682A2" w14:textId="77777777" w:rsidR="00133AC8" w:rsidRPr="003730B5" w:rsidRDefault="00133AC8" w:rsidP="00133AC8">
      <w:pPr>
        <w:widowControl w:val="0"/>
        <w:autoSpaceDE w:val="0"/>
        <w:autoSpaceDN w:val="0"/>
        <w:adjustRightInd w:val="0"/>
        <w:spacing w:after="120"/>
      </w:pPr>
      <w:r w:rsidRPr="003730B5">
        <w:t>Podle zákona o pozemních komunikacích platí obecné pravidlo, dle něhož smí v mezích právních předpisů každý užívat pozemní komunikace obvyklým způsobem a k účelům, ke kterým jsou určeny. Zákon označuje toto užívání pozemních komunikací jako obecné. Jde-li však o užívání dálnic, silnic a místních komunikací jiným než obvyklým způsobem nebo k jiným účelům, než pro které jsou určeny, takovéto užívání pozemních komunikací, které zákon označuje jako zvláštní, je přípustné toliko na základě povolení, které vydávají silniční správní úřady (tedy Ministerstvo dopravy, krajské úřady, obecní úřady obcí s rozšířenou působností, obecní úřady a újezdní úřady). Mezi případy zvláštního užívání řadí zákon o pozemních komunikacích i přepravu zvlášť těžkých nebo rozměrných předmětů a užívání vozidel, jejichž rozměry nebo hmotnost přesahují míru stanovenou zvláštními předpisy. Zvláštním předpisem, jenž upravuje hodnoty rozměrů a hmotností vozidel, je zákon č. 361/2000 Sb., o provozu na pozemních komunikacích a o změnách některých zákonů (zákon o silničním provozu), ve znění pozdějších předpisů (dále jen „zákon o silničním provozu“), a vyhláška č. 209/2018 Sb., o hmotnostech, rozměrech a spojitelnosti vozidel, ve znění vyhlášky č. 434/2022 Sb. (dále jen „vyhláška o hmotnostech, rozměrech a spojitelnosti vozidel“).</w:t>
      </w:r>
    </w:p>
    <w:p w14:paraId="0C2E4710" w14:textId="77777777" w:rsidR="00133AC8" w:rsidRPr="003730B5" w:rsidRDefault="00133AC8" w:rsidP="00133AC8">
      <w:pPr>
        <w:widowControl w:val="0"/>
        <w:autoSpaceDE w:val="0"/>
        <w:autoSpaceDN w:val="0"/>
        <w:adjustRightInd w:val="0"/>
        <w:spacing w:after="120"/>
      </w:pPr>
      <w:r w:rsidRPr="003730B5">
        <w:t xml:space="preserve">Jak z názvu vyhlášky vyplývá, tento prováděcí právní předpis upravuje hodnoty hmotností a rozměrů vozidel a stávající vymezení předmětu povolování v zákoně o pozemních komunikacích, jímž je „přeprava zvlášť těžkých nebo rozměrných předmětů“, není přesné. Stejně tak pokud jde o vymezení předmětu povolování v rozsahu slov „užívání vozidel, jejichž rozměry nebo hmotnost přesahují míru stanovenou zvláštními předpisy“, tato formulace vyžaduje upřesnění tak, aby odpovídala § 43a odst. 1 zákona o silničním provozu. V tomto ustanovení je zakotven zákaz užití vozidla, jehož „hmotnost, rozměry včetně nákladu nebo rozložení hmotnosti na nápravy, skupiny náprav, kola nebo skupiny kol ohrožují bezpečnost provozu na pozemních komunikacích nebo stav pozemní komunikace“, přičemž tento zákaz neplatí, je-li užití připuštěno právě povolením vydaným dle zákona o pozemních komunikacích. Formulace dotčených ustanovení v obou zákonech by tedy měly být souladné.  </w:t>
      </w:r>
    </w:p>
    <w:p w14:paraId="6668EBDB" w14:textId="77777777" w:rsidR="00133AC8" w:rsidRPr="003730B5" w:rsidRDefault="00133AC8" w:rsidP="00133AC8">
      <w:pPr>
        <w:widowControl w:val="0"/>
        <w:autoSpaceDE w:val="0"/>
        <w:autoSpaceDN w:val="0"/>
        <w:adjustRightInd w:val="0"/>
        <w:spacing w:after="120"/>
      </w:pPr>
      <w:r w:rsidRPr="003730B5">
        <w:t xml:space="preserve">Podle zákona o silničním provozu je zakázáno užití vozidla, které ohrožuje „bezpečnost </w:t>
      </w:r>
      <w:r w:rsidRPr="003730B5">
        <w:lastRenderedPageBreak/>
        <w:t>provozu na pozemních komunikacích nebo stav pozemní komunikace“, není-li to povoleno správním aktem vydávaným silničním správním úřadem dle zákona o pozemních komunikacích. Zákon o pozemních komunikacích však v platném znění nestanoví žádné, ani obecné kritérium, dle něhož by měly být žádosti o povolení zvláštního užívání pozemních komunikací nadměrnými vozidly vyhodnocovány. Jde-li o tyto žádosti, zákon o pozemních komunikacích v platném znění nestanoví ani jejich náležitosti nebo přílohy a přenechává tuto právní úpravu na prováděcí právní předpis. S ohledem na tzv. výhradu zákona by uvedená problematika měla být řešena na úrovni zákona.</w:t>
      </w:r>
    </w:p>
    <w:p w14:paraId="622D0F7E" w14:textId="6B5C483C" w:rsidR="00133AC8" w:rsidRPr="003730B5" w:rsidRDefault="00133AC8" w:rsidP="00133AC8">
      <w:pPr>
        <w:widowControl w:val="0"/>
        <w:autoSpaceDE w:val="0"/>
        <w:autoSpaceDN w:val="0"/>
        <w:adjustRightInd w:val="0"/>
        <w:spacing w:after="120"/>
      </w:pPr>
      <w:r w:rsidRPr="003730B5">
        <w:t xml:space="preserve"> Stejně tak není ze zákona o pozemních komunikacích zřejmé, zda lze povolení užívání pozemní komunikace nadměrnými vozidly vydat výhradně pro jednorázové zvláštní užívání dálnice, silnice nebo místní komunikace, nebo též pro vícero přeprav realizovaných v určitém, předem stanoveném období. Teprve zákon o správních poplatcích, v položce 35 přílohy obsahující sazebník správních poplatků pro tento druh zvláštního užívání pozemních komunikací naznačuje, že předmětem povolení může být i provedení opakovaných přeprav na dobu nejvýše 3 měsíců. Rozsah povolení představuje podstatnou otázku, jež by měla být řešena přímo zákonem o pozemních komunikacích, přičemž stávající omezení opakovaného povolení obdobím 3 měsíců je nedůvodně striktní, kdy rozšíření tohoto období by mohlo snížit administrativní zátěž jak na straně žadatelů o povolení zvláštního užívání, tak dotčených správních orgánů. </w:t>
      </w:r>
    </w:p>
    <w:p w14:paraId="75B833EE" w14:textId="77777777" w:rsidR="00133AC8" w:rsidRPr="003730B5" w:rsidRDefault="00133AC8" w:rsidP="00133AC8">
      <w:pPr>
        <w:widowControl w:val="0"/>
        <w:autoSpaceDE w:val="0"/>
        <w:autoSpaceDN w:val="0"/>
        <w:adjustRightInd w:val="0"/>
        <w:spacing w:after="120"/>
      </w:pPr>
      <w:r w:rsidRPr="003730B5">
        <w:t xml:space="preserve">Z hlediska administrativní zátěže žadatelů o povolení zvláštního užívání pozemních komunikací nadměrnými vozidly, ale i silničních správních úřadů, lze za nevyhovující rovněž považovat stávající stav, kdy je působnost silničních správních úřadů územně omezena způsobem, že nemají kompetenci povolovat přepravu po celé její zamýšlené trase, typicky zahrnující místní komunikace na počátku či konci trasy. To pak vede v praxi buď k získávání několika povolení různých dotčených úřadů, nebo k rezignaci na získání všech relevantních povolení a ilegálnímu užití vybraných pozemních komunikací. </w:t>
      </w:r>
    </w:p>
    <w:p w14:paraId="36AD2587" w14:textId="77777777" w:rsidR="00133AC8" w:rsidRPr="003730B5" w:rsidRDefault="00133AC8" w:rsidP="00133AC8">
      <w:pPr>
        <w:widowControl w:val="0"/>
        <w:autoSpaceDE w:val="0"/>
        <w:autoSpaceDN w:val="0"/>
        <w:adjustRightInd w:val="0"/>
        <w:spacing w:after="120"/>
      </w:pPr>
      <w:r w:rsidRPr="003730B5">
        <w:t xml:space="preserve">Již za stávající právní úpravy lze přitom agendu povolování zvláštního užívání pozemních komunikací nadměrnými vozidly, kterou zajištuje Ministerstvo dopravy bez nadsázky považovat za extrémně rozsáhlou. Ročně vydává Ministerstvo dopravy 30 000 správních rozhodnutí, přičemž trend počtu podaných žádostí je stále narůstající a příslušná řízení jsou vedena toliko 6 státními zaměstnanci. Ostatní silniční správní úřady vydají ročně dle disponibilních údajů z prováděných kontrol cca pouze 1 500 správních rozhodnutí za rok. Za účelem zvládnutí a efektivního vyřizování takto rozsáhlé agendy je vhodné přistoupit po 25 letech účinnosti právní úpravy povolování zvláštního užívání pozemních komunikací nadměrnými vozidly k modifikaci vybraných procesních pravidel, která zohlední dosavadní zkušenosti z aplikace stávající právní úpravy. Jde o pravidla týkající se určení účastníků řízení, lhůt pro vyjádření vlastníků dotčených pozemních komunikací a vydávání závazných stanovisek dotčených orgánů, úkonů činěných silničním správním úřadem ve správním řízení, vykonatelnosti prvoinstančního rozhodnutí, jímž se povoluje zvláštní užívání pozemních komunikací nadměrnými vozidly, a určení správních poplatků. Ze změn těchto pravidel by přitom měli těžit žadatelé a silniční správní úřady v případě všech řízení o povolení zvláštního užívání pozemních komunikací nadměrnými vozidly. </w:t>
      </w:r>
    </w:p>
    <w:p w14:paraId="2B856D75" w14:textId="77777777" w:rsidR="00133AC8" w:rsidRPr="003730B5" w:rsidRDefault="00133AC8" w:rsidP="00133AC8">
      <w:pPr>
        <w:widowControl w:val="0"/>
        <w:autoSpaceDE w:val="0"/>
        <w:autoSpaceDN w:val="0"/>
        <w:adjustRightInd w:val="0"/>
        <w:spacing w:after="120"/>
      </w:pPr>
      <w:r w:rsidRPr="003730B5">
        <w:t xml:space="preserve">K efektivnějšímu výkonu vyřizování dotčené agendy specificky Ministerstvem dopravy, které je ze všech silničních správních úřadů předmětnou agendou zvláštního užívání nejvíce zatíženo, nepřispívá ani stávající způsob podávání žádostí o povolení zvláštního užívání pozemních komunikací nadměrnými vozidly a komunikace s vlastníky dotčených pozemních komunikací a dotčenými orgány. Žádosti o povolení zvláštního užívání pozemních komunikací nadměrnými vozidly lze podat způsoby, které předvídá správní řád. Je přitom účelné, aby byly - až na dílčí výjimky - všechny žádosti podávány prostřednictvím portálu, jenž bude pro </w:t>
      </w:r>
      <w:r w:rsidRPr="003730B5">
        <w:lastRenderedPageBreak/>
        <w:t xml:space="preserve">Ministerstvo dopravy vytvořen a který umožní žadatelům vyplňovat údaje tvořící žádost v elektronické podobě. Stejně tak může komunikace mezi Ministerstvem dopravy a vlastníky dotčených pozemních komunikací a dotčenými orgány probíhat v této podobě, prostřednictvím zmíněného portálu, místo standardní listinné komunikace či komunikace datovými schránkami.  </w:t>
      </w:r>
    </w:p>
    <w:p w14:paraId="38C4EAEF" w14:textId="77777777" w:rsidR="00133AC8" w:rsidRPr="003730B5" w:rsidRDefault="00133AC8" w:rsidP="00133AC8">
      <w:pPr>
        <w:widowControl w:val="0"/>
        <w:autoSpaceDE w:val="0"/>
        <w:autoSpaceDN w:val="0"/>
        <w:adjustRightInd w:val="0"/>
        <w:spacing w:after="120"/>
      </w:pPr>
      <w:r w:rsidRPr="003730B5">
        <w:t>V neposlední řadě přispěje k efektivnějšímu výkonu vyřizování dotčené agendy rovněž možnost silničních správních úřadů získávat relevantní údaje o nadměrných vozidlech z registru silničních vozidel, na což stávající právní úprava nepamatuje.</w:t>
      </w:r>
    </w:p>
    <w:p w14:paraId="7575ACF6" w14:textId="77777777" w:rsidR="00133AC8" w:rsidRPr="003730B5" w:rsidRDefault="00133AC8" w:rsidP="00133AC8">
      <w:pPr>
        <w:widowControl w:val="0"/>
        <w:autoSpaceDE w:val="0"/>
        <w:autoSpaceDN w:val="0"/>
        <w:adjustRightInd w:val="0"/>
        <w:spacing w:after="120"/>
      </w:pPr>
      <w:r w:rsidRPr="003730B5">
        <w:t xml:space="preserve">Návrhem zákona dochází v první řadě k precizaci předmětu povolení zvláštního užívání dálnic, silnic a místních komunikací tak, aby odpovídal vymezení obsaženému v § 43a odst. 1 zákona o silničním provozu. Tímto předmětem je užití dálnice, silnice nebo místní komunikace vozidly nebo jízdními soupravami, jejichž hmotnost, rozměry včetně nákladu nebo rozložení hmotnosti na nápravy, skupiny náprav, kola nebo skupiny kol překračují hodnoty stanovené zákonem o silničním provozu. V této souvislosti zavádí návrh zákona do zákona o pozemních komunikacích legislativní zkratku „nadměrné vozidlo“. </w:t>
      </w:r>
    </w:p>
    <w:p w14:paraId="3E7946EA" w14:textId="77777777" w:rsidR="00133AC8" w:rsidRPr="003730B5" w:rsidRDefault="00133AC8" w:rsidP="00133AC8">
      <w:pPr>
        <w:widowControl w:val="0"/>
        <w:autoSpaceDE w:val="0"/>
        <w:autoSpaceDN w:val="0"/>
        <w:adjustRightInd w:val="0"/>
        <w:spacing w:after="120"/>
      </w:pPr>
      <w:r w:rsidRPr="003730B5">
        <w:t xml:space="preserve">Návrh zákona přitom výslovně počítá s tím, že předmětem povolení může být nejen jednorázové zvláštní užívání dálnice, silnice nebo místní komunikace nadměrným vozidlem, ale i opakované zvláštní užívání dálnic, silnic a místních komunikací I. a II. třídy na území hlavního města Prahy nadměrným vozidlem po dobu 1 roku. Dochází přitom k prodloužení doby platnosti povolení umožňujícího opakované zvláštní užívání pozemních komunikací z nanejvýš 3 měsíců na pevně stanovené období 1 roku, přičemž návrh zákona rovněž nově stanoví vybrané parametry vozidel, jejichž dodržení bude podmínkou vydání požadovaného povolení zvláštního užívání pozemních komunikací. Byť v obecné rovině, návrh nově stanoví též základní kritérium pro vydání povolení opakovaného i zvláštního užívání pozemní komunikace nadměrným vozidlem. Stanoví taktéž náležitosti a přílohy žádosti o povolení zvláštního užívání pozemní komunikace nadměrným vozidlem tak, aby podstatné aspekty této právní úpravy nebyly nadále obsaženy v prováděcím právním předpisu. </w:t>
      </w:r>
    </w:p>
    <w:p w14:paraId="4DA24810" w14:textId="77777777" w:rsidR="00133AC8" w:rsidRPr="003730B5" w:rsidRDefault="00133AC8" w:rsidP="00133AC8">
      <w:pPr>
        <w:widowControl w:val="0"/>
        <w:autoSpaceDE w:val="0"/>
        <w:autoSpaceDN w:val="0"/>
        <w:adjustRightInd w:val="0"/>
        <w:spacing w:after="120"/>
      </w:pPr>
      <w:r w:rsidRPr="003730B5">
        <w:t xml:space="preserve"> Návrhem dochází dále k modifikaci kompetencí silničních správních úřadů k vydání povolení zvláštního užívání pozemní komunikace nadměrným vozidlem tak, aby tato povolení mohla pokrýt celou trasu přepravy požadovanou dopravci či jinými žadateli, aniž by se tito žadatelé museli s jednotlivými dílčími žádostmi obracet na různé silniční správní úřady. </w:t>
      </w:r>
    </w:p>
    <w:p w14:paraId="65B36B79" w14:textId="77777777" w:rsidR="00133AC8" w:rsidRPr="003730B5" w:rsidRDefault="00133AC8" w:rsidP="00133AC8">
      <w:pPr>
        <w:widowControl w:val="0"/>
        <w:autoSpaceDE w:val="0"/>
        <w:autoSpaceDN w:val="0"/>
        <w:adjustRightInd w:val="0"/>
        <w:spacing w:after="120"/>
      </w:pPr>
      <w:r w:rsidRPr="003730B5">
        <w:t>V návaznosti na dosavadní zkušenosti z aplikační praxe a s ohledem na excesivní množství případů řešených v rámci agendy povolování užívání pozemní komunikace nadměrným vozidlem přichází návrh zákona s několika podstatnými změnami procesního charakteru, které by měly přispět k urychlení a zefektivnění vedení příslušných správních řízení. Tyto změny spočívají</w:t>
      </w:r>
    </w:p>
    <w:p w14:paraId="2F2EDCBF" w14:textId="77777777" w:rsidR="00133AC8" w:rsidRPr="003730B5" w:rsidRDefault="00133AC8" w:rsidP="00133AC8">
      <w:pPr>
        <w:pStyle w:val="Odstavecseseznamem"/>
        <w:widowControl w:val="0"/>
        <w:numPr>
          <w:ilvl w:val="0"/>
          <w:numId w:val="50"/>
        </w:numPr>
        <w:autoSpaceDE w:val="0"/>
        <w:autoSpaceDN w:val="0"/>
        <w:adjustRightInd w:val="0"/>
        <w:spacing w:after="120"/>
      </w:pPr>
      <w:r w:rsidRPr="003730B5">
        <w:t xml:space="preserve">v taxativním vymezení účastníků řízení, </w:t>
      </w:r>
    </w:p>
    <w:p w14:paraId="33D7526B" w14:textId="77777777" w:rsidR="00133AC8" w:rsidRPr="003730B5" w:rsidRDefault="00133AC8" w:rsidP="00133AC8">
      <w:pPr>
        <w:pStyle w:val="Odstavecseseznamem"/>
        <w:widowControl w:val="0"/>
        <w:numPr>
          <w:ilvl w:val="0"/>
          <w:numId w:val="50"/>
        </w:numPr>
        <w:autoSpaceDE w:val="0"/>
        <w:autoSpaceDN w:val="0"/>
        <w:adjustRightInd w:val="0"/>
        <w:spacing w:after="120"/>
      </w:pPr>
      <w:r w:rsidRPr="003730B5">
        <w:t xml:space="preserve">v zohlednění skutečnosti, že silniční správní úřady již v řadě případů disponují tzv. generálním souhlasem vlastníka dotčené pozemní komunikace nebo dotčeného orgánu, kdy není třeba od těchto subjektů vyžadovat jejich vyjádření nebo závazná stanoviska, </w:t>
      </w:r>
    </w:p>
    <w:p w14:paraId="6681B433" w14:textId="77777777" w:rsidR="00133AC8" w:rsidRPr="003730B5" w:rsidRDefault="00133AC8" w:rsidP="00133AC8">
      <w:pPr>
        <w:pStyle w:val="Odstavecseseznamem"/>
        <w:widowControl w:val="0"/>
        <w:numPr>
          <w:ilvl w:val="0"/>
          <w:numId w:val="50"/>
        </w:numPr>
        <w:autoSpaceDE w:val="0"/>
        <w:autoSpaceDN w:val="0"/>
        <w:adjustRightInd w:val="0"/>
        <w:spacing w:after="120"/>
      </w:pPr>
      <w:r w:rsidRPr="003730B5">
        <w:t xml:space="preserve">v zavedení lhůty pro zaslání vyjádření vlastníka dotčené pozemní komunikace nebo závazných stanovisek dotčeného orgánu a navazující fikce souhlasu pro případ, že tyto subjekty vydají včas svá vyjádření či stanoviska, </w:t>
      </w:r>
    </w:p>
    <w:p w14:paraId="18EB06DC" w14:textId="77777777" w:rsidR="00133AC8" w:rsidRPr="003730B5" w:rsidRDefault="00133AC8" w:rsidP="00133AC8">
      <w:pPr>
        <w:pStyle w:val="Odstavecseseznamem"/>
        <w:widowControl w:val="0"/>
        <w:numPr>
          <w:ilvl w:val="0"/>
          <w:numId w:val="50"/>
        </w:numPr>
        <w:autoSpaceDE w:val="0"/>
        <w:autoSpaceDN w:val="0"/>
        <w:adjustRightInd w:val="0"/>
        <w:spacing w:after="120"/>
      </w:pPr>
      <w:r w:rsidRPr="003730B5">
        <w:t xml:space="preserve">v umožnění přímého vydání správního rozhodnutí bez provádění jiných úkonů správního orgánu v předmětném řízení, </w:t>
      </w:r>
    </w:p>
    <w:p w14:paraId="0B72E2D8" w14:textId="77777777" w:rsidR="00133AC8" w:rsidRPr="003730B5" w:rsidRDefault="00133AC8" w:rsidP="00133AC8">
      <w:pPr>
        <w:pStyle w:val="Odstavecseseznamem"/>
        <w:widowControl w:val="0"/>
        <w:numPr>
          <w:ilvl w:val="0"/>
          <w:numId w:val="50"/>
        </w:numPr>
        <w:autoSpaceDE w:val="0"/>
        <w:autoSpaceDN w:val="0"/>
        <w:adjustRightInd w:val="0"/>
        <w:spacing w:after="120"/>
      </w:pPr>
      <w:r w:rsidRPr="003730B5">
        <w:t xml:space="preserve">v zavedení předběžné vykonatelnosti prvoinstančního rozhodnutí povolujícího zvláštní užívání pozemní komunikace nadměrným vozidlem, </w:t>
      </w:r>
    </w:p>
    <w:p w14:paraId="51751F6E" w14:textId="77777777" w:rsidR="00133AC8" w:rsidRPr="003730B5" w:rsidRDefault="00133AC8" w:rsidP="00133AC8">
      <w:pPr>
        <w:pStyle w:val="Odstavecseseznamem"/>
        <w:widowControl w:val="0"/>
        <w:numPr>
          <w:ilvl w:val="0"/>
          <w:numId w:val="50"/>
        </w:numPr>
        <w:autoSpaceDE w:val="0"/>
        <w:autoSpaceDN w:val="0"/>
        <w:adjustRightInd w:val="0"/>
        <w:spacing w:after="120"/>
      </w:pPr>
      <w:r w:rsidRPr="003730B5">
        <w:t xml:space="preserve">v podstatném zjednodušení pravidel pro určení správních poplatků hrazených </w:t>
      </w:r>
      <w:r w:rsidRPr="003730B5">
        <w:lastRenderedPageBreak/>
        <w:t>v dotčených řízeních,</w:t>
      </w:r>
    </w:p>
    <w:p w14:paraId="1543AA30" w14:textId="77777777" w:rsidR="00133AC8" w:rsidRPr="003730B5" w:rsidRDefault="00133AC8" w:rsidP="00133AC8">
      <w:pPr>
        <w:pStyle w:val="Odstavecseseznamem"/>
        <w:widowControl w:val="0"/>
        <w:numPr>
          <w:ilvl w:val="0"/>
          <w:numId w:val="50"/>
        </w:numPr>
        <w:autoSpaceDE w:val="0"/>
        <w:autoSpaceDN w:val="0"/>
        <w:adjustRightInd w:val="0"/>
        <w:spacing w:after="120"/>
      </w:pPr>
      <w:r w:rsidRPr="003730B5">
        <w:t>ve významné elektronizaci dotčených procesů, kdy bude povinností žadatelů v pozici právnických nebo podnikajících fyzických osob podávat žádosti o povolení zvláštního užívání pozemní komunikace nadměrným vozidlem Ministerstvu dopravy prostřednictvím portálu spravovaného tímto ministerstvem a bude též povinností vlastníků dotčených pozemních komunikací a dotčených orgánů komunikovat tímto způsobem s Ministerstvem dopravy v jím vedeném řízení.</w:t>
      </w:r>
    </w:p>
    <w:p w14:paraId="5FE4A424" w14:textId="77777777" w:rsidR="00133AC8" w:rsidRPr="003730B5" w:rsidRDefault="00133AC8" w:rsidP="00133AC8">
      <w:pPr>
        <w:widowControl w:val="0"/>
        <w:autoSpaceDE w:val="0"/>
        <w:autoSpaceDN w:val="0"/>
        <w:adjustRightInd w:val="0"/>
        <w:spacing w:after="120"/>
        <w:rPr>
          <w:u w:val="single"/>
        </w:rPr>
      </w:pPr>
      <w:r w:rsidRPr="003730B5">
        <w:rPr>
          <w:u w:val="single"/>
        </w:rPr>
        <w:t>Další opatření ke snížení administrativní zátěže</w:t>
      </w:r>
    </w:p>
    <w:p w14:paraId="6179D577" w14:textId="77777777" w:rsidR="00133AC8" w:rsidRPr="003730B5" w:rsidRDefault="00133AC8" w:rsidP="00133AC8">
      <w:pPr>
        <w:widowControl w:val="0"/>
        <w:autoSpaceDE w:val="0"/>
        <w:autoSpaceDN w:val="0"/>
        <w:adjustRightInd w:val="0"/>
        <w:spacing w:after="120"/>
      </w:pPr>
      <w:r w:rsidRPr="003730B5">
        <w:t xml:space="preserve">Podle § 25 odst. 6 písm. c) bodu 3 zákona o pozemních komunikacích je zvláštním užíváním dálnice, silnice a místní komunikace rovněž provádění stavebních prací. Tato právní úprava však nedůvodně navyšuje administrativní zátěž stavebníků, stejně jako silničních správních úřadů v situaci, kdy provádění stavebních prací podléhá jako takové povolení záměru dle zákona č. 283/2021 Sb., stavební zákon, ve znění pozdějších předpisů (dále jen „nový stavební zákon“). Ochrana pozemních komunikací může být v těchto případech dostatečně zajištěna v rámci rozhodování o povolení záměru příslušným stavebním úřadem a na duplicitní správní řízení lze v předmětném rozsahu rezignovat. </w:t>
      </w:r>
    </w:p>
    <w:p w14:paraId="19FF0EA6" w14:textId="77777777" w:rsidR="00133AC8" w:rsidRPr="003730B5" w:rsidRDefault="00133AC8" w:rsidP="00133AC8">
      <w:pPr>
        <w:widowControl w:val="0"/>
        <w:autoSpaceDE w:val="0"/>
        <w:autoSpaceDN w:val="0"/>
        <w:adjustRightInd w:val="0"/>
        <w:spacing w:after="120"/>
      </w:pPr>
      <w:r w:rsidRPr="003730B5">
        <w:t>Podle § 30 odst. 1 zákona o pozemních komunikacích slouží k ochraně dálnice, silnice a místní komunikace I. nebo II. třídy a provozu na nich mimo zastavěné území obcí silniční ochranná pásma. Ustanovení § 30 odst. 2 písm. a) definuje silniční ochranné pásmo ve vzdálenosti 100 m od osy přilehlého jízdního pásu dálnice anebo od osy větve její křižovatky s jinou pozemní komunikací. V rozhodovací praxi Ministerstva dopravy coby silničního správního úřadu, v jehož působnosti jsou všechny dálnice, na které se předmětné ustanovené vztahuje, se přitom dlouhodobě rozvinula rozhodovací praxe, kdy stavby trvalého charakteru se do 50 m od dálnice - až na dílčí výjimky - nepovolují. Naopak ve vzdálenosti přesahující limit 50 m k povolování staveb dochází zcela rutinně. Lze též částečně rezignovat na omezování práv vlastníků nemovitých věcí v ochranných pásmech, kdy je dostačující, aby bylo právo vstupu na cizí pozemky, nebo na stavby na nich stojící, za účelem oprav, údržby, umístění zásněžek, odstraňování následků nehod a jiných překážek omezujících silniční provoz, vztaženo toliko k pásmu nepřesahujícímu vzdálenost 50 m od dálnice. Pokud jde o regulaci zřizování a provozování reklamních zařízení v blízkosti dálnic, zákonem o pozemních komunikacích je rozšířeno ochranné pásmo na 250 metrů od dálnice, přičemž takto rozšířené ochranné pásmo se jeví jako účelné zachovat.</w:t>
      </w:r>
    </w:p>
    <w:p w14:paraId="68E1B6AA" w14:textId="77777777" w:rsidR="00133AC8" w:rsidRPr="003730B5" w:rsidRDefault="00133AC8" w:rsidP="00133AC8">
      <w:pPr>
        <w:widowControl w:val="0"/>
        <w:autoSpaceDE w:val="0"/>
        <w:autoSpaceDN w:val="0"/>
        <w:adjustRightInd w:val="0"/>
        <w:spacing w:after="120"/>
      </w:pPr>
      <w:r w:rsidRPr="003730B5">
        <w:t xml:space="preserve">Za účelem snížení administrativní zátěže adresátů právní regulace a snížení stávající agendy vykonávané silničními správními úřady návrh zákona </w:t>
      </w:r>
    </w:p>
    <w:p w14:paraId="36299916" w14:textId="77777777" w:rsidR="00133AC8" w:rsidRPr="003730B5" w:rsidRDefault="00133AC8" w:rsidP="00133AC8">
      <w:pPr>
        <w:pStyle w:val="Odstavecseseznamem"/>
        <w:widowControl w:val="0"/>
        <w:numPr>
          <w:ilvl w:val="0"/>
          <w:numId w:val="51"/>
        </w:numPr>
        <w:autoSpaceDE w:val="0"/>
        <w:autoSpaceDN w:val="0"/>
        <w:adjustRightInd w:val="0"/>
        <w:spacing w:after="120"/>
      </w:pPr>
      <w:r w:rsidRPr="003730B5">
        <w:t>vylučuje z konceptu zvláštního užívání dálnice, silnice nebo místní komunikace provádění stavebních prací v případech, kdy tyto práce podléhají povolení záměru podle nového stavebního zákona (nebude tedy zapotřebí povolení zvláštního užívání pozemních komunikací), a</w:t>
      </w:r>
    </w:p>
    <w:p w14:paraId="74E2A819" w14:textId="77777777" w:rsidR="00133AC8" w:rsidRPr="003730B5" w:rsidRDefault="00133AC8" w:rsidP="00133AC8">
      <w:pPr>
        <w:pStyle w:val="Odstavecseseznamem"/>
        <w:widowControl w:val="0"/>
        <w:numPr>
          <w:ilvl w:val="0"/>
          <w:numId w:val="51"/>
        </w:numPr>
        <w:autoSpaceDE w:val="0"/>
        <w:autoSpaceDN w:val="0"/>
        <w:adjustRightInd w:val="0"/>
        <w:spacing w:after="120"/>
      </w:pPr>
      <w:r w:rsidRPr="003730B5">
        <w:t>zmenšuje silniční ochranné pásmo dálnic, které bude končit ve vzdálenosti 50 m od osy přilehlého jízdního pásu dálnice nebo od osy větvě její křižovatky s jinou pozemní komunikací (v současnosti činí tato vzdálenost 100 m); rozsah ochranného pásma dálnic pro účely regulace reklamních zařízení zůstává návrhem zákona nedotčen a bude i nadále činit 250 m.</w:t>
      </w:r>
    </w:p>
    <w:p w14:paraId="3657AF62" w14:textId="77777777" w:rsidR="00133AC8" w:rsidRPr="003730B5" w:rsidRDefault="00133AC8" w:rsidP="00133AC8">
      <w:pPr>
        <w:widowControl w:val="0"/>
        <w:autoSpaceDE w:val="0"/>
        <w:autoSpaceDN w:val="0"/>
        <w:adjustRightInd w:val="0"/>
        <w:spacing w:after="120"/>
        <w:rPr>
          <w:u w:val="single"/>
        </w:rPr>
      </w:pPr>
      <w:r w:rsidRPr="003730B5">
        <w:rPr>
          <w:u w:val="single"/>
        </w:rPr>
        <w:t>Nový stavební zákon</w:t>
      </w:r>
    </w:p>
    <w:p w14:paraId="5CF01672" w14:textId="77777777" w:rsidR="00133AC8" w:rsidRPr="003730B5" w:rsidRDefault="00133AC8" w:rsidP="00133AC8">
      <w:pPr>
        <w:widowControl w:val="0"/>
        <w:autoSpaceDE w:val="0"/>
        <w:autoSpaceDN w:val="0"/>
        <w:adjustRightInd w:val="0"/>
        <w:spacing w:after="120"/>
      </w:pPr>
      <w:r w:rsidRPr="003730B5">
        <w:t xml:space="preserve">Změnovým zákonem k novému stavebnímu zákonu došlo ke zrušení § 25 odst. 6 písm. d) zákona o pozemních komunikacích, dle něhož je zvláštním užíváním dálnice, silnice a místní komunikace rovněž umístění inženýrských sítí a jiných nadzemních nebo podzemních vedení </w:t>
      </w:r>
      <w:r w:rsidRPr="003730B5">
        <w:lastRenderedPageBreak/>
        <w:t xml:space="preserve">všeho druhu v silničním pozemku, na něm nebo na mostních objektech. Tato změna však nebyla promítnuta do § 25 odst. 1 zákona o pozemních komunikacích, dle něhož se souhlas vlastníka se zvláštním užíváním podle odstavce 6 písm. d) nevyžaduje v případě, že se jedná o veřejně prospěšnou stavbu. Odkaz v § 25 odst. 1 zákona o pozemních komunikacích na vypuštěné ustanovení tak lze rovněž vypustit. </w:t>
      </w:r>
    </w:p>
    <w:p w14:paraId="0199F713" w14:textId="77777777" w:rsidR="00133AC8" w:rsidRPr="003730B5" w:rsidRDefault="00133AC8" w:rsidP="00133AC8">
      <w:pPr>
        <w:widowControl w:val="0"/>
        <w:autoSpaceDE w:val="0"/>
        <w:autoSpaceDN w:val="0"/>
        <w:adjustRightInd w:val="0"/>
        <w:spacing w:after="120"/>
      </w:pPr>
      <w:r w:rsidRPr="003730B5">
        <w:t xml:space="preserve">Stejně tak je překonáno zmocňovací ustanovení obsažené v § 46 odst. 3 zákona o pozemních komunikacích, dle něhož má Ministerstvo pro místní rozvoj vydat vyhlášku k provedení § 16 odst. 3 zákona o pozemních komunikacích, tedy vyhlášku stanovící obecné technické požadavky pro stavbu dálnice, silnice a místní komunikace. Ustanovení § 46 odst. 3 bylo do zákona o pozemních komunikacích vloženo novelou nového stavebního zákona a souvisejících zákonů, jež byla projednávána jako sněmovní tisk 330. Uvedené ustanovení však lze vypustit, jelikož dle § 46 odst. 2 zákona o pozemních komunikacích přísluší kompetence k vydání dotčené vyhlášky Ministerstvu dopravy. </w:t>
      </w:r>
    </w:p>
    <w:p w14:paraId="0AA83759" w14:textId="77777777" w:rsidR="00133AC8" w:rsidRPr="003730B5" w:rsidRDefault="00133AC8" w:rsidP="00133AC8">
      <w:pPr>
        <w:widowControl w:val="0"/>
        <w:autoSpaceDE w:val="0"/>
        <w:autoSpaceDN w:val="0"/>
        <w:adjustRightInd w:val="0"/>
        <w:spacing w:after="120"/>
      </w:pPr>
      <w:r w:rsidRPr="003730B5">
        <w:t>Podle § 32 odst. 1 zákona o pozemních komunikacích lze v silničních ochranných pásmech provádět stavby a nestavební záměry pouze na základě povolení příslušného stavebního úřadu. Tato formulace dotčeného ustanovení vyplývá ze změnového zákona k novému stavebnímu zákonu. Této formulaci však neodpovídá znění skutkových podstat přestupků navazujících na § 32 odst. 1 zákona o pozemních komunikacích, které jsou zakotveny v § 42a odst. 1 písm. n) a § 42b odst. 1 písm. n) stejného zákona (dle nich spočívá přestupek v provádění stavby nebo „terénní úpravy“ v silničním ochranném pásmu bez povolení). Znění skutkových podstat přestupků je proto třeba upravit.</w:t>
      </w:r>
    </w:p>
    <w:p w14:paraId="72600196" w14:textId="77777777" w:rsidR="00133AC8" w:rsidRPr="003730B5" w:rsidRDefault="00133AC8" w:rsidP="00133AC8">
      <w:pPr>
        <w:widowControl w:val="0"/>
        <w:autoSpaceDE w:val="0"/>
        <w:autoSpaceDN w:val="0"/>
        <w:adjustRightInd w:val="0"/>
        <w:spacing w:after="120"/>
      </w:pPr>
      <w:r w:rsidRPr="003730B5">
        <w:t xml:space="preserve">V návaznosti na přijetí nového stavebního zákona dochází k dílčím úpravám zákona o pozemních komunikacích, které spočívají </w:t>
      </w:r>
    </w:p>
    <w:p w14:paraId="6829BBEE" w14:textId="77777777" w:rsidR="00133AC8" w:rsidRPr="003730B5" w:rsidRDefault="00133AC8" w:rsidP="00133AC8">
      <w:pPr>
        <w:pStyle w:val="Odstavecseseznamem"/>
        <w:widowControl w:val="0"/>
        <w:numPr>
          <w:ilvl w:val="0"/>
          <w:numId w:val="52"/>
        </w:numPr>
        <w:autoSpaceDE w:val="0"/>
        <w:autoSpaceDN w:val="0"/>
        <w:adjustRightInd w:val="0"/>
        <w:spacing w:after="120"/>
      </w:pPr>
      <w:r w:rsidRPr="003730B5">
        <w:t xml:space="preserve">ve vypuštění obsoletního odkazu na ustanovení, které bylo zrušeno a týkalo se zvláštního užívání pozemních komunikací umístněním inženýrských sítí a jiných nadzemních i podzemních vedení, </w:t>
      </w:r>
    </w:p>
    <w:p w14:paraId="241B995E" w14:textId="77777777" w:rsidR="00133AC8" w:rsidRPr="003730B5" w:rsidRDefault="00133AC8" w:rsidP="00133AC8">
      <w:pPr>
        <w:pStyle w:val="Odstavecseseznamem"/>
        <w:widowControl w:val="0"/>
        <w:numPr>
          <w:ilvl w:val="0"/>
          <w:numId w:val="52"/>
        </w:numPr>
        <w:autoSpaceDE w:val="0"/>
        <w:autoSpaceDN w:val="0"/>
        <w:adjustRightInd w:val="0"/>
        <w:spacing w:after="120"/>
      </w:pPr>
      <w:r w:rsidRPr="003730B5">
        <w:t>ve zrušení obsoletního zmocňovacího ustanovení pro Ministerstvo pro místní rozvoj, které předpokládalo, že toto ministerstvo vydá vyhlášku upravující obecné technické požadavky pro stavbu dálnice, silnice a místní komunikace (tato kompetence bude příslušet Ministerstvu dopravy) a</w:t>
      </w:r>
    </w:p>
    <w:p w14:paraId="51D760F2" w14:textId="77777777" w:rsidR="00133AC8" w:rsidRPr="003730B5" w:rsidRDefault="00133AC8" w:rsidP="00133AC8">
      <w:pPr>
        <w:pStyle w:val="Odstavecseseznamem"/>
        <w:widowControl w:val="0"/>
        <w:numPr>
          <w:ilvl w:val="0"/>
          <w:numId w:val="52"/>
        </w:numPr>
        <w:autoSpaceDE w:val="0"/>
        <w:autoSpaceDN w:val="0"/>
        <w:adjustRightInd w:val="0"/>
        <w:spacing w:after="120"/>
      </w:pPr>
      <w:r w:rsidRPr="003730B5">
        <w:t>v precizaci skutkové podstaty přestupku, která navazuje na zákaz provádět stavby a nestavební záměry v silničních ochranných pásmech bez povolení silničního správního úřadu.</w:t>
      </w:r>
    </w:p>
    <w:p w14:paraId="4EAF0DCA" w14:textId="77777777" w:rsidR="00133AC8" w:rsidRPr="003730B5" w:rsidRDefault="00133AC8" w:rsidP="00133AC8">
      <w:pPr>
        <w:widowControl w:val="0"/>
        <w:autoSpaceDE w:val="0"/>
        <w:autoSpaceDN w:val="0"/>
        <w:adjustRightInd w:val="0"/>
        <w:spacing w:after="120"/>
        <w:rPr>
          <w:u w:val="single"/>
        </w:rPr>
      </w:pPr>
      <w:r w:rsidRPr="003730B5">
        <w:rPr>
          <w:u w:val="single"/>
        </w:rPr>
        <w:t>Kontrolní vážení</w:t>
      </w:r>
    </w:p>
    <w:p w14:paraId="2CB0CB1C" w14:textId="77777777" w:rsidR="00133AC8" w:rsidRPr="003730B5" w:rsidRDefault="00133AC8" w:rsidP="00133AC8">
      <w:pPr>
        <w:widowControl w:val="0"/>
        <w:autoSpaceDE w:val="0"/>
        <w:autoSpaceDN w:val="0"/>
        <w:adjustRightInd w:val="0"/>
        <w:spacing w:after="120"/>
      </w:pPr>
      <w:r w:rsidRPr="003730B5">
        <w:t xml:space="preserve">Podle § 38a zákona o pozemních komunikacích se na dálnicích, silnicích a místních komunikacích provádí kontrolní vážení a měření vozidel spadajících do kategorie M2, M3, N1, N2, N3, T, C, O, R, S nebo SS nebo jízdních souprav tvořených těmito vozidly. Kontrolní vážení může zahrnovat kontrolu hmotnosti vozidla nebo jízdní soupravy, kontrolu poměru hmotností vozidel v jízdní soupravě, kontrolu rozložení hmotnosti na nápravy, skupiny náprav, kola nebo skupiny kol, kontrolu rozměrů vozidla nebo jízdní soupravy včetně nákladu nebo kontrolu dodržení podmínek spojitelnosti vozidel v jízdní soupravu. Zákon přitom rozlišuje 2 kategorie kontrolního vážení, vysokorychlostní a nízkorychlostní. Prvně zmiňované kontrolní vážení je prováděno nepřenosnými vysokorychlostními vahami, při kterém nedochází k odklonění vozidla z provozu. Druhá kategorie kontrolního vážení naopak předpokládá odklonění vozidla z provozu. </w:t>
      </w:r>
    </w:p>
    <w:p w14:paraId="156CCB04" w14:textId="77777777" w:rsidR="00133AC8" w:rsidRPr="003730B5" w:rsidRDefault="00133AC8" w:rsidP="00133AC8">
      <w:pPr>
        <w:widowControl w:val="0"/>
        <w:autoSpaceDE w:val="0"/>
        <w:autoSpaceDN w:val="0"/>
        <w:adjustRightInd w:val="0"/>
        <w:spacing w:after="120"/>
      </w:pPr>
      <w:r w:rsidRPr="003730B5">
        <w:t xml:space="preserve">Podle platné právní úpravy obsažené v § 38a odst. 3 a 4 zákona o pozemních komunikacích zajišťuje kontrolní vážení vlastník pozemní komunikace nebo jím pověřená osoba, z čehož je </w:t>
      </w:r>
      <w:r w:rsidRPr="003730B5">
        <w:lastRenderedPageBreak/>
        <w:t xml:space="preserve">však stanovena výjimka pro silnice I. třídy. U těchto silnic zajišťuje kontrolní vážení kraj ve svém územním obvodu se souhlasem vlastníka pozemní komunikace nebo jím pověřená osoba. V aplikační praxi se tato nekoncepční výjimka neosvědčila, kdy kontrolní vážení na silnicích I. třídy není realizováno v dostačujícím rozsahu a odpovědnost za jeho zajištění by měla být svěřena vlastníkovi pozemní komunikace shodně, jako je tomu v případě všech ostatních kategorií pozemních komunikací. </w:t>
      </w:r>
    </w:p>
    <w:p w14:paraId="09B503C4" w14:textId="77777777" w:rsidR="00133AC8" w:rsidRPr="003730B5" w:rsidRDefault="00133AC8" w:rsidP="00133AC8">
      <w:pPr>
        <w:widowControl w:val="0"/>
        <w:autoSpaceDE w:val="0"/>
        <w:autoSpaceDN w:val="0"/>
        <w:adjustRightInd w:val="0"/>
        <w:spacing w:after="120"/>
      </w:pPr>
      <w:r w:rsidRPr="003730B5">
        <w:t xml:space="preserve">Ustanovení § 43 odst. 3 zákona o pozemních komunikacích stanoví zvláštní pravidla rozdělení příjmů z pokut uložených provozovatelům vozidel nebo jízdních souprav za přestupky spočívající v provozování nadměrného vozidla, u něhož nebylo zvláštní užívání pozemní komunikace povoleno silničním správním úřadem. Příjmy z těchto pokut jsou ze 40 % příjmem vlastníka pozemní komunikace, na níž bylo kontrolní vážení provedeno (v případě pozemní komunikace ve vlastnictví státu Státního fondu dopravní infrastruktury), ze 45 % příjmem kraje, v jehož územním obvodu bylo kontrolní vážení provedeno, a z 15 % příjmem rozpočtu, ze kterého je hrazena činnost orgánu, který pokutu uložil. Uvedená proporce mezi kraji a orgány projednávajícími předmětné přestupky, tedy v první instanci obecními úřady obcí s rozšířenou působností, není nastavena spravedlivě, a to v neprospěch obecních úřadů obcí s rozšířenou působností. Je třeba zvýšit finanční zainteresovanost obecních úřadů obcí s rozšířenou působností na příjmech z vybraných pokut, a to s ohledem na vysokou míru pracnosti dopadající na tyto orgány, zejména v případě velkého počtu řízení vedených v návaznosti na provedení vysokorychlostních vážení. K úpravě předmětného poměru lze přistoupit též s ohledem na skutečnost, že kraje - jak je uvedeno výše - již nebudou nadále zajišťovat kontrolní vážení na silnicích I. třídy. Stávající podíl vlastníků pozemních komunikací, jimiž mohou být i kraje, v rozsahu 40 % příjmů z pokut přitom měnit není třeba, jelikož tento příjem směřuje k úhradě nákladů na zajištění kontrolního vážení a současně také do dalšího rozvoje a obnovy vlastněných pozemních komunikací. </w:t>
      </w:r>
    </w:p>
    <w:p w14:paraId="005E293C" w14:textId="279B0302" w:rsidR="00133AC8" w:rsidRPr="003730B5" w:rsidRDefault="00133AC8" w:rsidP="00133AC8">
      <w:pPr>
        <w:widowControl w:val="0"/>
        <w:autoSpaceDE w:val="0"/>
        <w:autoSpaceDN w:val="0"/>
        <w:adjustRightInd w:val="0"/>
        <w:spacing w:after="120"/>
      </w:pPr>
      <w:r w:rsidRPr="003730B5">
        <w:t xml:space="preserve">V návaznosti na provádění kontrolních vážení dochází k zjištění velkého množství přestupků provozovatelů vozidel nebo jízdních souprav spočívajících v provozování přetíženého vozidla, u něhož nebylo zvláštní užívání pozemní komunikace povoleno rozhodnutím silničního správního úřadu. Významnou úsporu personálních, finančních a administrativních nákladů na straně orgánů vedoucích dotčená přestupková řízení zakládá vyřešení těchto přestupků příkazem ve smyslu § 90 zákona o odpovědnosti za přestupky a řízení o nich. Ustanovení § 43 odst. 1 zákona o pozemních komunikacích však stanoví pravidla vedoucí k vyměření pokut v konkrétní výši, odvislé od rozsahu překročení největší povolené hmotnosti vozidla nebo jízdní soupravy. Výše pokuty uložené příkazem je tak stejná jako výše pokuty uložené ve standardním přestupkovém řízení. Je však účelné motivovat přestupce k tomu, aby přestupek „vyřešili“ bez podání odporu, a umožnit tak vyšší míru automatizace souvisejících procesů, což stávající právní úprava neumožňuje. </w:t>
      </w:r>
    </w:p>
    <w:p w14:paraId="37608AA9" w14:textId="77777777" w:rsidR="00133AC8" w:rsidRPr="003730B5" w:rsidRDefault="00133AC8" w:rsidP="00133AC8">
      <w:pPr>
        <w:widowControl w:val="0"/>
        <w:autoSpaceDE w:val="0"/>
        <w:autoSpaceDN w:val="0"/>
        <w:adjustRightInd w:val="0"/>
        <w:spacing w:after="120"/>
      </w:pPr>
      <w:r w:rsidRPr="003730B5">
        <w:t>Stávající právní úprava je rovněž nedostačující v tom, že přestupek spočívající v provozování nadměrného vozidla, u něhož nebylo zvláštní užívání pozemní komunikace povoleno povolením silničního správního úřadu, dopadá toliko na právnické a podnikající fyzické osoby. Policie České republiky přitom kontaktovala předkladatele s legislativním podnětem směřujícím k rozšíření adresátů této právní úpravy rovněž na fyzické osoby nepodnikající. V aplikační praxi se totiž začaly objevovat případy, kdy u vozidel registrovaných v cizině došlo k účelovému zápisu fyzických osob coby jejich provozovatelů. Jde přitom nejčastěji o motorová vozidla konstruovaná pro přepravu nákladů s největší povolenou hmotností vozidla převyšující 12 tun. Jednání těchto osob je účelové a směřující k obcházení platné právní úpravy. Je tak třeba zabezpečit i postih těchto osob, poškozují-li nadměrnými vozidly pozemní komunikace nebo ohrožují-li bezpečnost provozu na nich.</w:t>
      </w:r>
    </w:p>
    <w:p w14:paraId="0DB44127" w14:textId="77777777" w:rsidR="00133AC8" w:rsidRPr="003730B5" w:rsidRDefault="00133AC8" w:rsidP="00133AC8">
      <w:pPr>
        <w:widowControl w:val="0"/>
        <w:autoSpaceDE w:val="0"/>
        <w:autoSpaceDN w:val="0"/>
        <w:adjustRightInd w:val="0"/>
        <w:spacing w:after="120"/>
      </w:pPr>
      <w:r w:rsidRPr="003730B5">
        <w:t xml:space="preserve">Návrh zákona posiluje princip, dle něhož kontrolní vážení vozidel na pozemních komunikacích </w:t>
      </w:r>
      <w:r w:rsidRPr="003730B5">
        <w:lastRenderedPageBreak/>
        <w:t xml:space="preserve">zajišťuje vlastník pozemní komunikace. Dosavadní výjimka z tohoto pravidla, dle níž zajištuje vážení na silnicích I. třídy kraj, se tudíž navrhuje zrušit. </w:t>
      </w:r>
    </w:p>
    <w:p w14:paraId="5734292B" w14:textId="77777777" w:rsidR="00133AC8" w:rsidRPr="003730B5" w:rsidRDefault="00133AC8" w:rsidP="00133AC8">
      <w:pPr>
        <w:widowControl w:val="0"/>
        <w:autoSpaceDE w:val="0"/>
        <w:autoSpaceDN w:val="0"/>
        <w:adjustRightInd w:val="0"/>
        <w:spacing w:after="120"/>
      </w:pPr>
      <w:r w:rsidRPr="003730B5">
        <w:t xml:space="preserve">Navrhuje se též spravedlivější rozdělení příjmů z pokut uložených provozovatelům vozidel nebo jízdních souprav za přestupky spočívající v provozování nadměrných vozidel. Větší část těchto příjmů (30 % místo stávajících 15 %), na úkor krajů, bude přiznána obecním úřadům obcí s rozšířenou působností, které vedou příslušná správní řízení a ukládají pokuty za spáchané přestupky.  </w:t>
      </w:r>
    </w:p>
    <w:p w14:paraId="071C32B6" w14:textId="77777777" w:rsidR="00133AC8" w:rsidRPr="003730B5" w:rsidRDefault="00133AC8" w:rsidP="00133AC8">
      <w:pPr>
        <w:widowControl w:val="0"/>
        <w:autoSpaceDE w:val="0"/>
        <w:autoSpaceDN w:val="0"/>
        <w:adjustRightInd w:val="0"/>
        <w:spacing w:after="120"/>
      </w:pPr>
      <w:r w:rsidRPr="003730B5">
        <w:t>Pokud jde o přestupky provozovatelů vozidel nebo jízdních souprav spočívající v provozování přetížených vozidel bez odpovídajícího povolení zvláštního užívání pozemní komunikace, zvyšuje se motivace k jejich „vyřízení“ příkazem, bez podání odporu, a to tím, že výměra pokuty ukládané příkazem bude pevně stanovena coby poloviční oproti výměře pokuty ukládané ve „standardním“ správním řízení. Vedle toho se nově umožní postih i nepodnikajících fyzických osob coby provozovatelů nadměrných vozidel nebo jízdních souprav, a to proto, aby stávající právní úprava nemohla být obcházena.</w:t>
      </w:r>
    </w:p>
    <w:p w14:paraId="5FD22CA8" w14:textId="77777777" w:rsidR="00133AC8" w:rsidRPr="003730B5" w:rsidRDefault="00133AC8" w:rsidP="00133AC8">
      <w:pPr>
        <w:widowControl w:val="0"/>
        <w:autoSpaceDE w:val="0"/>
        <w:autoSpaceDN w:val="0"/>
        <w:adjustRightInd w:val="0"/>
        <w:spacing w:after="120"/>
        <w:rPr>
          <w:u w:val="single"/>
        </w:rPr>
      </w:pPr>
      <w:r w:rsidRPr="003730B5">
        <w:rPr>
          <w:u w:val="single"/>
        </w:rPr>
        <w:t xml:space="preserve">Součásti pozemních komunikací  </w:t>
      </w:r>
    </w:p>
    <w:p w14:paraId="1D08203F" w14:textId="77777777" w:rsidR="00133AC8" w:rsidRPr="003730B5" w:rsidRDefault="00133AC8" w:rsidP="00133AC8">
      <w:pPr>
        <w:widowControl w:val="0"/>
        <w:autoSpaceDE w:val="0"/>
        <w:autoSpaceDN w:val="0"/>
        <w:adjustRightInd w:val="0"/>
        <w:spacing w:after="120"/>
      </w:pPr>
      <w:r w:rsidRPr="003730B5">
        <w:t>Podle § 12 odst. 3 zákona o pozemních komunikacích jsou součástí pozemních komunikací, kromě jiného, sedimentační nádrže. Tyto nádrže slouží k zadržení pevných složek odváděných srážkových vod, přičemž možnosti zdržení průtoku v nich jsou značně omezené. Z technického hlediska nelze sedimentační nádrže považovat za retenční nádrže, které slouží výlučně pro svod vod z pozemních komunikací. Jejich význam přitom narůstá v důsledku změn klimatu a zvýšených nároků na ochranu životního prostředí, včetně ochrany vod. Je žádoucí v právní úpravě zakotvit, kdo bude majetkovým správcem retenčních nádrží, jež jsou při výstavbě pozemních komunikací v značeném rozsahu vyžadovány.</w:t>
      </w:r>
    </w:p>
    <w:p w14:paraId="5BC9C3FD" w14:textId="77777777" w:rsidR="00133AC8" w:rsidRPr="003730B5" w:rsidRDefault="00133AC8" w:rsidP="00133AC8">
      <w:pPr>
        <w:widowControl w:val="0"/>
        <w:autoSpaceDE w:val="0"/>
        <w:autoSpaceDN w:val="0"/>
        <w:adjustRightInd w:val="0"/>
        <w:spacing w:after="120"/>
      </w:pPr>
      <w:r w:rsidRPr="003730B5">
        <w:t>Návrh zákona doplňuje stávající, nedostačující právní úpravu definující součásti pozemních komunikací tak, aby vedle sedimentačních nádrží se za tyto součásti považovaly i retenční nádrže.</w:t>
      </w:r>
    </w:p>
    <w:p w14:paraId="6670961A" w14:textId="401BE354" w:rsidR="00133AC8" w:rsidRPr="003730B5" w:rsidRDefault="00133AC8" w:rsidP="00133AC8">
      <w:pPr>
        <w:widowControl w:val="0"/>
        <w:spacing w:after="120"/>
        <w:outlineLvl w:val="2"/>
        <w:rPr>
          <w:b/>
        </w:rPr>
      </w:pPr>
      <w:r w:rsidRPr="003730B5">
        <w:rPr>
          <w:b/>
        </w:rPr>
        <w:t>K čl. </w:t>
      </w:r>
      <w:r w:rsidR="00F12C3E" w:rsidRPr="003730B5">
        <w:rPr>
          <w:b/>
        </w:rPr>
        <w:t>XXIX</w:t>
      </w:r>
    </w:p>
    <w:p w14:paraId="083B5172" w14:textId="4E4C087A"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1 (poznám</w:t>
      </w:r>
      <w:r w:rsidR="007D4378" w:rsidRPr="003730B5">
        <w:rPr>
          <w:rFonts w:ascii="Times New Roman" w:hAnsi="Times New Roman"/>
          <w:color w:val="auto"/>
          <w:sz w:val="24"/>
        </w:rPr>
        <w:t>ka</w:t>
      </w:r>
      <w:r w:rsidRPr="003730B5">
        <w:rPr>
          <w:rFonts w:ascii="Times New Roman" w:hAnsi="Times New Roman"/>
          <w:color w:val="auto"/>
          <w:sz w:val="24"/>
        </w:rPr>
        <w:t xml:space="preserve"> pod čarou č. 1)</w:t>
      </w:r>
    </w:p>
    <w:p w14:paraId="66B0286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souvislosti s přijetím směrnice (EU) 2022/362 se navrhuje úprava poznámky pod čarou č. 1 odkazující na předpisy Evropské unie, které zákon o pozemních komunikacích zapracovává.</w:t>
      </w:r>
    </w:p>
    <w:p w14:paraId="0F0AD4C8"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2 (§ 12 odst. 3)</w:t>
      </w:r>
    </w:p>
    <w:p w14:paraId="2D91BC92"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Navrhuje se, aby součástí dálnice, silnice nebo místní komunikace byly i retenční nádrže. V důsledku změn klimatu a v důsledku zvýšených požadavků na ochranu životního prostředí, včetně ochrany vod, je v posledních letech nezbytné přistupovat k realizaci retenčních nádrží v rámci vodního hospodářství za účelem zajištění odvodu srážkových vod z pozemní komunikace. Nezbytné je realizovat i velké retenční nádrže, neboť v současné době není v mnoha případech možné realizovat svádění srážkových vod přímo do vodních toků, a to s ohledem na velký objem srážkových vod. Retenční nádrže slouží jako zdrže pro zadržení přívalových dešťů a pro regulaci odtoku do vodních toků, které jsou mnohdy nízkoprůtočné a nebylo by možné je bez retenčních nádrží využít pro odvod srážkových vod. </w:t>
      </w:r>
    </w:p>
    <w:p w14:paraId="4AFC048E"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Zákon již nyní stanoví, že součástí dálnice, silnice nebo místní komunikace jsou sedimentační nádrže. Sedimentační nádrže však slouží k zadržení pevných složek odváděných srážkových vod a možnosti zdržení průtoku v nich jsou značně omezené. Nelze tak zaměňovat sedimentační nádrže s nádržemi retenčními. Navrhuje se proto výslovně uvedení retenčních </w:t>
      </w:r>
      <w:r w:rsidRPr="003730B5">
        <w:rPr>
          <w:rFonts w:ascii="Times New Roman" w:hAnsi="Times New Roman"/>
          <w:color w:val="auto"/>
          <w:sz w:val="24"/>
        </w:rPr>
        <w:lastRenderedPageBreak/>
        <w:t>nádrží mezi součásti dálnice, silnice nebo místní komunikace.</w:t>
      </w:r>
    </w:p>
    <w:p w14:paraId="41479B6B"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3 (§ 20a odst. 1 písm. n))</w:t>
      </w:r>
    </w:p>
    <w:p w14:paraId="73223DEC"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Stejně jako zpoplatnění nepodléhá užití zpoplatněné pozemní komunikace silničním motorovým vozidlem správce zpoplatněné pozemní komunikace, nemělo by zpoplatnění podléhat ani užití takovéto komunikace koncesionářem, tedy subjektem zajišťujícím financování, výstavbu, provoz a údržbu úseku dálnice nebo silnice I. třídy podle parametrů stanovených koncesionářskou smlouvou. Koncesionářem se přitom myslí osoba ve smyslu legislativní zkratky zavedené v § 18a zákona o pozemních komunikacích. </w:t>
      </w:r>
    </w:p>
    <w:p w14:paraId="03AE6FB7"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4 (§ 20a odst. 1 písm. o))</w:t>
      </w:r>
    </w:p>
    <w:p w14:paraId="56005F06"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Ustanovení § 20a odst. 1 zákona o pozemních komunikacích jako jeden z důvodů osvobození od zpoplatnění užití zpoplatněné pozemní komunikace silničním motorovým vozidlem uvádí užití takovéto komunikace vozidlem používajícím jako palivo elektrickou energii nebo vodík, a to buď výlučně (vozidla s nulovými emisemi), nebo v kombinaci s jiným palivem, je-li hodnota emisí CO</w:t>
      </w:r>
      <w:r w:rsidRPr="003730B5">
        <w:rPr>
          <w:rFonts w:ascii="Times New Roman" w:hAnsi="Times New Roman"/>
          <w:color w:val="auto"/>
          <w:sz w:val="24"/>
          <w:vertAlign w:val="subscript"/>
        </w:rPr>
        <w:t>2</w:t>
      </w:r>
      <w:r w:rsidRPr="003730B5">
        <w:rPr>
          <w:rFonts w:ascii="Times New Roman" w:hAnsi="Times New Roman"/>
          <w:color w:val="auto"/>
          <w:sz w:val="24"/>
        </w:rPr>
        <w:t xml:space="preserve"> v kombinovaném provozu nejvýše 50 g/km (tzv. hybridní vozidla). Navržená právní úprava reaguje na čl. 7 odst. 9 směrnice o výběru poplatků za užívání pozemních komunikací vozidly upravující osvobození od povinnosti platit mýtné nebo časový poplatek, který neumožňuje osvobození hybridních vozidel od časového poplatku. Z tohoto důvodu tedy dochází k zúžení osvobození od zpoplatnění dle § 20a odst. 1 písm. o) zákona o pozemních komunikacích toliko na silniční motorová vozidla používající jako palivo výlučně elektrickou energii nebo vodík, činí-li největší povolená hmotnost vozidla nejvýše 3,5 tuny. </w:t>
      </w:r>
    </w:p>
    <w:p w14:paraId="674A5513"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5 (§ 21 odst. 2)</w:t>
      </w:r>
    </w:p>
    <w:p w14:paraId="29AEA953"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Aktuálně lze dle § 21 odst. 2 zákona o pozemních komunikacích časový poplatek uhradit na 1 rok, na 30 dnů, nebo na 10 dnů. Návrh zákona vymezení těchto období zásadně nemění, byť dochází k precizaci normativního textu v tom smyslu, že zmíněných 30 a 10 dnů představuje dny kalendářní (tomu nicméně odpovídá již stávající aplikační praxe). V návaznosti na čl. 7a odst. 3 směrnice o výběru poplatků za užívání pozemních komunikací, který požaduje, aby členské státy Evropské unie zavedly časový poplatek na dobu 1 dne, je stávající právní úprava doplněna o možnost uhradit časový poplatek na 1 kalendářní den. </w:t>
      </w:r>
    </w:p>
    <w:p w14:paraId="2CA28C73"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 xml:space="preserve">K bodu 6 (§ 21 odst. 2 písm. b)) </w:t>
      </w:r>
    </w:p>
    <w:p w14:paraId="72F2F39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Navrhuje se zkrácení období, ve kterém lze předem uhradit časový poplatek, a to ze stávajících 3 měsíců na 30 kalendářních dnů. Tato změna zohledňuje skutečnost, že ze strany uživatelů zpoplatněných pozemních komunikací byla možnost úhrady časového poplatku s tříměsíčním či dvouměsíčním předstihem využívána naprosto minimálně, přičemž tato změna přispěje ke zjednodušení administrace tohoto poplatku ze strany Státního fondu dopravní infrastruktury. </w:t>
      </w:r>
    </w:p>
    <w:p w14:paraId="6D76C8B5"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 xml:space="preserve">K bodům 7 až 9 (§ 21 odst. 3 až 8) </w:t>
      </w:r>
    </w:p>
    <w:p w14:paraId="00FEA91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Navržená ustanovení § 21 odst. 3 až 6 zákona o pozemních komunikacích stanoví sazby časového poplatku na 1 rok, 30 kalendářních dnů, 10 kalendářních dnů a 1 kalendářní den, přičemž navržený § 21 odst. 5 upravuje nižší sazby časového poplatku v případě hybridních vozidel (25 % sazeb relevantních pro nezvýhodněná vozidla) a navržený § 21 odst. 6 upravuje nižší sazby časového poplatku v případě vozidel poháněných zemním plynem nebo biometanem (50 % sazeb relevantních pro nezvýhodněná vozidla). Větší snížení sazeb časového poplatku u hybridních vozidel je odůvodněno nižšími emisemi CO</w:t>
      </w:r>
      <w:r w:rsidRPr="003730B5">
        <w:rPr>
          <w:rFonts w:ascii="Times New Roman" w:hAnsi="Times New Roman"/>
          <w:color w:val="auto"/>
          <w:sz w:val="24"/>
          <w:vertAlign w:val="subscript"/>
        </w:rPr>
        <w:t>2</w:t>
      </w:r>
      <w:r w:rsidRPr="003730B5">
        <w:rPr>
          <w:rFonts w:ascii="Times New Roman" w:hAnsi="Times New Roman"/>
          <w:color w:val="auto"/>
          <w:sz w:val="24"/>
        </w:rPr>
        <w:t xml:space="preserve"> těchto vozidel oproti vozidlům poháněným zemním plynem nebo biometanem. Současně však s ohledem na požadavky unijního práva nebylo možné ponechat stávající, úplné osvobození hybridních vozidel od zpoplatnění. Navržené snížení sazeb pro hybridní vozidla a vozidla poháněná zemním plynem nebo biometanem lze realizovat dle čl. 7gb odst. 2 pododst. 2 směrnice </w:t>
      </w:r>
      <w:r w:rsidRPr="003730B5">
        <w:rPr>
          <w:rFonts w:ascii="Times New Roman" w:hAnsi="Times New Roman"/>
          <w:color w:val="auto"/>
          <w:sz w:val="24"/>
        </w:rPr>
        <w:lastRenderedPageBreak/>
        <w:t xml:space="preserve">o výběru poplatků za užívání pozemních komunikací vozidly. Toto unijní ustanovení umožňuje členským státům Evropské unie při rozlišování časových poplatků podle environmentální výkonnosti vozidla u lehkých vozidel uplatňovat jiná kritéria výkonnosti z hlediska emisí nebo úrovně snížení než ta uvedená v odstavci 1 tohoto článku, nebo začlenění jiných nebo dodatečných kritérií, pokud to oznámí Evropské komisi nejméně 6 měsíců před zavedením tohoto rozlišení. Požadované oznámení Evropské komisi bude ve stanoveném termínu učiněno. </w:t>
      </w:r>
    </w:p>
    <w:p w14:paraId="44A9890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Navržená právní úprava dále respektuje požadavky unijního práva, které stanoví, že měsíční sazba časového poplatku nesmí překročit 19 % roční sazby, desetidenní sazba nesmí překročit 12 % roční sazby a denní sazba nesmí překročit 9 % roční sazby, přičemž návrh zákona stanoví předmětné sazby na uvedených limitech. </w:t>
      </w:r>
    </w:p>
    <w:p w14:paraId="36FAE228" w14:textId="55EE12B3"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Časový poplatek na 1 rok ve výši 2 300 Kč bude hrazen ode dne nabytí účinnosti navrženého zákona, tedy ode dne 1. </w:t>
      </w:r>
      <w:r w:rsidR="00820D28" w:rsidRPr="003730B5">
        <w:rPr>
          <w:rFonts w:ascii="Times New Roman" w:hAnsi="Times New Roman"/>
          <w:color w:val="auto"/>
          <w:sz w:val="24"/>
        </w:rPr>
        <w:t xml:space="preserve">3. </w:t>
      </w:r>
      <w:r w:rsidRPr="003730B5">
        <w:rPr>
          <w:rFonts w:ascii="Times New Roman" w:hAnsi="Times New Roman"/>
          <w:color w:val="auto"/>
          <w:sz w:val="24"/>
        </w:rPr>
        <w:t xml:space="preserve">2024, do konce roku 2024. Od této hodnoty se pak odvíjí i všechny ostatní sazby časového poplatku, ať již pro období kratší než 1 rok nebo pro zvýhodněná vozidla. </w:t>
      </w:r>
    </w:p>
    <w:p w14:paraId="51C2ED33" w14:textId="295049D3"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Od 1. </w:t>
      </w:r>
      <w:r w:rsidR="00D6156C" w:rsidRPr="003730B5">
        <w:rPr>
          <w:rFonts w:ascii="Times New Roman" w:hAnsi="Times New Roman"/>
          <w:color w:val="auto"/>
          <w:sz w:val="24"/>
        </w:rPr>
        <w:t>1.</w:t>
      </w:r>
      <w:r w:rsidRPr="003730B5">
        <w:rPr>
          <w:rFonts w:ascii="Times New Roman" w:hAnsi="Times New Roman"/>
          <w:color w:val="auto"/>
          <w:sz w:val="24"/>
        </w:rPr>
        <w:t xml:space="preserve"> 2025 a následně každoročně se pak uplatní automatický valorizační mechanismus, který zohlední ve výši časového poplatku úhrnný průměrný index růstu či poklesu spotřebitelských cen za období 1 roku a procentuální změnu délky dálnic v provozu za stejné období. Výsledky uplatnění tohoto valorizačního mechanismu, v podobě konkrétní výše sazeb časových poplatků, zveřejní Ministerstvo dopravy vždy do konce listopadu kalendářního roku, který předchází kalendářnímu roku, k jehož počátku budou sazby časového poplatku stanoveny. Pro případ, že by míra inflace, popřípadě deflace, přesáhla hranici 10 %, nebude nárůst či pokles úhrnného průměrného ročního indexu spotřebitelských cen za domácnosti celkem nad tuto hranici zohledněn. </w:t>
      </w:r>
    </w:p>
    <w:p w14:paraId="3E12A11C" w14:textId="082CF39B"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S ohledem na každoroční změny sazeb časového poplatku stanoví návrh zákona rovněž obecné pravidlo, z něhož lze dovodit, v jaké výši se má časový poplatek (ode dne 1. </w:t>
      </w:r>
      <w:r w:rsidR="00D6156C" w:rsidRPr="003730B5">
        <w:rPr>
          <w:rFonts w:ascii="Times New Roman" w:hAnsi="Times New Roman"/>
          <w:color w:val="auto"/>
          <w:sz w:val="24"/>
        </w:rPr>
        <w:t>1.</w:t>
      </w:r>
      <w:r w:rsidRPr="003730B5">
        <w:rPr>
          <w:rFonts w:ascii="Times New Roman" w:hAnsi="Times New Roman"/>
          <w:color w:val="auto"/>
          <w:sz w:val="24"/>
        </w:rPr>
        <w:t xml:space="preserve"> 2025, k němuž je nastavena účinnost tohoto pravidla) hradit. Hradit se má vždy ve výši, jaká „platila“ k 1. lednu kalendářního roku, v němž byla úhrada provedena. </w:t>
      </w:r>
    </w:p>
    <w:p w14:paraId="11119178"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10 (§ 21a odst. 4 písm. d))</w:t>
      </w:r>
    </w:p>
    <w:p w14:paraId="6A065ADE"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Vzhledem k tomu, že nově bude snížená sazba časového poplatku kromě vozidel poháněných zemním plynem nebo biometanem uplatňována též u hybridních vozidel, je nutno tuto skutečnost promítnout do § 21a odst. 4 písm. d) zákona o pozemních komunikacích upravujícího údaje zaznamenávané do evidence vozidel v systému časového zpoplatnění.</w:t>
      </w:r>
    </w:p>
    <w:p w14:paraId="10D8F249"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bodům 11 až 15 (§ 22 odst. 1)</w:t>
      </w:r>
    </w:p>
    <w:p w14:paraId="6DD382C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Stávající vnitrostátní úprava obsažená v § 22 odst. 1 zákona o pozemních komunikacích umožňuje návratnost nákladů vynaložených na zpoplatněné pozemní komunikace, nákladů vyvolaných znečištěním ovzduší z provozu vozidel v systému elektronického mýtného na zpoplatněných pozemních komunikacích a nákladů vyvolaných hlukem z provozu vozidel v systému elektronického mýtného na zpoplatněných pozemních komunikacích. Navrhovaná změna spočívá ve vymezení mýtného jakožto finančního prostředku k dosažení návratnosti nákladů vynaložených na zpoplatněné pozemní komunikace a externích nákladů, kdy kromě nákladů vyvolaných znečištěním ovzduší a hlukem, budou nově do mýtného zahrnuty i náklady vyvolané emisemi CO</w:t>
      </w:r>
      <w:r w:rsidRPr="003730B5">
        <w:rPr>
          <w:rFonts w:ascii="Times New Roman" w:hAnsi="Times New Roman"/>
          <w:color w:val="auto"/>
          <w:sz w:val="24"/>
          <w:vertAlign w:val="subscript"/>
        </w:rPr>
        <w:t>2</w:t>
      </w:r>
      <w:r w:rsidRPr="003730B5">
        <w:rPr>
          <w:rFonts w:ascii="Times New Roman" w:hAnsi="Times New Roman"/>
          <w:color w:val="auto"/>
          <w:sz w:val="24"/>
        </w:rPr>
        <w:t xml:space="preserve">. Výše uvedené respektuje vymezení mýtného dle směrnice o výběru poplatků za užívání pozemních komunikací vozidly, neboť tato směrnice mýtné člení na poplatek za pozemní komunikace (poplatek stanovený k dosažení návratnosti nákladů vzniklých v členském státě Evropské unie na stavbu, údržbu, provoz a rozvoj související s danými pozemními komunikacemi), poplatek za kongesci (není v České republice zaveden, což směrnice o výběru poplatků za užívání pozemních komunikací vozidly umožňuje) </w:t>
      </w:r>
      <w:r w:rsidRPr="003730B5">
        <w:rPr>
          <w:rFonts w:ascii="Times New Roman" w:hAnsi="Times New Roman"/>
          <w:color w:val="auto"/>
          <w:sz w:val="24"/>
        </w:rPr>
        <w:lastRenderedPageBreak/>
        <w:t>a poplatek za externí náklady (poplatek stanovený k dosažení návratnosti nákladů souvisejících se znečištěním ovzduší provozem, hlukem z provozu nebo emisemi CO</w:t>
      </w:r>
      <w:r w:rsidRPr="003730B5">
        <w:rPr>
          <w:rFonts w:ascii="Times New Roman" w:hAnsi="Times New Roman"/>
          <w:color w:val="auto"/>
          <w:sz w:val="24"/>
          <w:vertAlign w:val="subscript"/>
        </w:rPr>
        <w:t>2</w:t>
      </w:r>
      <w:r w:rsidRPr="003730B5">
        <w:rPr>
          <w:rFonts w:ascii="Times New Roman" w:hAnsi="Times New Roman"/>
          <w:color w:val="auto"/>
          <w:sz w:val="24"/>
        </w:rPr>
        <w:t xml:space="preserve"> z provozu). </w:t>
      </w:r>
    </w:p>
    <w:p w14:paraId="664C14B5"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Zavedení nové složky mýtného spočívající v zohlednění nákladů vyvolaných emisemi CO</w:t>
      </w:r>
      <w:r w:rsidRPr="003730B5">
        <w:rPr>
          <w:rFonts w:ascii="Times New Roman" w:hAnsi="Times New Roman"/>
          <w:color w:val="auto"/>
          <w:sz w:val="24"/>
          <w:vertAlign w:val="subscript"/>
        </w:rPr>
        <w:t>2</w:t>
      </w:r>
      <w:r w:rsidRPr="003730B5">
        <w:rPr>
          <w:rFonts w:ascii="Times New Roman" w:hAnsi="Times New Roman"/>
          <w:color w:val="auto"/>
          <w:sz w:val="24"/>
        </w:rPr>
        <w:t xml:space="preserve"> je výrazem důslednějšího uplatňování zásady „znečišťovatel platí“ a „uživatel platí“, na nichž je založeno výkonové zpoplatnění pozemních komunikací. Současně má přispět jako motivační faktor k pořizování vozidel s nízkými a nulovými emisemi.</w:t>
      </w:r>
    </w:p>
    <w:p w14:paraId="0FC3417E"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bodům 16 a 17 (§ 22 odst. 2)</w:t>
      </w:r>
    </w:p>
    <w:p w14:paraId="50B43B2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Změny v § 22 odst. 2 zákona o pozemních komunikacích souvisejí se zavedením nové složky mýtného spočívající v zohlednění nákladů vyvolaných emisemi CO</w:t>
      </w:r>
      <w:r w:rsidRPr="003730B5">
        <w:rPr>
          <w:rFonts w:ascii="Times New Roman" w:hAnsi="Times New Roman"/>
          <w:color w:val="auto"/>
          <w:sz w:val="24"/>
          <w:vertAlign w:val="subscript"/>
        </w:rPr>
        <w:t>2</w:t>
      </w:r>
      <w:r w:rsidRPr="003730B5">
        <w:rPr>
          <w:rFonts w:ascii="Times New Roman" w:hAnsi="Times New Roman"/>
          <w:color w:val="auto"/>
          <w:sz w:val="24"/>
        </w:rPr>
        <w:t xml:space="preserve"> při provozu vozidel v systému elektronického mýtného na zpoplatněných pozemních komunikacích. Sazby této části mýtného budou rozlišeny podle emisní třídy CO</w:t>
      </w:r>
      <w:r w:rsidRPr="003730B5">
        <w:rPr>
          <w:rFonts w:ascii="Times New Roman" w:hAnsi="Times New Roman"/>
          <w:color w:val="auto"/>
          <w:sz w:val="24"/>
          <w:vertAlign w:val="subscript"/>
        </w:rPr>
        <w:t>2</w:t>
      </w:r>
      <w:r w:rsidRPr="003730B5">
        <w:rPr>
          <w:rFonts w:ascii="Times New Roman" w:hAnsi="Times New Roman"/>
          <w:color w:val="auto"/>
          <w:sz w:val="24"/>
        </w:rPr>
        <w:t xml:space="preserve"> vozidla, jejíž určení provede v souladu s požadavky unijního práva provozovatel systému elektronického mýtného, který ji též zapíše v evidenci údajů o mýtném (viz navržený § 22c odst. 1 písm. c)). </w:t>
      </w:r>
    </w:p>
    <w:p w14:paraId="2D4EA389"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souvislosti se zavedením emisních tříd CO</w:t>
      </w:r>
      <w:r w:rsidRPr="003730B5">
        <w:rPr>
          <w:rFonts w:ascii="Times New Roman" w:hAnsi="Times New Roman"/>
          <w:color w:val="auto"/>
          <w:sz w:val="24"/>
          <w:vertAlign w:val="subscript"/>
        </w:rPr>
        <w:t>2</w:t>
      </w:r>
      <w:r w:rsidRPr="003730B5">
        <w:rPr>
          <w:rFonts w:ascii="Times New Roman" w:hAnsi="Times New Roman"/>
          <w:color w:val="auto"/>
          <w:sz w:val="24"/>
        </w:rPr>
        <w:t xml:space="preserve"> vyvstala též potřeba odlišit vymezení emisních tříd vozidel souvisejících s náklady vyvolanými znečištěním ovzduší z provozu vozidel v systému elektronického mýtného na zpoplatněných pozemních komunikacích od emisních tříd CO</w:t>
      </w:r>
      <w:r w:rsidRPr="003730B5">
        <w:rPr>
          <w:rFonts w:ascii="Times New Roman" w:hAnsi="Times New Roman"/>
          <w:color w:val="auto"/>
          <w:sz w:val="24"/>
          <w:vertAlign w:val="subscript"/>
        </w:rPr>
        <w:t>2</w:t>
      </w:r>
      <w:r w:rsidRPr="003730B5">
        <w:rPr>
          <w:rFonts w:ascii="Times New Roman" w:hAnsi="Times New Roman"/>
          <w:color w:val="auto"/>
          <w:sz w:val="24"/>
        </w:rPr>
        <w:t xml:space="preserve">. Ustanovení § 22 odst. 2 písm. a) zákona o pozemních komunikacích tedy nově výslovně stanoví, že půjde o emisní třídy EURO (byť o tom v aplikační praxi doposud nebyly spory). </w:t>
      </w:r>
    </w:p>
    <w:p w14:paraId="3CE47A1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 návrhu zákona přitom dochází ke zrušení kritéria pro rozlišování sazeb mýtného, jež bylo spojeno s obdobím dne, kdy byla zpoplatněná pozemní komunikace užita, neboť ve směrnici (EU) 2022/362 pro toto rozlišení již předkladatel nespatřuje právní základ, přičemž v příloze IIIb směrnice o výběru poplatků za užívání pozemních komunikací vozidly jsou společně stanoveny referenční hodnoty poplatků za externí náklady, které zahrnují náklady vyvolané znečištěním ovzduší a hlukem. </w:t>
      </w:r>
    </w:p>
    <w:p w14:paraId="242D7EFB"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 xml:space="preserve">K bodu 18 (§ 22 odst. 4) </w:t>
      </w:r>
    </w:p>
    <w:p w14:paraId="006D31D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S ohledem na skutečnost, že vozidla v systému elektronického mýtného používající jako palivo výlučně elektrickou energii nebo vodík nebo hybridní vozidla v systému elektronického mýtného nadále nebudou osvobozena od povinnosti hradit mýtné, neobstojí nadále právní úprava, dle níž vozidlo, které má přidělenu registrační značku elektrického vozidla, nemusí být pro účely kontroly vybaveno elektronickým palubním zařízením. </w:t>
      </w:r>
    </w:p>
    <w:p w14:paraId="781E941E"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bodům 19, 21 a 28 (§ 22c odst. 1 písm. c) a f) a § 22c odst. 7)</w:t>
      </w:r>
    </w:p>
    <w:p w14:paraId="482542E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Ustanovení § 22c odst. 1 vymezuje povinnosti provozovatele systému elektronického mýtného. Nově se navrhuje provozovateli systému elektronického mýtného uložit povinnost určit emisní třídu CO</w:t>
      </w:r>
      <w:r w:rsidRPr="003730B5">
        <w:rPr>
          <w:rFonts w:ascii="Times New Roman" w:hAnsi="Times New Roman"/>
          <w:color w:val="auto"/>
          <w:sz w:val="24"/>
          <w:vertAlign w:val="subscript"/>
        </w:rPr>
        <w:t>2</w:t>
      </w:r>
      <w:r w:rsidRPr="003730B5">
        <w:rPr>
          <w:rFonts w:ascii="Times New Roman" w:hAnsi="Times New Roman"/>
          <w:color w:val="auto"/>
          <w:sz w:val="24"/>
        </w:rPr>
        <w:t xml:space="preserve"> vozidla a zapsat ji v evidenci údajů o mýtném. Způsob určení emisní třídy CO</w:t>
      </w:r>
      <w:r w:rsidRPr="003730B5">
        <w:rPr>
          <w:rFonts w:ascii="Times New Roman" w:hAnsi="Times New Roman"/>
          <w:color w:val="auto"/>
          <w:sz w:val="24"/>
          <w:vertAlign w:val="subscript"/>
        </w:rPr>
        <w:t>2</w:t>
      </w:r>
      <w:r w:rsidRPr="003730B5">
        <w:rPr>
          <w:rFonts w:ascii="Times New Roman" w:hAnsi="Times New Roman"/>
          <w:color w:val="auto"/>
          <w:sz w:val="24"/>
        </w:rPr>
        <w:t xml:space="preserve"> vozidla bude dle požadavků unijního práva stanoven vyhláškou o užívání pozemních komunikací zpoplatněných mýtným.</w:t>
      </w:r>
    </w:p>
    <w:p w14:paraId="58837A0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Další nově zaváděná povinnost provozovatele systému elektronického mýtného provádí čl. 7j odst. 3 směrnice o výběru poplatků za užívání pozemních komunikací vozidly. Toto unijní ustanovení požaduje vydávání dokladu, v němž musí být uvedena celková částka mýtného, výše poplatku za pozemní komunikace a výše poplatku za externí náklady. Tuto povinnost nebude povinen provozovatel systému elektronického mýtného plnit ve dvou případech. Jednak pokud mu provozovatel vozidla v systému elektronického mýtného nebo jím zmocněná osoba sdělí, že vydání dokladu nepožaduje. Dále pak v případě uzavření smlouvy s poskytovatelem evropského mýtného, kdy tuto povinnost plní poskytovatel evropského mýtného (viz § 22e odst. 2 písm. d)).</w:t>
      </w:r>
    </w:p>
    <w:p w14:paraId="46EDDCB3"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lastRenderedPageBreak/>
        <w:t>K bodům 20, 22 až 24, 27 a 31 (§ 22c odst. 1 písm. e), g), i) a j), § 22c odst. 4 písm. b) a § 22h odst. 1 písm. g))</w:t>
      </w:r>
    </w:p>
    <w:p w14:paraId="2E389DA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návaznosti na navržené vložení nových povinností do § 22c odst. 1 zákona o pozemních komunikacích a změny s tím související dochází k aktualizaci odkazů na jednotlivá písmena v § 22c.</w:t>
      </w:r>
    </w:p>
    <w:p w14:paraId="4D05460B"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bodům 25 a 26 (§ 22c odst. 3)</w:t>
      </w:r>
    </w:p>
    <w:p w14:paraId="5E5CF22E"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Je navrženo zefektivnění poskytování údajů z evidence údajů o mýtném. Zatímco platná právní úprava předpokládá poskytování těchto údajů na základě samostatné písemné žádosti dotčeného orgánu státní správy, předložený návrh zákona počítá s povinností provozovatele systému elektronického mýtného zajistit některým z těchto orgánů dálkový a nepřetržitý přístup k údajům podle § 22c odst. 2 písm. a) a b) zákona o pozemních komunikacích, tedy k údajům o provozovatelích vozidel v systému elektronického mýtného a jejich vlastnících, o poskytovatelích evropského mýtného, a o vozidlech, která byla zaevidována do systému elektronického mýtného. Získávání těchto údajů bude tudíž pro zúčastněné subjekty méně administrativně náročné. Jde přitom o ty údaje, které jsou v současnosti ve velkém rozsahu vyžadovány od provozovatele systému elektronického mýtného, zejména silničními správními úřady vedoucími přestupková řízení navazující na zjištění z vysokorychlostních vážení. Ostatní, značně různorodé údaje podle § 22c odst. 2 písm. c) až f) je vhodné poskytovat dotčeným orgánům nadále na základě písemné žádosti. Tyto údaje nejsou již tak často vyžadovány, přičemž jejich poskytování dálkovým a nepřetržitým přístupem by bylo z technického hlediska složité zabezpečit a bylo by též více finančně nákladné.   </w:t>
      </w:r>
    </w:p>
    <w:p w14:paraId="2EC3B4EA"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bodům 29 a 30 (§ 22e odst. 2 písm. c) a d))</w:t>
      </w:r>
    </w:p>
    <w:p w14:paraId="2500458F"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Ustanovení § 22e odst. 2 zákona o pozemních komunikacích upravuje povinnosti poskytovatele evropského mýtného, který má uzavřenu smlouvu o poskytování evropské služby elektronického mýtného s provozovatelem systému elektronického mýtného. Nově se do písmene d) doplňuje nová povinnost provádějící čl. 7j odst. 3 směrnice o výběru poplatků za užívání pozemních komunikací vozidly požadující vydávání dokladu, v němž musí být uvedena celková částka mýtného, výše poplatku za pozemní komunikace a výše poplatku za externí náklady. Tuto povinnost není povinen poskytovatel evropského mýtného plnit, pokud mu provozovatel vozidla v systému elektronického mýtného sdělí, že vydání dokladu nepožaduje.</w:t>
      </w:r>
    </w:p>
    <w:p w14:paraId="16793C8B"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bodům 32 a 37 (§ 24 odst. 5 písm. d) a § 29a odst. 7 písm. e))</w:t>
      </w:r>
    </w:p>
    <w:p w14:paraId="44145FD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Navrhuje se terminologická úprava v návaznosti na nové vymezení zvláštního užívání pozemních komunikací nadměrnými vozidly.</w:t>
      </w:r>
    </w:p>
    <w:p w14:paraId="5CAC74B2"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33 (§ 25 odst. 1)</w:t>
      </w:r>
    </w:p>
    <w:p w14:paraId="5F05AB1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Jedná se o vypuštění již irelevantního odkazu na ustanovení, které bylo zrušeno v souvislosti s rekodifikací stavebního práva. Toto ustanovení přitom upravovalo zvláštní užívání dálnice, silnice a místní komunikace umístěním inženýrských sítí a jiných nadzemních nebo podzemních vedení všeho druhu v silničním pozemku, na něm nebo na mostních objektech.</w:t>
      </w:r>
    </w:p>
    <w:p w14:paraId="7781E77F"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34 (§ 25 odst. 6 písm. a))</w:t>
      </w:r>
    </w:p>
    <w:p w14:paraId="4D9AF849"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Navrhuje se přesnější vymezení zvláštního užívání dálnic, silnic a místních komunikací, které spočívá v jejich užití vozidly, která svými hmotnostmi či rozměry překračují stanovené limity. Navržená právní úprava vychází z § 43a zákona o silničním provozu, v němž je stanoveno, že nelze užít vozidlo nebo jízdní soupravu, jejichž hmotnost, rozměry včetně nákladu nebo rozložení hmotnosti na nápravy, skupiny náprav, kola nebo skupiny kol ohrožují bezpečnost </w:t>
      </w:r>
      <w:r w:rsidRPr="003730B5">
        <w:rPr>
          <w:rFonts w:ascii="Times New Roman" w:hAnsi="Times New Roman"/>
          <w:color w:val="auto"/>
          <w:sz w:val="24"/>
        </w:rPr>
        <w:lastRenderedPageBreak/>
        <w:t>provozu na pozemních komunikacích nebo stav pozemní komunikace, není-li užití vozidla nebo jízdní soupravy umožněno postupem podle zákona o pozemních komunikacích. Konkrétní limity hmotností a rozměrů vozidel a jízdních souprav jsou uvedeny ve vyhlášce, která toto ustanovení zákona o silničním provozu provádí. Jde o vyhlášku o hmotnostech, rozměrech a spojitelnosti vozidel. Jedním z postupů, kterým lze dovolit užití vozidla nebo jízdní soupravy, jejichž hmotnosti nebo rozměry překračují stanovené limity, je právě povolení zvláštního užívání pozemních komunikací.</w:t>
      </w:r>
    </w:p>
    <w:p w14:paraId="4D33D9D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Navržená formulace tedy vymezuje zvláštní užívání pozemních komunikací vozidly nebo jízdními soupravami, jejichž hmotnosti nebo rozměry překračují stanovené limity, a pro tato vozidla a jízdní soupravy zavádí legislativní zkratku „nadměrné vozidlo“.</w:t>
      </w:r>
    </w:p>
    <w:p w14:paraId="593803D6"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Při vymezení tohoto typu zvláštního užívání pozemní komunikace se přitom navrhuje nadále rezignovat na „přepravu zvlášť těžkých nebo rozměrných předmětů“, neboť není zřejmé, z jaké právní úpravy by se dovozovalo, že přepravované předměty jsou „zvlášť těžké nebo rozměrné“. Předmětem povolování budou situace, kdy hmotnosti nebo rozměry vozidel (včetně nákladu) neodpovídají vyhlášce o hmotnostech, rozměrech a spojitelnosti vozidel, popřípadě je nelze subsumovat pod vydaná opatření obecné povahy.</w:t>
      </w:r>
    </w:p>
    <w:p w14:paraId="54F80B92"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35 (§ 25 odst. 6 písm. c))</w:t>
      </w:r>
    </w:p>
    <w:p w14:paraId="4AE0D04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Upouští se od požadavku povolení zvláštního užívání pozemní komunikace v případě provádění stavebních prací, které podléhají povolení záměru podle stavebního zákona. V tomto případě se jedná o zbytečnou administrativní zátěž a vedení duplicitního správního řízení, na nějž lze rezignovat, aniž by došlo k ohrožení veřejného zájmu (bude chráněn v rámci stavebního řízení).</w:t>
      </w:r>
    </w:p>
    <w:p w14:paraId="2DA337BE"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36 (§ 25a)</w:t>
      </w:r>
    </w:p>
    <w:p w14:paraId="699E48D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Navrhuje se speciální právní úprava povolování zvláštního užívání dálnic, silnic a místních komunikací nadměrnými vozidly. Navržená právní úprava vychází z obecné úpravy povolování zvláštního užívání v § 25, přičemž tuto úpravu v podstatě dílčím způsobem doplňuje specificky pro zvláštní užívání pozemních komunikací nadměrnými vozidly.</w:t>
      </w:r>
    </w:p>
    <w:p w14:paraId="785D519E"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Povolit zvláštní užívání dálnice, silnice nebo místní komunikace nadměrným vozidlem bude možné jen v případě, že tím nedojde k ohrožení bezpečnosti provozu na pozemních komunikacích ani k ohrožení stavu pozemní komunikace nad únosnou míru. Vychází se z úpravy obsažené v § 43a zákona o silničním provozu, dle níž užití vozidla, jehož hmotnost nebo rozměry překračují limity stanovené ve vyhlášce, ohrožuje bezpečnost provozu na pozemních komunikacích nebo stav pozemní komunikace. Připouští se tedy, že užitím nadměrného vozidla na základě povolení zvláštního užívání dojde k ohrožení bezpečnosti provozu na pozemních komunikacích nebo k ohrožení stavu pozemní komunikace, ale nebude možné povolit zvláštní užívání v případě, že by toto ohrožení překračovalo únosnou míru, přičemž ve správním rozhodnutí budou moct být stanoveny podmínky nezbytné k tomu, aby k ohrožení bezpečnosti provozu na pozemních komunikacích nebo stavu pozemní komunikace nad únosnou míru nedošlo. </w:t>
      </w:r>
    </w:p>
    <w:p w14:paraId="2F1121B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Návrh rozlišuje dva druhy povolení – pro opakované zvláštní užívání vymezené sítě pozemních komunikací po dobu 1 roku a jednorázové zvláštní užívání konkrétní dálnice, silnice nebo místní komunikace.</w:t>
      </w:r>
    </w:p>
    <w:p w14:paraId="3F476B7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Opakované zvláštní užívání vymezené sítě pozemních komunikací bude povolovat Ministerstvo dopravy. Povolení se bude obecně týkat zvláštního užívání dálnic, silnic a na území hlavního města Prahy i místních komunikací I. a II. třídy. Rozsah pozemních komunikací, které lze na základě tohoto povolení nadměrným vozidlem užít (tedy jejich </w:t>
      </w:r>
      <w:r w:rsidRPr="003730B5">
        <w:rPr>
          <w:rFonts w:ascii="Times New Roman" w:hAnsi="Times New Roman"/>
          <w:color w:val="auto"/>
          <w:sz w:val="24"/>
        </w:rPr>
        <w:lastRenderedPageBreak/>
        <w:t xml:space="preserve">konkrétní úseky), bude uveřejňován na webových stránkách Ministerstva dopravy a s ohledem na změny stavu dotčených pozemních komunikací průběžně aktualizován. Zákon omezuje okruh nadměrných vozidel, pro která bude moct být toto opakované zvláštní užívání povoleno, a to délkou takového vozidla (max. 22 metrů), jeho šířkou (max. 3,2 metru), výškou (max. 4,5 metrů) a hmotností (max. 60 tun). Doposud přitom zákon žádné limitní technické parametry pro povolení opakovaného zvláštního užívání pozemních komunikací nestanoval. Nebudou-li tyto parametry kumulativně splněny, možné bude už jen povolení jednorázového zvláštního užívání pozemních komunikací.  </w:t>
      </w:r>
    </w:p>
    <w:p w14:paraId="31F32D25"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K povolování opakovaného zvláštního užívání pozemních komunikací po určitou dobu se přistupuje již podle stávající právní úpravy, která však vychází pouze ze zákona o správních poplatcích, kde v položce 35 sazebník správních poplatků stanoví speciální sazbu poplatku pro opakované přepravy po dobu nanejvýš 3 měsíců. Nyní se navrhuje takové povolení zakotvit přímo v zákoně o pozemních komunikacích, přičemž doba, po kterou bude možné uvedené pozemní komunikace na základě povolení opakovaného zvláštního užívání užívat, se stanoví pevně na 1 rok. Nejedná se o maximální délku platnosti tohoto povolení, ale o její přesně stanovenou délku, a nebude tedy možné povolení vydat na kratší (ale ani delší) dobu. Důvodem je snaha o snížení administrativní náročnosti spojené s vydáváním těchto povolení.</w:t>
      </w:r>
    </w:p>
    <w:p w14:paraId="5917A7A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Ke snížení administrativní náročnosti a zjednodušení procesu vydávání těchto povolení povede i digitalizace jednotlivých úkonů a podávání žádostí prostřednictvím uživatelského rozhraní stanoveného Ministerstvem dopravy. Pro právnické a podnikající fyzické osoby bude tento způsob podávání žádosti povinný, pro ostatní žadatele bude spojen s výhodnější sazbou poplatku za podání žádosti (resp. s jiným způsobem podání bude spojena 1,5 násobná sazba poplatku).</w:t>
      </w:r>
    </w:p>
    <w:p w14:paraId="7B8788E2"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Návrh stanoví povinné náležitosti žádosti. Jedná se údaje o žadateli a provozovateli vozidla, je-li odlišný od žadatele. Dále se jedná o údaje o nadměrném vozidle, kterými jsou jeho státní poznávací značka, tovární značka, obchodní označení, označení typu a technické parametry, které budou konkretizovány ve vyhlášce. V žádosti bude muset být uvedeno datum, od kterého má běžet roční platnost povolení.</w:t>
      </w:r>
    </w:p>
    <w:p w14:paraId="199B306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Součástí povolení opakovaného zvláštního užívání pozemních komunikací bude moct být také opakované zvláštní užívání i jiných místních komunikací, tzn. místních komunikací nižších tříd na území hlavního města Prahy a místních komunikací mimo území hlavního města Prahy. Jedná se o pokrytí i tzv. první nebo poslední míle přepravy, kdy je nadměrným vozidlem potřeba pravidelně užívat kromě pozemních komunikací, na které se opakované zvláštní užívání standardně vztahuje, i konkrétní místní komunikaci, například k dojezdu do místa provozovny dopravce či místa nakládky nebo vykládky. V takovém případě bude muset být v žádosti tato pozemní komunikace zvlášť vymezena a k žádosti bude muset být přiložen i souhlas jejího vlastníka se zvláštním užíváním. </w:t>
      </w:r>
    </w:p>
    <w:p w14:paraId="719D95D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Druhým druhem povolení bude povolení jednorázového zvláštního užívání dálnice, silnice nebo místní komunikace nadměrným vozidlem. Tato povolení bude vydávat nejen Ministerstvo dopravy (půjde-li o zvláštní užívání dálnice nebo zvláštní užívání silnic na území více krajů), ale i krajské úřady (půjde-li o zvláštní užívání silnic na území jednoho kraje) a obecní úřady (půjde-li o zvláštní užívání místních komunikací). V rámci povolení bude možné povolit i zvláštní užívání dalších pozemních komunikací, a to i těch, k nimž by byl jinak příslušný jiný silniční správní úřad (viz odůvodnění novelizačního bodu 44).</w:t>
      </w:r>
    </w:p>
    <w:p w14:paraId="458A6DE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I v případě tohoto jednorázového povolení bude muset žádost obsahovat údaje o žadateli, provozovateli vozidla, je-li odlišný od žadatele, a o nadměrném vozidle. Dále bude muset žadatel v žádosti vymezit pozemní komunikaci, o jejíž zvláštní užívání žádá, a období 10 dnů, v němž má v plánu na základě povolení tuto pozemní komunikaci jednorázově užít. Znamená </w:t>
      </w:r>
      <w:r w:rsidRPr="003730B5">
        <w:rPr>
          <w:rFonts w:ascii="Times New Roman" w:hAnsi="Times New Roman"/>
          <w:color w:val="auto"/>
          <w:sz w:val="24"/>
        </w:rPr>
        <w:lastRenderedPageBreak/>
        <w:t>to tedy, že následně v povolení nebude určen jeden den, v němž se povoluje danou pozemní komunikaci nadměrným vozidlem užít, ale bude v něm uvedeno období 10 dnů, v rámci kterého bude povoleno tuto pozemní komunikaci jednorázově užít.</w:t>
      </w:r>
    </w:p>
    <w:p w14:paraId="6AA779F4"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Speciální přílohy k žádosti jsou vyžadovány u nadměrných vozidel překračujících svou hmotností (včetně nákladu) 100 tun. Jedná se o nákres obrysu nadměrného vozidla s vyznačením rozměrů a umístění nákladu a statický posudek ověřující zatížitelnost mostů a únosnost vozovek na dotčených pozemních komunikací, který nesmí být starší 6 měsíců.</w:t>
      </w:r>
    </w:p>
    <w:p w14:paraId="35FE7E93"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Půjde-li o žádost adresovanou Ministerstvu dopravy, budou i v tomto případě právnické a podnikající fyzické osoby povinny ji podat elektronicky prostřednictvím uživatelského rozhraní stanoveného Ministerstvem dopravy. U ostatních žadatelů bude tento způsob podání žádosti spojen s výhodnější sazbou poplatku za podání žádosti (resp. s jiným způsobem podání žádosti bude spojena 1,5 násobná sazba poplatku).</w:t>
      </w:r>
    </w:p>
    <w:p w14:paraId="7F4AADAF"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Účastníky řízení o povolení zvláštního užívání pozemních komunikací nadměrným vozidlem, a to jak opakovaného zvláštního užívání, tak jednorázového zvláštního užívání, bude žadatel a vlastník pozemní komunikace, jehož souhlas se zvláštním užíváním se vyžaduje. Staví se tak najisto, že jiné osoby účastníky řízení být nemohou.</w:t>
      </w:r>
    </w:p>
    <w:p w14:paraId="6EF5FC12"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Zvláštní užívání dálnice, silnice nebo místní komunikace lze povolit jen se souhlasem jejího vlastníka, což vyplývá z § 25 odst. 1. Vzhledem k tomu, že tento typ zvláštního užívání může ovlivnit bezpečnost nebo plynulost silničního provozu, vyžaduje se rovněž souhlas Policie České republiky nebo v případě dálnice souhlas Ministerstva vnitra (§ 25 odst. 1). Judikatura dovodila, že souhlas Policie České republiky či Ministerstva vnitra je z materiálního hlediska závazným stanoviskem. Silniční správní úřad má tento souhlas či závazné stanovisko často předem k dispozici. Vlastníci dálnic a silnic vydávají totiž tzv. generální souhlasy, v nichž se vyjadřují souhrnně k tomu, které úseky jimi vlastněných (spravovaných) pozemních komunikací a za jakých podmínek lze nadměrným vozidlem užít. Rovněž Policie České republiky a Ministerstvo vnitra dávají své stanovisko silničním správním úřadům souhrnně ve vztahu ke všem klíčovým pozemním komunikacím. Je-li požadováno povolení zvláštního užívání, jež není pokryto výše uvedenými generálními souhlasy, může si žadatel souhlas vlastníka pozemní komunikace či závazné stanovisko Policie České republiky či Ministerstva vnitra opatřit a přiložit jej k žádosti. </w:t>
      </w:r>
    </w:p>
    <w:p w14:paraId="6DD43526"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Pokud silniční správní úřad nemá předem k dispozici souhlas vlastníka dotčené pozemní komunikace či závazné stanovisko Policie České republiky nebo Ministerstva vnitra (ať již jde o generální souhlas nebo dokument předložený žadatelem), požádá o jejich vydání. Jedinou výjimkou z tohoto pravidla (viz navržený § 25a odst. 4 zákona o pozemních komunikacích) bude situace, kdy bude požadováno po Ministerstvu dopravy povolení zvláštního užívání pozemních komunikací zahrnující určitou místní komunikaci -  v tomto případě si bude muset žadatel souhlasy dotčených vlastníků předem obstarat sám, protože není únosné, aby veškeré souhlasy obstaralo Ministerstvo dopravy. Vzhledem k tomu, že posouzení žádosti o povolení zvláštního užívání pozemní komunikace nadměrným vozidlem není zvlášť složité, přičemž povolení zvláštního užívání je zpravidla potřeba vydat v relativně krátké době, navrhuje se zakotvit fikci souhlasného a bezpodmínečného vyjádření či stanoviska, a to v případě, že se vlastník pozemní komunikace nevyjádřil či závazné stanovisko Policie České republiky nebo Ministerstva vnitra nebylo vydáno do 5 pracovních dnů ode dne, kdy o to byli požádáni. V případě takto nastalé fikce se předpokládá, že silniční správní úřad zapracuje do rozhodnutí o povolení standardně používané podmínky pro zajištění bezpečnosti silničního provozu, jakož i podmínky pro ochranu pozemních komunikací.</w:t>
      </w:r>
    </w:p>
    <w:p w14:paraId="0107E154"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K urychlení a snížení administrativní zátěže celého procesu povolování zvláštního užívání pozemních komunikací Ministerstvem dopravy povede vytvoření informačního systému, </w:t>
      </w:r>
      <w:r w:rsidRPr="003730B5">
        <w:rPr>
          <w:rFonts w:ascii="Times New Roman" w:hAnsi="Times New Roman"/>
          <w:color w:val="auto"/>
          <w:sz w:val="24"/>
        </w:rPr>
        <w:lastRenderedPageBreak/>
        <w:t>prostřednictvím kterého budou jak podávány žádosti o povolení, tak bude probíhat veškerá komunikace mezi Ministerstvem dopravy na jedné straně a kraji jakožto vlastníky silnic, hlavním městem Prahou jakožto vlastníkem místních komunikací I. a II. třídy na území hlavního města Prahy a Policií České republiky či Ministerstvem vnitra na straně druhé. Pokud jde o jiné místní komunikace, jejichž zvláštní užívání bude povolováno Ministerstvem dopravy, komunikace s vlastníkem dotčené místní komunikace tímto způsobem probíhat nebude, neboť žadatel bude jeho souhlas přikládat již k žádosti (viz navržený § 25a odst. 4 zákona o pozemních komunikacích).</w:t>
      </w:r>
    </w:p>
    <w:p w14:paraId="265C03FF"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Silniční správní úřad bude moct v povolení stanovit podmínky nezbytné k tomu, aby zvláštním užíváním pozemní komunikace nadměrným vozidlem nedošlo k ohrožení bezpečnosti provozu na pozemních komunikacích ani k ohrožení stavu pozemní komunikace nad únosnou míru. Tyto podmínky budou zpravidla vyplývat z vyjádření vlastníka dotčené pozemní komunikace nebo ze závazného stanoviska Policie České republiky či Ministerstva vnitra. Tak jako nyní půjde zpravidla o označení vozidla, doprovod vozidla či o podmínky vztahující se ke konkrétnímu úseku pozemní komunikace.</w:t>
      </w:r>
    </w:p>
    <w:p w14:paraId="3312151F"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Vzhledem k tomu, že se jedná a bude jednat o relativně jednoduché správní řízení, u kterého není potřeba provádět složité dokazování a lze zpravidla rozhodnout pouze na základě písemných podkladů, které má silniční správní úřad k dispozici, zakotvuje se, že vydání rozhodnutí může být prvním úkonem silničního správního úřadu v řízení s tím, že k případnému podání žádosti o vyjádření vlastníka pozemní komunikace nebo o závazné stanovisko Policie České republiky nebo Ministerstva vnitra se přitom nepřihlíží. Dále se stanoví, že odvolání proti rozhodnutí nemá odkladný účinek, tzn. zvláštní užívání předmětné pozemní komunikace bude možné realizovat bezprostředně po vydání rozhodnutí a není tak třeba vyčkávat, než marně uplyne lhůta k podání odvolání (nebo se všichni účastníci řízení vzdají svého práva na odvolání).</w:t>
      </w:r>
    </w:p>
    <w:p w14:paraId="57C1102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Přímo v zákoně o pozemních komunikacích se navrhuje zakotvit zákaz realizovat na základě vydaného povolení zvláštního užívání přepravu dělitelného nákladu, tzn. povolení neopravňuje k užití pozemní komunikace nadměrným vozidlem v případě, že by překročení hodnoty hmotnosti nebo rozměru vozidla bylo možné předejít rozdělením nákladu. Znamená to rovněž, že např. při přepravě dlouhých předmětů (kvůli jejichž délce je překročen limit délky vozidla) nesmí být současně překročen limit šířky vozidla, lze-li v tomto směru náklad rozdělit.</w:t>
      </w:r>
    </w:p>
    <w:p w14:paraId="2496829A"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bodům 38 a 39 (§ 30 odst. 2 písm. a) a § 30 odst. 4)</w:t>
      </w:r>
    </w:p>
    <w:p w14:paraId="3D1D0D7C"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Navrhuje se zúžení prostoru ochranného pásma dálnic, a to ze současných 100 m na 50 m. Z hlediska ochrany dálnice není nezbytné, aby bylo ochranné pásmo dvojnásobně široké, než je ochranné pásmo silnice I. třídy nebo místní komunikace I. třídy. Tato úprava odpovídá i dlouhodobé rozhodovací praxi Ministerstva dopravy coby silničního správního úřadu pro dálnice, kde nad vzdálenost 50 metrů jsou v ochranném pásmu již povolovány zpravidla všechny činnosti resp. stavby.</w:t>
      </w:r>
    </w:p>
    <w:p w14:paraId="1E9B2916"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bodům 40 až 43 (§ 38a odst. 3 písm. a), § 38a odst. 4, § 38a odst. 7 a § 38d odst. 2)</w:t>
      </w:r>
    </w:p>
    <w:p w14:paraId="4183FF1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Nízkorychlostní kontrolní vážení zajišťuje standardně vlastník pozemní komunikace či jím pověřená osoba v součinnosti s Policií České republiky nebo s celními úřady či jej provádí Policie České republiky nebo celní úřady samostatně. Obdobně i vysokorychlostní kontrolní vážení zajišťuje standardně také vlastník pozemní komunikace či jím pověřená osoba. Jinak je tomu v případě silnic I. třídy, kdy zákon předpokládá, že jak nízkorychlostní kontrolní vážení, tak vysokorychlostní kontrolní vážení bude zajišťovat se souhlasem vlastníka pozemní komunikace a v součinnosti s Policií České republiky nebo s celními úřady kraj. V praxi k tomu však úplně nedochází a kraje tuto svou roli v dostatečném rozsahu nevykonávají. </w:t>
      </w:r>
    </w:p>
    <w:p w14:paraId="7FDD135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lastRenderedPageBreak/>
        <w:t>Navrhuje se proto tuto kompetenci krajům odejmout a ponechat zajišťování kontrolního vážení na silnicích I. třídy na jejich vlastníku či jím pověřené osobě. U silnic I. třídy tak bude platit stejný režim jako u ostatních pozemních komunikací.</w:t>
      </w:r>
    </w:p>
    <w:p w14:paraId="5F3C5E47"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44 (§ 40 odst. 2 písm. d))</w:t>
      </w:r>
    </w:p>
    <w:p w14:paraId="29F9A9E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Navrhuje se upřesnění vymezení kompetencí Ministerstva dopravy, pokud jde o povolování zvláštního užívání pozemních komunikací nadměrnými vozidly. </w:t>
      </w:r>
    </w:p>
    <w:p w14:paraId="69F8C4A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Ministerstvo dopravy bude i nadále příslušné k povolování zvláštního užívání dálnic nadměrným vozidlem, což vyplývá z jeho působnosti coby silničního správního úřadu ve věcech dálnic (§ 40 odst. 2 písm. c)), a k povolování zvláštního užívání silnic nadměrným vozidlem, pokud se povolení týká silnic v územních obvodech více krajů. </w:t>
      </w:r>
    </w:p>
    <w:p w14:paraId="079D5FE3"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Dále se výslovně zakotvuje kompetence Ministerstva dopravy k povolování opakovaného zvláštního užívání dálnic, silnic a místních komunikací I. a II. třídy na území hlavního města Prahy, popřípadě jiných místních komunikací (bude-li o to Ministerstvo dopravy specificky požádáno), nadměrným vozidlem po dobu 1 roku. Povolování opakovaného zvláštního užívání pozemních komunikací bude pouze v gesci Ministerstva dopravy, nikoli dalších silničních správních úřadů. Lze přitom uvést, že na území hlavního města Prahy jsou místní komunikace I. a II. třídy, po nichž je obvykle realizován a povolován průjezd vozidel přes území hlavního města Prahy v důsledku chybějících úseků Pražského okruhu (dálnice D0).</w:t>
      </w:r>
    </w:p>
    <w:p w14:paraId="3B744ECC"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případě jednorázového zvláštního užívání pozemních komunikací bude Ministerstvo dopravy příslušné i k povolení zvláštního užívání silnic nebo místních komunikací, a to v případě, že bude předmětem povolení rovněž zvláštní užívání dálnice nebo silnic v územních obvodech více krajů. Jinými slovy, pokud bude Ministerstvo dopravy vydávat povolení zvláštního užívání dálnice nebo silnic v územních obvodech více krajů, bude možné tímtéž rozhodnutím povolit i zvláštní užívání dalších pozemních komunikací (které jsou jinak v gesci jiných silničních správních úřadů). Pro žadatele to bude administrativně jednodušší a také levnější, neboť uhradí pouze jeden správní poplatek. Obdobný princip platí i pro opakované zvláštní užívání, v rámci kterého lze vedle zvláštního užívání dálnic, silnic a místních komunikací I. a II. třídy na území hlavního města Prahy povolit i zvláštní užívání jiné místní komunikace.</w:t>
      </w:r>
    </w:p>
    <w:p w14:paraId="77FFBEF3"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45 (§ 40 odst. 3 písm. a))</w:t>
      </w:r>
    </w:p>
    <w:p w14:paraId="294D5E2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Navrhuje se upřesnění vymezení kompetencí krajského úřadu, pokud jde o povolování zvláštního užívání pozemních komunikací nadměrným vozidlem.</w:t>
      </w:r>
    </w:p>
    <w:p w14:paraId="1820B03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Krajský úřad bude příslušný k povolování jednorázového zvláštního užívání silnic I. třídy v územním obvodu jednoho kraje (což vyplývá z jeho působnosti coby silničního správního úřadu ve věcech silnic I. třídy (viz § 40 odst. 3 písm. d) zákona o pozemních komunikacích), a silnic II. a III. třídy v územním obvodu jednoho kraje.</w:t>
      </w:r>
    </w:p>
    <w:p w14:paraId="391414F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Dále bude krajský úřad příslušný k povolení jednorázového zvláštního užívání místních komunikací, pokud bude společně rozhodováno i o povolení jednorázového zvláštního užívání silnic v územním obvodu jednoho kraje. I v tomto případě bude platit princip, že součástí povolení jednorázového zvláštního užívání silnic bude moct být i zvláštní užívání místní komunikace.</w:t>
      </w:r>
    </w:p>
    <w:p w14:paraId="5275981B"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bodům 46, 53 a 56 až 58 (§ 40 odst. 4 písm. c), § 43 odst. 1, § 43 odst. 3, § 43a odst. 1 písm. b) a § 43a odst. 2 písm. b))</w:t>
      </w:r>
    </w:p>
    <w:p w14:paraId="0459231F"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Navrhuje se doplnění odkazu na nový přestupek nepodnikající fyzické osoby spočívající v tom, že jako provozovatel vozidla nebo jízdní soupravy provozuje vozidlo nebo jízdní soupravu, u nichž bylo kontrolním vážením zjištěno nedodržení hodnot nebo podmínek stanovených </w:t>
      </w:r>
      <w:r w:rsidRPr="003730B5">
        <w:rPr>
          <w:rFonts w:ascii="Times New Roman" w:hAnsi="Times New Roman"/>
          <w:color w:val="auto"/>
          <w:sz w:val="24"/>
        </w:rPr>
        <w:lastRenderedPageBreak/>
        <w:t>zákonem o silničním provozu. Dosud zákon o pozemních komunikacích toto protiprávní jednání postihoval pouze u právnických nebo podnikajících fyzických osob, nyní se postih rozšiřuje i na nepodnikající fyzické osoby. Instituty, které se uplatňují u přestupku právnické či podnikající fyzické osoby, se navrhuje uplatňovat i v případě tohoto nového přestupku nepodnikající fyzické osoby.</w:t>
      </w:r>
    </w:p>
    <w:p w14:paraId="6AA51189"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47 (§ 42a odst. 1 písm. b) a § 42b odst. 1 písm. b))</w:t>
      </w:r>
    </w:p>
    <w:p w14:paraId="599E943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Návrh zákona v § 25a odst. 11 výslovně vylučuje z povoleného zvláštního užívání pozemních komunikací přepravu dělitelného nákladu. Navrhuje se postihovat porušení tohoto pravidla, tedy postihovat protiprávní jednání spočívající v užití nadměrného vozidla v situaci, kdy je přepravován, dělitelný náklad (k takovéto přepravě neopravňuje ani udělené povolení).</w:t>
      </w:r>
    </w:p>
    <w:p w14:paraId="33A95EA5"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48 (§ 42a odst. 1 písm. n) a § 42b odst. 1 písm. n))</w:t>
      </w:r>
    </w:p>
    <w:p w14:paraId="03A0B729"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Navrhuje se terminologické upřesnění skutkových podstat v § 42a odst. 1 písm. n) a § 42b odst. 1 písm. n), ke kterému mělo dojít již změnovým zákonem přijímaným spolu s novým stavebním zákonem.</w:t>
      </w:r>
    </w:p>
    <w:p w14:paraId="479F63DB"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bodům 49 až 51 (§ 42a odst. 1 písm. p) a r) a § 42a odst. 8 písm. a))</w:t>
      </w:r>
    </w:p>
    <w:p w14:paraId="48C698B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Navrhuje se zakotvení nového přestupku nepodnikající fyzické osoby do zákona o pozemních komunikacích, jenž bude spočívat v tom, že jako provozovatel vozidla nebo jízdní soupravy provozuje vozidlo nebo jízdní soupravu, u nichž bylo kontrolním vážením zjištěno nedodržení hodnot nebo podmínek stanovených zákonem o silničním provozu. Dosud zákon o pozemních komunikacích toto protiprávní jednání postihoval pouze u právnických nebo podnikajících fyzických osob, avšak v praxi dochází k účelovým změnám provozovatele vozidla registrovaného v zahraničí z podnikajících fyzických či právnických osob na nepodnikající fyzické osoby, a to právě s cílem vyhnout se postihu za provoz přetíženého vozidla. Nyní se proto postih rozšiřuje i na nepodnikající fyzické osoby, přičemž za tento přestupek budou postihovány stejnou pokutou jako právnické nebo podnikající fyzické osoby, tj. pokutou až do 500 000 Kč. </w:t>
      </w:r>
    </w:p>
    <w:p w14:paraId="05DE256A"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52 (§ 42a odst. 8 písm. k))</w:t>
      </w:r>
    </w:p>
    <w:p w14:paraId="364E011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Jedná se o terminologické upřesnění odpovídající zákonu o odpovědnosti za přestupky a řízení o nich. Příkaz je jedna z forem rozhodnutí, kterou lze uložit pokutu v řízení o přestupku. Spojení poukazující na „příkazní řízení“ není přesné.</w:t>
      </w:r>
    </w:p>
    <w:p w14:paraId="698BAD6F"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54 (§ 43 odst. 1)</w:t>
      </w:r>
    </w:p>
    <w:p w14:paraId="2E89675F"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Za účelem snížení administrativní náročnosti vyřizování přestupků spočívajících v překročení největší povolené hmotnosti vozidla nebo jízdní soupravy se navrhuje zvýšit motivaci k úhradě pokuty uložené příkazem. U těchto přestupků je výše pokuty závislá na míře překročení povolené hmotnosti vozidla nebo jízdní soupravy a činí 9 000 Kč za každou započatou tunu, která překračuje stanovený limit, resp. 5 000 Kč u překročení limitu max. o 500 kg. Navrhuje se proto příkazem ukládat pokutu v poloviční výši než je její standardní, pevně stanovená výměra.</w:t>
      </w:r>
    </w:p>
    <w:p w14:paraId="684F7E80"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55 (§ 43 odst. 3)</w:t>
      </w:r>
    </w:p>
    <w:p w14:paraId="4CB4F04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souvislosti s administrativním zatížením obecních úřadů obcí s rozšířenou působností, v jejichž územním obvodu je prováděno vysokorychlostní kontrolní vážení, a s navrhovaným odnětím odpovědnosti krajů za zajišťování kontrolního vážení na silnicích I. třídy se navrhuje změna v procentuálním rozdělení příjmů z pokut uložených provozovatelům vozidel za přestupky zjištěné kontrolním vážením.</w:t>
      </w:r>
    </w:p>
    <w:p w14:paraId="5472D6B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Snížení podílu ze 45 % na 30 % se navrhuje u krajů. Podíl na příjmech z těchto pokut ve výši </w:t>
      </w:r>
      <w:r w:rsidRPr="003730B5">
        <w:rPr>
          <w:rFonts w:ascii="Times New Roman" w:hAnsi="Times New Roman"/>
          <w:color w:val="auto"/>
          <w:sz w:val="24"/>
        </w:rPr>
        <w:lastRenderedPageBreak/>
        <w:t>30 % krajům však zůstane, neboť krajské úřady budou i nadále odvolacími orgány proti rozhodnutím obecních úřadů obcí s rozšířenou působností, kterými jsou tyto pokuty ukládány.</w:t>
      </w:r>
    </w:p>
    <w:p w14:paraId="54A32AA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Navýšení podílu z 15 % na 30 % se navrhuje u obecních úřadů obcí s rozšířenou působností, a to právě z důvodu jejich zatížení vyřizováním těchto přestupků.</w:t>
      </w:r>
    </w:p>
    <w:p w14:paraId="12A8272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Největší podíl, a to 40 %, zůstane příjmem vlastníka pozemní komunikace (třeba také kraje), na níž bylo kontrolní vážení provedeno (resp. u státem vlastněných pozemních komunikací bude i nadále příjmem Státního fondu dopravní infrastruktury). Tento podíl je i nadále adekvátní, neboť vybrané finanční prostředky jsou využívány k péči o pozemní komunikace.</w:t>
      </w:r>
    </w:p>
    <w:p w14:paraId="57F2DEE1"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59 (§ 46 odst. 1)</w:t>
      </w:r>
    </w:p>
    <w:p w14:paraId="1B5D442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souvislosti s automatickou valorizací výše časového poplatku a vyhlašováním sazeb časového poplatku ve Sbírce zákonů se zrušuje zmocnění pro stanovení výše časového poplatku nařízením vlády.</w:t>
      </w:r>
    </w:p>
    <w:p w14:paraId="640CE4B5"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60 (§ 46 odst. 2)</w:t>
      </w:r>
    </w:p>
    <w:p w14:paraId="5DAEF1B5"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Do zmocňovacích ustanovení se doplňuje nové zmocnění Ministerstva dopravy ke stanovení technických parametrů vozidla, které budou uváděny v žádosti o povolení zvláštního užívání pozemních komunikací nadměrnými vozidly, vyhláškou.</w:t>
      </w:r>
    </w:p>
    <w:p w14:paraId="1B7B938F"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bodu 61 (§ 46 odst. 3)</w:t>
      </w:r>
    </w:p>
    <w:p w14:paraId="6ED89084"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návaznosti na nyní Senátem projednávaný návrh novely nového stavebního zákona se navrhuje zrušit zmocnění Ministerstva pro místní rozvoj k provedení § 16 odst. 3, tj. ke stanovení obecných technických požadavků na stavbu dálnice, silnice nebo místní komunikace vyhláškou. V souvislosti se změnami struktury stavebních úřadů, které jsou předmětem projednávaného návrhu novely nového stavebního zákona, zůstane tato kompetence Ministerstvu dopravy.</w:t>
      </w:r>
    </w:p>
    <w:p w14:paraId="052D014E" w14:textId="01F60414" w:rsidR="00133AC8" w:rsidRPr="003730B5" w:rsidRDefault="00133AC8" w:rsidP="00133AC8">
      <w:pPr>
        <w:widowControl w:val="0"/>
        <w:spacing w:before="240" w:after="120"/>
        <w:outlineLvl w:val="2"/>
        <w:rPr>
          <w:b/>
        </w:rPr>
      </w:pPr>
      <w:r w:rsidRPr="003730B5">
        <w:rPr>
          <w:b/>
        </w:rPr>
        <w:t>K čl. </w:t>
      </w:r>
      <w:r w:rsidR="00F12C3E" w:rsidRPr="003730B5">
        <w:rPr>
          <w:b/>
        </w:rPr>
        <w:t>XXX</w:t>
      </w:r>
      <w:r w:rsidRPr="003730B5">
        <w:rPr>
          <w:b/>
        </w:rPr>
        <w:t xml:space="preserve"> (Přechodná ustanovení)</w:t>
      </w:r>
    </w:p>
    <w:p w14:paraId="2A97CFCD"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b w:val="0"/>
          <w:color w:val="auto"/>
          <w:sz w:val="24"/>
          <w:szCs w:val="24"/>
          <w:u w:val="single"/>
        </w:rPr>
      </w:pPr>
      <w:r w:rsidRPr="003730B5">
        <w:rPr>
          <w:rFonts w:ascii="Times New Roman" w:hAnsi="Times New Roman"/>
          <w:b w:val="0"/>
          <w:color w:val="auto"/>
          <w:sz w:val="24"/>
          <w:szCs w:val="24"/>
          <w:u w:val="single"/>
        </w:rPr>
        <w:t>K bodu 1</w:t>
      </w:r>
    </w:p>
    <w:p w14:paraId="1D0BA35F"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Jedná se o standardní přechodné ustanovení, dle kterého se správní řízení zahájená přede dnem nabytí účinnosti tohoto zákona dokončí podle dosavadní právní úpravy. V kontextu navržené právní úpravy se to dotkne primárně zahájených řízení o povolení zvláštního užívání pozemních komunikací nadměrnými vozidly. </w:t>
      </w:r>
    </w:p>
    <w:p w14:paraId="62873A51"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b w:val="0"/>
          <w:color w:val="auto"/>
          <w:sz w:val="24"/>
          <w:szCs w:val="24"/>
          <w:u w:val="single"/>
        </w:rPr>
      </w:pPr>
      <w:r w:rsidRPr="003730B5">
        <w:rPr>
          <w:rFonts w:ascii="Times New Roman" w:hAnsi="Times New Roman"/>
          <w:b w:val="0"/>
          <w:color w:val="auto"/>
          <w:sz w:val="24"/>
          <w:szCs w:val="24"/>
          <w:u w:val="single"/>
        </w:rPr>
        <w:t>K bodům 2 a 3</w:t>
      </w:r>
    </w:p>
    <w:p w14:paraId="78D52836" w14:textId="5B22E339"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Navržená přechodná ustanovení navazují na novou právní úpravu časového poplatku obsaženou v § 21 zákona o pozemních komunikacích. První z těchto ustanovení zabezpečí, že časové poplatky uhrazené do 29. </w:t>
      </w:r>
      <w:r w:rsidR="00D6156C" w:rsidRPr="003730B5">
        <w:rPr>
          <w:rFonts w:ascii="Times New Roman" w:hAnsi="Times New Roman"/>
          <w:color w:val="auto"/>
          <w:sz w:val="24"/>
        </w:rPr>
        <w:t xml:space="preserve">2. </w:t>
      </w:r>
      <w:r w:rsidRPr="003730B5">
        <w:rPr>
          <w:rFonts w:ascii="Times New Roman" w:hAnsi="Times New Roman"/>
          <w:color w:val="auto"/>
          <w:sz w:val="24"/>
        </w:rPr>
        <w:t xml:space="preserve">2024 ve výši vyplývající z dosavadních předpisů se budou považovat za řádně uhrazené, a to až do konce období (nanejvýš 1 roku), na které byly uhrazeny. Druhé přechodné ustanovení navazuje na navržený § 21 odst. 7 zákona o pozemních komunikacích, dle něhož se sazby časového poplatku stanoví vždy k 1. lednu a Ministerstvo dopravy je vyhlásí vždy do 30. </w:t>
      </w:r>
      <w:r w:rsidR="00D6156C" w:rsidRPr="003730B5">
        <w:rPr>
          <w:rFonts w:ascii="Times New Roman" w:hAnsi="Times New Roman"/>
          <w:color w:val="auto"/>
          <w:sz w:val="24"/>
        </w:rPr>
        <w:t xml:space="preserve">11. </w:t>
      </w:r>
      <w:r w:rsidRPr="003730B5">
        <w:rPr>
          <w:rFonts w:ascii="Times New Roman" w:hAnsi="Times New Roman"/>
          <w:color w:val="auto"/>
          <w:sz w:val="24"/>
        </w:rPr>
        <w:t xml:space="preserve">předchozího roku. Toto obecné pravidlo přechodné ustanovení modifikuje tak, že v období prvních 10 měsíců ode dne nabytí účinnosti zákona se bude hradit časový poplatek ve výši, která bude stanovena ke dni nabytí účinnosti zákona a k tomuto dni dojde rovněž k publikaci relevantních sazeb. </w:t>
      </w:r>
    </w:p>
    <w:p w14:paraId="2474AA50"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b w:val="0"/>
          <w:color w:val="auto"/>
          <w:sz w:val="24"/>
          <w:szCs w:val="24"/>
          <w:u w:val="single"/>
        </w:rPr>
      </w:pPr>
      <w:r w:rsidRPr="003730B5">
        <w:rPr>
          <w:rFonts w:ascii="Times New Roman" w:hAnsi="Times New Roman"/>
          <w:b w:val="0"/>
          <w:color w:val="auto"/>
          <w:sz w:val="24"/>
          <w:szCs w:val="24"/>
          <w:u w:val="single"/>
        </w:rPr>
        <w:t>K bodu 4</w:t>
      </w:r>
    </w:p>
    <w:p w14:paraId="2AB67AEF"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Navržené přechodné ustanovení navazuje na potřebu zařadit vozidla již zaevidovaná ke dni nabytí účinnosti navrženého zákona do systému elektronického mýtného do některé z emisních </w:t>
      </w:r>
      <w:r w:rsidRPr="003730B5">
        <w:rPr>
          <w:rFonts w:ascii="Times New Roman" w:hAnsi="Times New Roman"/>
          <w:color w:val="auto"/>
          <w:sz w:val="24"/>
        </w:rPr>
        <w:lastRenderedPageBreak/>
        <w:t>tříd CO</w:t>
      </w:r>
      <w:r w:rsidRPr="003730B5">
        <w:rPr>
          <w:rFonts w:ascii="Times New Roman" w:hAnsi="Times New Roman"/>
          <w:color w:val="auto"/>
          <w:sz w:val="24"/>
          <w:vertAlign w:val="subscript"/>
        </w:rPr>
        <w:t>2</w:t>
      </w:r>
      <w:r w:rsidRPr="003730B5">
        <w:rPr>
          <w:rFonts w:ascii="Times New Roman" w:hAnsi="Times New Roman"/>
          <w:color w:val="auto"/>
          <w:sz w:val="24"/>
        </w:rPr>
        <w:t>. U vozidel zapsaných v českém registru silničních vozidel provede toto zařazení provozovatel systému elektronického mýtného na základě technických údajů z registru silničních vozidel, k nimž bude mít nově přístup (pamatuje na to navržená změna zákona o podmínkách provozu vozidel na pozemních komunikacích). Lze očekávat, že půjde o administrativně a časově náročný proces, k jehož realizaci návrh zákona přiznává nezbytnou lhůtu 6 měsíců. Provozovatelům vozidel však bude umožněno ihned po datu nabytí účinnosti navrženého zákona předložit podklady pro stanovení příznivější emisní třídy CO</w:t>
      </w:r>
      <w:r w:rsidRPr="003730B5">
        <w:rPr>
          <w:rFonts w:ascii="Times New Roman" w:hAnsi="Times New Roman"/>
          <w:color w:val="auto"/>
          <w:sz w:val="24"/>
          <w:vertAlign w:val="subscript"/>
        </w:rPr>
        <w:t>2</w:t>
      </w:r>
      <w:r w:rsidRPr="003730B5">
        <w:rPr>
          <w:rFonts w:ascii="Times New Roman" w:hAnsi="Times New Roman"/>
          <w:color w:val="auto"/>
          <w:sz w:val="24"/>
        </w:rPr>
        <w:t xml:space="preserve"> vozidla - v takovém případě bude relevantní část mýtného uložena podle skutečné emisní třídy vozidla. Stejně tak platí, že vozidla zaevidovaná do systému elektronického mýtného ode dne nabytí účinnosti navrženého zákona budou mít od počátku zapsanou skutečnou emisní třídu CO</w:t>
      </w:r>
      <w:r w:rsidRPr="003730B5">
        <w:rPr>
          <w:rFonts w:ascii="Times New Roman" w:hAnsi="Times New Roman"/>
          <w:color w:val="auto"/>
          <w:sz w:val="24"/>
          <w:vertAlign w:val="subscript"/>
        </w:rPr>
        <w:t>2</w:t>
      </w:r>
      <w:r w:rsidRPr="003730B5">
        <w:rPr>
          <w:rFonts w:ascii="Times New Roman" w:hAnsi="Times New Roman"/>
          <w:color w:val="auto"/>
          <w:sz w:val="24"/>
        </w:rPr>
        <w:t xml:space="preserve"> vozidla a podle ní jim bude vyměřeno mýtné.</w:t>
      </w:r>
    </w:p>
    <w:p w14:paraId="3596DB52"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osmnácté – Změna zákona o vysokých školách</w:t>
      </w:r>
    </w:p>
    <w:p w14:paraId="7768B0FA" w14:textId="1E3ABC3C" w:rsidR="00133AC8" w:rsidRPr="003730B5" w:rsidRDefault="00133AC8" w:rsidP="00133AC8">
      <w:pPr>
        <w:widowControl w:val="0"/>
        <w:spacing w:after="120"/>
        <w:outlineLvl w:val="2"/>
        <w:rPr>
          <w:b/>
        </w:rPr>
      </w:pPr>
      <w:r w:rsidRPr="003730B5">
        <w:rPr>
          <w:b/>
        </w:rPr>
        <w:t>K čl. </w:t>
      </w:r>
      <w:r w:rsidR="00F12C3E" w:rsidRPr="003730B5">
        <w:rPr>
          <w:b/>
        </w:rPr>
        <w:t>XXXI</w:t>
      </w:r>
    </w:p>
    <w:p w14:paraId="065A5F02" w14:textId="77777777" w:rsidR="00133AC8" w:rsidRPr="003730B5" w:rsidRDefault="00133AC8" w:rsidP="00133AC8">
      <w:pPr>
        <w:pStyle w:val="Dvodovzprvakbodu"/>
        <w:keepNext w:val="0"/>
        <w:widowControl w:val="0"/>
        <w:numPr>
          <w:ilvl w:val="0"/>
          <w:numId w:val="68"/>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18 odst. 12)</w:t>
      </w:r>
    </w:p>
    <w:p w14:paraId="53FB90B0" w14:textId="6473E655"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 rámci konsolidace veřejných rozpočtů se snižuje povinný příděl do sociálního fondu veřejné vysoké školy </w:t>
      </w:r>
      <w:r w:rsidR="00D03256" w:rsidRPr="003730B5">
        <w:rPr>
          <w:rFonts w:ascii="Times New Roman" w:hAnsi="Times New Roman"/>
          <w:color w:val="auto"/>
          <w:sz w:val="24"/>
        </w:rPr>
        <w:t>z </w:t>
      </w:r>
      <w:r w:rsidRPr="003730B5">
        <w:rPr>
          <w:rFonts w:ascii="Times New Roman" w:hAnsi="Times New Roman"/>
          <w:color w:val="auto"/>
          <w:sz w:val="24"/>
        </w:rPr>
        <w:t>2 % na 1 % z ročního objemu mezd, jejich náhrad a náhrad za pracovní pohotovost, obdobně jako je navrhováno v případě fondu kulturních a sociálních potřeb tvořeného podle rozpočtových pravidel. Budou tedy platit shodná pravidla pro tvorbu těchto fondů u subjektů veřejné sféry.</w:t>
      </w:r>
    </w:p>
    <w:p w14:paraId="74EA9C48" w14:textId="77777777" w:rsidR="00133AC8" w:rsidRPr="003730B5" w:rsidRDefault="00133AC8" w:rsidP="00133AC8">
      <w:pPr>
        <w:pStyle w:val="Dvodovzprvakbodu"/>
        <w:keepNext w:val="0"/>
        <w:widowControl w:val="0"/>
        <w:numPr>
          <w:ilvl w:val="0"/>
          <w:numId w:val="68"/>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18 odst. 12 věta druhá)</w:t>
      </w:r>
    </w:p>
    <w:p w14:paraId="677A6905"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Nejméně 50 % z povinného přídělu do sociálního fondu musí být využito na příspěvky na produkty spoření na stáří zaměstnanců. Jde o příspěvky na produkty spoření na stáří, které jsou osvobozeny od daně z příjmů fyzických osob podle dosavadního § 6 odst. 9 písm. p) zákona o daních z příjmů. Jedná se o obdobné pravidlo, jako je navrhováno v případě fondu kulturních a sociálních potřeb tvořeného podle rozpočtových pravidel.</w:t>
      </w:r>
    </w:p>
    <w:p w14:paraId="5E1BD030" w14:textId="30A1D03D" w:rsidR="00133AC8" w:rsidRPr="003730B5" w:rsidRDefault="00133AC8" w:rsidP="00133AC8">
      <w:pPr>
        <w:widowControl w:val="0"/>
        <w:spacing w:before="240" w:after="120"/>
        <w:outlineLvl w:val="2"/>
        <w:rPr>
          <w:b/>
        </w:rPr>
      </w:pPr>
      <w:r w:rsidRPr="003730B5">
        <w:rPr>
          <w:b/>
        </w:rPr>
        <w:t>K čl. </w:t>
      </w:r>
      <w:r w:rsidR="00F12C3E" w:rsidRPr="003730B5">
        <w:rPr>
          <w:b/>
        </w:rPr>
        <w:t xml:space="preserve">XXXII </w:t>
      </w:r>
      <w:r w:rsidRPr="003730B5">
        <w:rPr>
          <w:b/>
        </w:rPr>
        <w:t>(Přechodn</w:t>
      </w:r>
      <w:r w:rsidR="00F12C3E" w:rsidRPr="003730B5">
        <w:rPr>
          <w:b/>
        </w:rPr>
        <w:t>é</w:t>
      </w:r>
      <w:r w:rsidRPr="003730B5">
        <w:rPr>
          <w:b/>
        </w:rPr>
        <w:t xml:space="preserve"> ustanovení)</w:t>
      </w:r>
    </w:p>
    <w:p w14:paraId="6C0EA67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Peníze, které byly alokovány v sociálním fondu přede dnem nabytí účinnosti tohoto zákona, se použijí podle navrhované právní úpravy.</w:t>
      </w:r>
    </w:p>
    <w:p w14:paraId="09141133"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devatenácté – Změna zákona o výkonu trestu odnětí svobody</w:t>
      </w:r>
    </w:p>
    <w:p w14:paraId="61E48467" w14:textId="77777777" w:rsidR="00133AC8" w:rsidRPr="003730B5" w:rsidRDefault="00133AC8" w:rsidP="00133AC8">
      <w:pPr>
        <w:pStyle w:val="Dvodovzprva"/>
        <w:widowControl w:val="0"/>
        <w:spacing w:before="0" w:after="120"/>
        <w:outlineLvl w:val="9"/>
        <w:rPr>
          <w:rFonts w:ascii="Times New Roman" w:hAnsi="Times New Roman"/>
          <w:color w:val="auto"/>
          <w:sz w:val="24"/>
        </w:rPr>
      </w:pPr>
      <w:r w:rsidRPr="003730B5">
        <w:rPr>
          <w:rFonts w:ascii="Times New Roman" w:hAnsi="Times New Roman"/>
          <w:color w:val="auto"/>
          <w:sz w:val="24"/>
        </w:rPr>
        <w:t>V rámci této části je řešen převod kompetence k vymáhání tzv. justičních pohledávek na orgány Celní správy České republiky. V podrobnostech lze odkázat na odůvodnění novely trestního řádu.</w:t>
      </w:r>
    </w:p>
    <w:p w14:paraId="16B84A13" w14:textId="53BE0D00" w:rsidR="00133AC8" w:rsidRPr="003730B5" w:rsidRDefault="00133AC8" w:rsidP="00133AC8">
      <w:pPr>
        <w:widowControl w:val="0"/>
        <w:spacing w:after="120"/>
        <w:outlineLvl w:val="2"/>
        <w:rPr>
          <w:b/>
        </w:rPr>
      </w:pPr>
      <w:r w:rsidRPr="003730B5">
        <w:rPr>
          <w:b/>
        </w:rPr>
        <w:t>K čl. </w:t>
      </w:r>
      <w:r w:rsidR="00EB13B1" w:rsidRPr="003730B5">
        <w:rPr>
          <w:b/>
        </w:rPr>
        <w:t>XXXIII</w:t>
      </w:r>
    </w:p>
    <w:p w14:paraId="36FE6889" w14:textId="77777777" w:rsidR="00133AC8" w:rsidRPr="003730B5" w:rsidRDefault="00133AC8" w:rsidP="00A24C00">
      <w:pPr>
        <w:pStyle w:val="Dvodovzprvakbodu"/>
        <w:keepNext w:val="0"/>
        <w:widowControl w:val="0"/>
        <w:numPr>
          <w:ilvl w:val="0"/>
          <w:numId w:val="10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35 odst. 3 až 5)</w:t>
      </w:r>
    </w:p>
    <w:p w14:paraId="58FD1AFF" w14:textId="4D5848E8"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Speciální úpravu upuštění od vymáhání nákladů výkonu trestu, která je obsažena ve stávajícím § 35 odst. 3 </w:t>
      </w:r>
      <w:r w:rsidR="00887D92"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887D92" w:rsidRPr="003730B5">
        <w:rPr>
          <w:rFonts w:ascii="Times New Roman" w:hAnsi="Times New Roman"/>
          <w:color w:val="auto"/>
          <w:sz w:val="24"/>
        </w:rPr>
        <w:t>výkonu trestu odnětí svobody</w:t>
      </w:r>
      <w:r w:rsidRPr="003730B5">
        <w:rPr>
          <w:rFonts w:ascii="Times New Roman" w:hAnsi="Times New Roman"/>
          <w:color w:val="auto"/>
          <w:sz w:val="24"/>
        </w:rPr>
        <w:t>, se navrhuje vypustit, neboť není věcného důvodu pro odchylnou úpravu od obecné úpravy obsažené v § 158 daňového řádu, podle které správce daně odepíše nedobytný nedoplatek, kterým se rozumí nedoplatek,</w:t>
      </w:r>
    </w:p>
    <w:p w14:paraId="01019091" w14:textId="77777777" w:rsidR="00133AC8" w:rsidRPr="003730B5" w:rsidRDefault="00133AC8" w:rsidP="00133AC8">
      <w:pPr>
        <w:pStyle w:val="Dvodovzprva"/>
        <w:widowControl w:val="0"/>
        <w:ind w:left="426" w:hanging="426"/>
        <w:rPr>
          <w:rFonts w:ascii="Times New Roman" w:hAnsi="Times New Roman"/>
          <w:color w:val="auto"/>
          <w:sz w:val="24"/>
        </w:rPr>
      </w:pPr>
      <w:r w:rsidRPr="003730B5">
        <w:rPr>
          <w:rFonts w:ascii="Times New Roman" w:hAnsi="Times New Roman"/>
          <w:color w:val="auto"/>
          <w:sz w:val="24"/>
        </w:rPr>
        <w:t>a)</w:t>
      </w:r>
      <w:r w:rsidRPr="003730B5">
        <w:rPr>
          <w:rFonts w:ascii="Times New Roman" w:hAnsi="Times New Roman"/>
          <w:color w:val="auto"/>
          <w:sz w:val="24"/>
        </w:rPr>
        <w:tab/>
        <w:t xml:space="preserve">který byl bezvýsledně vymáhán na daňovém subjektu i na jiných osobách, na nichž mohl být vymáhán, nebo jehož vymáhání by zřejmě nevedlo k výsledku, anebo u něhož je pravděpodobné, že by náklady vymáhání přesáhly jeho výtěžek, nebo </w:t>
      </w:r>
    </w:p>
    <w:p w14:paraId="3413BBAE" w14:textId="77777777" w:rsidR="00133AC8" w:rsidRPr="003730B5" w:rsidRDefault="00133AC8" w:rsidP="00133AC8">
      <w:pPr>
        <w:pStyle w:val="Dvodovzprva"/>
        <w:widowControl w:val="0"/>
        <w:ind w:left="426" w:hanging="426"/>
        <w:rPr>
          <w:rFonts w:ascii="Times New Roman" w:hAnsi="Times New Roman"/>
          <w:color w:val="auto"/>
          <w:sz w:val="24"/>
        </w:rPr>
      </w:pPr>
      <w:r w:rsidRPr="003730B5">
        <w:rPr>
          <w:rFonts w:ascii="Times New Roman" w:hAnsi="Times New Roman"/>
          <w:color w:val="auto"/>
          <w:sz w:val="24"/>
        </w:rPr>
        <w:t>b)</w:t>
      </w:r>
      <w:r w:rsidRPr="003730B5">
        <w:rPr>
          <w:rFonts w:ascii="Times New Roman" w:hAnsi="Times New Roman"/>
          <w:color w:val="auto"/>
          <w:sz w:val="24"/>
        </w:rPr>
        <w:tab/>
        <w:t>jehož vymáhání je spojeno se zvláštními nebo nepoměrnými obtížemi.</w:t>
      </w:r>
    </w:p>
    <w:p w14:paraId="7413D41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lastRenderedPageBreak/>
        <w:t>Vypouští se rovněž oprávnění ředitele věznice na základě písemné a potřebnými doklady doložené žádosti odsouzeného prominout zcela nebo zčásti povinnost uhradit náklady výkonu trestu, ze kterého byl odsouzený propuštěn, odůvodňují-li to tíživé sociální poměry odsouzeného. Pohledávky nákladů výkonu trestu odsouzeného, který byl z výkonu trestu propuštěn, bude podle § 36a odst. 3 napříště vymáhat celní úřad, není tedy už z tohoto důvodu vhodné, aby ředitel věznice mohl rozhodovat o prominutí těchto nákladů. Celní úřad pak může v těchto případech povolit posečkání úhrady daně, popřípadě rozložení její úhrady na splátky (§ 156 daňového řádu), popř. tyto pohledávky odepsat pro nedobytnost. Obdobné platí ve vztahu k prominutí povinnost uhradit další náklady spojené s výkonem trestu podle zrušovaného § 36 odst. 5 a povinnosti uhradit náhradu škody podle zrušovaného § 39a odst. 4.</w:t>
      </w:r>
    </w:p>
    <w:p w14:paraId="37BD099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Ustanovení § 35 odst. 5 se zrušuje pro nadbytečnost, neboť skutečnost, že u těchto pohledávek se nepožadují úroky z prodlení, vyplývá z § 253 odst. 3 daňového řádu.</w:t>
      </w:r>
    </w:p>
    <w:p w14:paraId="6A264FD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Úprava správy placení, vymáhání a příslušnosti k vymáhání nákladů výkonu trestu, dalších nákladů spojených s výkonem trestu a neuhrazených nákladů spojených s výkonem vazby, jakož i náhrad škody podle § 39a odst. 1, se z legislativně technických důvodů vyděluje do samostatného ustanovení § 36a.</w:t>
      </w:r>
    </w:p>
    <w:p w14:paraId="5AD26883"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36 odst. 4 až 6)</w:t>
      </w:r>
    </w:p>
    <w:p w14:paraId="55004F4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Zrušením § 36 odst. 4 a jeho obsahovou reflexí v § 36a odst. 2 bude napravena terminologická nepřesnost, když věznice v rámci vymáhání nákladů výkonu trestu (stejně tak jako dalších nákladů spojených s výkonem trestu, nákladů výkonu vazby, nákladů spojených s výkonem vazby a škody způsobené Vězeňské službě) neprovádí výkon rozhodnutí, neboť postupuje podle daňového řádu, popř. podle speciálních ustanovení upravených v zákoně o výkonu trestu odnětí svobody, zákoně o výkonu vazby či vyhlášky č. 10/2000 Sb., o srážkách z odměny osob, které jsou ve výkonu trestu odnětí svobody zaměstnány, o výkonu rozhodnutí srážkami z odměny těchto osob a chovanců zvláštních výchovných zařízení a o úhradě dalších nákladů.</w:t>
      </w:r>
    </w:p>
    <w:p w14:paraId="07EDD034"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36a)</w:t>
      </w:r>
    </w:p>
    <w:p w14:paraId="49590EF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 souladu s obecnou částí důvodové zprávy se stanovuje, že k vymáhání nákladů výkonu trestu, dalších nákladů výkonu trestu a neuhrazených nákladů spojených s výkonem vazby bude napříště příslušný celní úřad. </w:t>
      </w:r>
    </w:p>
    <w:p w14:paraId="789FFCC8" w14:textId="4EF1DA0D"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 rozdíl od jiných druhů daňových justičních pohledávek se navrhuje předávat tyto pohledávky celnímu úřadu k vymáhání až v případě, kdy vězněná osoba je propuštěna na svobodu. Důvodem pro tuto odchylku je skutečnost, že tyto náklady jsou podle platné právní úpravy po dobu výkonu trestu sráženy z odměny za práci, věznice může k jejich úhradě použít peněžní prostředky, které má odsouzený uloženy ve věznici, event. výkon rozhodnutí lze provést přikázáním pohledávky. Není racionální, aby v těchto případech byly pohledávky předávány celním úřadům, nemluvě o tom, že by bylo poměrně značně administrativně náročné zajistit respektování osvobození od povinnosti hradit náklady výkonu trestu podle § 35 odst. 2 </w:t>
      </w:r>
      <w:r w:rsidR="00887D92"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887D92" w:rsidRPr="003730B5">
        <w:rPr>
          <w:rFonts w:ascii="Times New Roman" w:hAnsi="Times New Roman"/>
          <w:color w:val="auto"/>
          <w:sz w:val="24"/>
        </w:rPr>
        <w:t>výkonu trestu odnětí svobody</w:t>
      </w:r>
      <w:r w:rsidRPr="003730B5">
        <w:rPr>
          <w:rFonts w:ascii="Times New Roman" w:hAnsi="Times New Roman"/>
          <w:color w:val="auto"/>
          <w:sz w:val="24"/>
        </w:rPr>
        <w:t xml:space="preserve">, postup podle vyhlášky č. 10/2000 Sb., apod., nemluvě o množství pohledávek, které by takto byly každoměsíčně předávány Vězeňskou službou celním úřadům. </w:t>
      </w:r>
    </w:p>
    <w:p w14:paraId="2CB189C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Vzhledem k tomu, že úhrada nákladů výkonu trestu, dalších nákladů spojených s výkonem trestu a neuhrazených nákladů spojených s výkonem vazby prostřednictvím srážek z odměny za práci, z peněz uložených ve věznici či přikázáním pohledávky může být poměrně dlouhodobou záležitostí, navrhuje se, aby se po dobu výkonu trestu stavěla lhůta pro jejich placení – jde tak o ustanovení doplňující § 160 odst. 4 daňového řádu, jde přitom o situace analogické ustanovení § 160 odst. 4 písm. d) daňového řádu.</w:t>
      </w:r>
    </w:p>
    <w:p w14:paraId="32007522"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lastRenderedPageBreak/>
        <w:t> (§ 39a odst. 3)</w:t>
      </w:r>
    </w:p>
    <w:p w14:paraId="569A764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Také pro správu placení náhrady škody způsobené odsouzeným podle § 39a odst. 1 se obdobně použijí pravidla stanovená v § 36a; po odsouzeném, který byl propuštěn z výkonu trestu, bude náhradu škody vymáhat celní úřad.</w:t>
      </w:r>
    </w:p>
    <w:p w14:paraId="7EB7CB2B"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39a odst. 4)</w:t>
      </w:r>
    </w:p>
    <w:p w14:paraId="6BFA20D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Viz odůvodnění k novelizaci § 35 a 36.</w:t>
      </w:r>
    </w:p>
    <w:p w14:paraId="75CB9C04" w14:textId="67FC1DA5" w:rsidR="00133AC8" w:rsidRPr="003730B5" w:rsidRDefault="00133AC8" w:rsidP="00133AC8">
      <w:pPr>
        <w:widowControl w:val="0"/>
        <w:spacing w:before="240" w:after="120"/>
        <w:outlineLvl w:val="2"/>
        <w:rPr>
          <w:b/>
        </w:rPr>
      </w:pPr>
      <w:r w:rsidRPr="003730B5">
        <w:rPr>
          <w:b/>
        </w:rPr>
        <w:t>K čl. </w:t>
      </w:r>
      <w:r w:rsidR="00EB13B1" w:rsidRPr="003730B5">
        <w:rPr>
          <w:b/>
        </w:rPr>
        <w:t xml:space="preserve">XXXIV </w:t>
      </w:r>
      <w:r w:rsidRPr="003730B5">
        <w:rPr>
          <w:b/>
        </w:rPr>
        <w:t>(Přechodná ustanovení)</w:t>
      </w:r>
    </w:p>
    <w:p w14:paraId="1F2D4EA6"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K vymáhání pohledávek, jejichž správa placení se řídí daňovým řádem, bude celní úřad příslušný ode dne nabytí účinnosti tohoto zákona v případě těch pohledávek, které vzniknou ode dne nabytí účinnosti tohoto zákona.</w:t>
      </w:r>
    </w:p>
    <w:p w14:paraId="282F0043"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K vymáhání pohledávek, jejichž správa placení se řídí daňovým řádem, které vznikly přede dnem nabytí účinnosti tohoto zákona, nebyly však předány k vymáhání soudnímu exekutorovi, uplatněny v insolvenčním řízení nebo přihlášeny do veřejné dražby podle § 175 odst. 1 daňového řádu, bude celní úřad příslušný ode dne převzetí jejich vymáhání. Nebyla-li daňová exekuce pro takovou pohledávku ke dni nabytí účinnosti tohoto zákona nařízena vydáním exekučního příkazu, předá orgán, který je příslušný k jejímu vymáhání podle stávající právní úpravy, pohledávku k vymáhání celnímu úřadu bez zbytečného odkladu, nejpozději do 30. 6. 2024. Byla-li ke dni nabytí účinnosti tohoto zákona pro pohledávku nařízena daňová exekuce vydáním exekučního příkazu, postupují orgány příslušné k jejímu vymáhání podle stávající právní úpravy k jejímu vymožení. Pohledávky, které tímto postupem nebudou zcela vymoženy, předá orgán příslušný k jejich vymáhání podle stávající právní úpravy k vymáhání celnímu úřadu do 31. 12. 2024. </w:t>
      </w:r>
    </w:p>
    <w:p w14:paraId="2E29C88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Příslušnost k vymáhání pohledávek, které vznikly přede dnem účinnosti tohoto zákona a byly předány k vymáhání soudnímu exekutorovi, uplatněny v insolvenčním řízení nebo přihlášeny do veřejné dražby podle § 175 odst. 1 daňového řádu, se z procesních důvodů nemění.</w:t>
      </w:r>
    </w:p>
    <w:p w14:paraId="13FEDA1B"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dvacáté – Změna zákona o Státním fondu dopravní infrastruktury</w:t>
      </w:r>
    </w:p>
    <w:p w14:paraId="33020956" w14:textId="23D0032E" w:rsidR="00133AC8" w:rsidRPr="003730B5" w:rsidRDefault="00133AC8" w:rsidP="00133AC8">
      <w:pPr>
        <w:widowControl w:val="0"/>
        <w:spacing w:after="120"/>
        <w:outlineLvl w:val="2"/>
        <w:rPr>
          <w:b/>
        </w:rPr>
      </w:pPr>
      <w:r w:rsidRPr="003730B5">
        <w:rPr>
          <w:b/>
        </w:rPr>
        <w:t>K čl. </w:t>
      </w:r>
      <w:r w:rsidR="00EB13B1" w:rsidRPr="003730B5">
        <w:rPr>
          <w:b/>
        </w:rPr>
        <w:t>XXXV</w:t>
      </w:r>
    </w:p>
    <w:p w14:paraId="702D05AD" w14:textId="2F470289" w:rsidR="00133AC8" w:rsidRPr="003730B5" w:rsidRDefault="00133AC8" w:rsidP="00133AC8">
      <w:pPr>
        <w:pStyle w:val="Dvodovzprvakbodu"/>
        <w:keepNext w:val="0"/>
        <w:widowControl w:val="0"/>
        <w:numPr>
          <w:ilvl w:val="0"/>
          <w:numId w:val="53"/>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 odst. 1 písm. a) a poznámka pod čarou č. 9)</w:t>
      </w:r>
    </w:p>
    <w:p w14:paraId="0A3FAB19" w14:textId="7086A824" w:rsidR="00133AC8" w:rsidRPr="003730B5" w:rsidRDefault="00133AC8" w:rsidP="00133AC8">
      <w:pPr>
        <w:spacing w:before="120"/>
        <w:outlineLvl w:val="0"/>
      </w:pPr>
      <w:r w:rsidRPr="003730B5">
        <w:t xml:space="preserve">Protože se navrhuje v rámci novely zákona o rozpočtovém určení daní zrušení příjmu Státního fondu dopravní infrastruktury ze silniční daně, je nutné tuto skutečnost zohlednit i v zákoně o Státním fondu dopravní infrastruktury, a příjem z této daně odstranit z výčtu příjmů tohoto fondu spolu se zrušením poznámky pod čarou č. 9. </w:t>
      </w:r>
    </w:p>
    <w:p w14:paraId="47938B43" w14:textId="77777777" w:rsidR="00133AC8" w:rsidRPr="003730B5" w:rsidRDefault="00133AC8" w:rsidP="00133AC8">
      <w:pPr>
        <w:pStyle w:val="Dvodovzprvakbodu"/>
        <w:keepNext w:val="0"/>
        <w:widowControl w:val="0"/>
        <w:numPr>
          <w:ilvl w:val="0"/>
          <w:numId w:val="53"/>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(poznámka pod čarou č. 10)</w:t>
      </w:r>
    </w:p>
    <w:p w14:paraId="0252777D" w14:textId="77777777" w:rsidR="00133AC8" w:rsidRPr="003730B5" w:rsidRDefault="00133AC8" w:rsidP="00133AC8">
      <w:pPr>
        <w:spacing w:before="120"/>
        <w:outlineLvl w:val="0"/>
      </w:pPr>
      <w:r w:rsidRPr="003730B5">
        <w:t>V návaznosti na skutečnosti uvedené pod bodem 1 je zároveň nutné upravit znění poznámky pod čarou č. 10.</w:t>
      </w:r>
    </w:p>
    <w:p w14:paraId="30BEAA56"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dvacáté první – Změna rozpočtových pravidel</w:t>
      </w:r>
    </w:p>
    <w:p w14:paraId="1D997A5E" w14:textId="7C7E85B8" w:rsidR="00133AC8" w:rsidRPr="003730B5" w:rsidRDefault="00133AC8" w:rsidP="00133AC8">
      <w:pPr>
        <w:widowControl w:val="0"/>
        <w:spacing w:after="120"/>
        <w:outlineLvl w:val="2"/>
        <w:rPr>
          <w:b/>
        </w:rPr>
      </w:pPr>
      <w:r w:rsidRPr="003730B5">
        <w:rPr>
          <w:b/>
        </w:rPr>
        <w:t>K čl. </w:t>
      </w:r>
      <w:r w:rsidR="00EB13B1" w:rsidRPr="003730B5">
        <w:rPr>
          <w:b/>
        </w:rPr>
        <w:t>XXXVI</w:t>
      </w:r>
    </w:p>
    <w:p w14:paraId="23F81974" w14:textId="14D4014E" w:rsidR="00133AC8" w:rsidRPr="003730B5" w:rsidRDefault="00133AC8" w:rsidP="00133AC8">
      <w:pPr>
        <w:pStyle w:val="Dvodovzprvakbodu"/>
        <w:keepNext w:val="0"/>
        <w:widowControl w:val="0"/>
        <w:numPr>
          <w:ilvl w:val="0"/>
          <w:numId w:val="61"/>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8b</w:t>
      </w:r>
      <w:r w:rsidR="002E4B46" w:rsidRPr="003730B5">
        <w:rPr>
          <w:rFonts w:ascii="Times New Roman" w:hAnsi="Times New Roman"/>
          <w:color w:val="auto"/>
          <w:sz w:val="24"/>
          <w:szCs w:val="24"/>
        </w:rPr>
        <w:t xml:space="preserve"> odst. 1 písm. c)</w:t>
      </w:r>
      <w:r w:rsidRPr="003730B5">
        <w:rPr>
          <w:rFonts w:ascii="Times New Roman" w:hAnsi="Times New Roman"/>
          <w:color w:val="auto"/>
          <w:sz w:val="24"/>
          <w:szCs w:val="24"/>
        </w:rPr>
        <w:t>)</w:t>
      </w:r>
    </w:p>
    <w:p w14:paraId="7FF53E8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Vypuštěním povinnosti předkládat na jednání vlády předběžný návrh příjmů a výdajů státního rozpočtu na následující rozpočtový rok v členění podle kapitol, předběžný návrh příjmů a výdajů státního rozpočtu a státních fondů pro účely střednědobého výhledu a návrh celkových </w:t>
      </w:r>
      <w:r w:rsidRPr="003730B5">
        <w:rPr>
          <w:rFonts w:ascii="Times New Roman" w:hAnsi="Times New Roman"/>
          <w:color w:val="auto"/>
          <w:sz w:val="24"/>
        </w:rPr>
        <w:lastRenderedPageBreak/>
        <w:t>výdajů jednotlivých státních fondů se snižuje administrativní náročnost přípravy státního rozpočtu a střednědobého výhledu státního rozpočtu.</w:t>
      </w:r>
    </w:p>
    <w:p w14:paraId="7E6D5EAB" w14:textId="77777777" w:rsidR="00133AC8" w:rsidRPr="003730B5" w:rsidRDefault="00133AC8" w:rsidP="00133AC8">
      <w:pPr>
        <w:pStyle w:val="Dvodovzprvakbodu"/>
        <w:keepNext w:val="0"/>
        <w:widowControl w:val="0"/>
        <w:numPr>
          <w:ilvl w:val="0"/>
          <w:numId w:val="61"/>
        </w:numPr>
        <w:tabs>
          <w:tab w:val="left" w:pos="708"/>
        </w:tabs>
        <w:outlineLvl w:val="3"/>
        <w:rPr>
          <w:rFonts w:ascii="Times New Roman" w:hAnsi="Times New Roman"/>
          <w:color w:val="auto"/>
          <w:sz w:val="24"/>
        </w:rPr>
      </w:pPr>
      <w:r w:rsidRPr="003730B5">
        <w:rPr>
          <w:rFonts w:ascii="Times New Roman" w:hAnsi="Times New Roman"/>
          <w:color w:val="auto"/>
          <w:sz w:val="24"/>
        </w:rPr>
        <w:t>(§ 13 odst. 7)</w:t>
      </w:r>
    </w:p>
    <w:p w14:paraId="44D5AFD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Hranice pro schvalování účasti státního rozpočtu na financování investičních programů je stanovena rozpočtovými pravidly. Stejně je upravena hranice pro individuálně posuzované výdaje organizačních složek státu a hranice pro individuální dotace. Nabytím účinnosti navrhovaného zákona by tyto hranice mohla nařízením stanovit vláda.</w:t>
      </w:r>
    </w:p>
    <w:p w14:paraId="54C7D6B2"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bodům 3, 4, 7 a 11 až 14 (§ 48 odst. 8, § 49 odst. 11, poznámky pod čarou č. 12a, 12b a 34, § 60, § 62 odst. 4 a § 65)</w:t>
      </w:r>
    </w:p>
    <w:p w14:paraId="118453B7" w14:textId="78ED4F28"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 rámci konsolidace veřejných rozpočtů se snižuje povinný příděl do fondu kulturních a sociálních potřeb </w:t>
      </w:r>
      <w:r w:rsidR="00D03256" w:rsidRPr="003730B5">
        <w:rPr>
          <w:rFonts w:ascii="Times New Roman" w:hAnsi="Times New Roman"/>
          <w:color w:val="auto"/>
          <w:sz w:val="24"/>
        </w:rPr>
        <w:t>z </w:t>
      </w:r>
      <w:r w:rsidRPr="003730B5">
        <w:rPr>
          <w:rFonts w:ascii="Times New Roman" w:hAnsi="Times New Roman"/>
          <w:color w:val="auto"/>
          <w:sz w:val="24"/>
        </w:rPr>
        <w:t>2 % na 1 % z ročního objemu platů, nebo mezd případně jejich náhrad a dalších odměn stanovených v § 48 odst. 8 a </w:t>
      </w:r>
      <w:r w:rsidR="007C379C" w:rsidRPr="003730B5">
        <w:rPr>
          <w:rFonts w:ascii="Times New Roman" w:hAnsi="Times New Roman"/>
          <w:color w:val="auto"/>
          <w:sz w:val="24"/>
        </w:rPr>
        <w:t xml:space="preserve">§ </w:t>
      </w:r>
      <w:r w:rsidRPr="003730B5">
        <w:rPr>
          <w:rFonts w:ascii="Times New Roman" w:hAnsi="Times New Roman"/>
          <w:color w:val="auto"/>
          <w:sz w:val="24"/>
        </w:rPr>
        <w:t xml:space="preserve">60 rozpočtových pravidel. </w:t>
      </w:r>
    </w:p>
    <w:p w14:paraId="1C8C604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Nejméně 50 % z povinného přídělu do fondu kulturních a sociálních potřeb musí být využito na příspěvky na produkty spoření na stáří zaměstnanců. Jde o příspěvky na produkty spoření na stáří, které jsou osvobozeny od daně z příjmů fyzických osob podle zákona o daních z příjmů.</w:t>
      </w:r>
    </w:p>
    <w:p w14:paraId="50568AF7"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bodům 5 a 6 (§ 49 odst. 2 a poznámka pod čarou č. 26a)</w:t>
      </w:r>
    </w:p>
    <w:p w14:paraId="231DF34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Rozpočtová pravidla jsou obecným právním předpisem pro peněžní hospodaření organizačních složek státu. Pokud jiné právní předpisy upravují problematiku záloh jinak než rozpočtová pravidla, mají tyto jiné právní předpisy při aplikaci přednost.</w:t>
      </w:r>
    </w:p>
    <w:p w14:paraId="4F0AEAEB"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bodům 8 až 10 (§ 56 odst. 2 a § 58 odst. 5)</w:t>
      </w:r>
    </w:p>
    <w:p w14:paraId="70E32A6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rozšíření možností posílit fond reprodukce majetku státních příspěvkových organizací, a to z důvodu posílení možnosti těchto organizací zajistit si prostředky na investice bez nutnosti dotací z rozpočtu jejich zřizovatele. V této souvislosti se navrhuje zakotvit i možnost větší část zlepšeného hospodářského výsledku použít na posílení fondu reprodukce majetku na úkor fondu odměn.</w:t>
      </w:r>
    </w:p>
    <w:p w14:paraId="55DFE832"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color w:val="auto"/>
          <w:sz w:val="24"/>
        </w:rPr>
        <w:t>K bodu 15 (§ 74)</w:t>
      </w:r>
    </w:p>
    <w:p w14:paraId="09DBBA6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legislativně technická úprava odpovídající současné právní terminologii.</w:t>
      </w:r>
    </w:p>
    <w:p w14:paraId="4D89EA83" w14:textId="026C4F8E" w:rsidR="00133AC8" w:rsidRPr="003730B5" w:rsidRDefault="00133AC8" w:rsidP="00133AC8">
      <w:pPr>
        <w:widowControl w:val="0"/>
        <w:spacing w:before="240" w:after="120"/>
        <w:outlineLvl w:val="2"/>
        <w:rPr>
          <w:b/>
        </w:rPr>
      </w:pPr>
      <w:r w:rsidRPr="003730B5">
        <w:rPr>
          <w:b/>
        </w:rPr>
        <w:t>K čl. </w:t>
      </w:r>
      <w:r w:rsidR="00EB13B1" w:rsidRPr="003730B5">
        <w:rPr>
          <w:b/>
        </w:rPr>
        <w:t xml:space="preserve">XXXVII </w:t>
      </w:r>
      <w:r w:rsidRPr="003730B5">
        <w:rPr>
          <w:b/>
        </w:rPr>
        <w:t>(Zrušovací ustanovení)</w:t>
      </w:r>
    </w:p>
    <w:p w14:paraId="3EF6842C" w14:textId="7723063C" w:rsidR="00133AC8" w:rsidRPr="003730B5" w:rsidRDefault="008E26B2" w:rsidP="00133AC8">
      <w:pPr>
        <w:pStyle w:val="Dvodovzprva"/>
        <w:widowControl w:val="0"/>
        <w:rPr>
          <w:rFonts w:ascii="Times New Roman" w:hAnsi="Times New Roman"/>
          <w:color w:val="auto"/>
          <w:sz w:val="24"/>
        </w:rPr>
      </w:pPr>
      <w:r w:rsidRPr="003730B5">
        <w:rPr>
          <w:rFonts w:ascii="Times New Roman" w:hAnsi="Times New Roman"/>
          <w:color w:val="auto"/>
          <w:sz w:val="24"/>
        </w:rPr>
        <w:t>V návaznosti na změny rozpočtových pravidel se s</w:t>
      </w:r>
      <w:r w:rsidR="00133AC8" w:rsidRPr="003730B5">
        <w:rPr>
          <w:rFonts w:ascii="Times New Roman" w:hAnsi="Times New Roman"/>
          <w:color w:val="auto"/>
          <w:sz w:val="24"/>
        </w:rPr>
        <w:t xml:space="preserve">oučasně zrušuje vyhláška </w:t>
      </w:r>
      <w:r w:rsidR="00D03256" w:rsidRPr="003730B5">
        <w:rPr>
          <w:rFonts w:ascii="Times New Roman" w:hAnsi="Times New Roman"/>
          <w:color w:val="auto"/>
          <w:sz w:val="24"/>
        </w:rPr>
        <w:t>o </w:t>
      </w:r>
      <w:r w:rsidR="00D6156C" w:rsidRPr="003730B5">
        <w:rPr>
          <w:rFonts w:ascii="Times New Roman" w:hAnsi="Times New Roman"/>
          <w:color w:val="auto"/>
          <w:sz w:val="24"/>
        </w:rPr>
        <w:t>FKSP</w:t>
      </w:r>
      <w:r w:rsidR="00133AC8" w:rsidRPr="003730B5">
        <w:rPr>
          <w:rFonts w:ascii="Times New Roman" w:hAnsi="Times New Roman"/>
          <w:color w:val="auto"/>
          <w:sz w:val="24"/>
        </w:rPr>
        <w:t>.</w:t>
      </w:r>
    </w:p>
    <w:p w14:paraId="12396AFF" w14:textId="28CFCC81" w:rsidR="00133AC8" w:rsidRPr="003730B5" w:rsidRDefault="00133AC8" w:rsidP="00133AC8">
      <w:pPr>
        <w:widowControl w:val="0"/>
        <w:spacing w:before="240" w:after="120"/>
        <w:outlineLvl w:val="2"/>
        <w:rPr>
          <w:b/>
        </w:rPr>
      </w:pPr>
      <w:r w:rsidRPr="003730B5">
        <w:rPr>
          <w:b/>
        </w:rPr>
        <w:t>K čl. </w:t>
      </w:r>
      <w:r w:rsidR="00EB13B1" w:rsidRPr="003730B5">
        <w:rPr>
          <w:b/>
        </w:rPr>
        <w:t xml:space="preserve">XXXVIII </w:t>
      </w:r>
      <w:r w:rsidRPr="003730B5">
        <w:rPr>
          <w:b/>
        </w:rPr>
        <w:t>(Přechodné ustanovení)</w:t>
      </w:r>
    </w:p>
    <w:p w14:paraId="3FCA7867" w14:textId="745EB1EE"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Peníze, které byly alokovány ve fondu kulturních a sociálních potřeb přede dnem nabytí účinnosti tohoto zákona</w:t>
      </w:r>
      <w:r w:rsidR="00793F42" w:rsidRPr="003730B5">
        <w:rPr>
          <w:rFonts w:ascii="Times New Roman" w:hAnsi="Times New Roman"/>
          <w:color w:val="auto"/>
          <w:sz w:val="24"/>
        </w:rPr>
        <w:t>,</w:t>
      </w:r>
      <w:r w:rsidRPr="003730B5">
        <w:rPr>
          <w:rFonts w:ascii="Times New Roman" w:hAnsi="Times New Roman"/>
          <w:color w:val="auto"/>
          <w:sz w:val="24"/>
        </w:rPr>
        <w:t xml:space="preserve"> se použijí podle navrhované právní úpravy.</w:t>
      </w:r>
    </w:p>
    <w:p w14:paraId="5579D0FF"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dvacáté druhé – Změna zákona o rozpočtovém určení daní</w:t>
      </w:r>
    </w:p>
    <w:p w14:paraId="3D53AEB6" w14:textId="35F58464" w:rsidR="00133AC8" w:rsidRPr="003730B5" w:rsidRDefault="00133AC8" w:rsidP="00133AC8">
      <w:pPr>
        <w:widowControl w:val="0"/>
        <w:spacing w:after="120"/>
        <w:outlineLvl w:val="2"/>
        <w:rPr>
          <w:b/>
        </w:rPr>
      </w:pPr>
      <w:r w:rsidRPr="003730B5">
        <w:rPr>
          <w:b/>
        </w:rPr>
        <w:t>K čl. </w:t>
      </w:r>
      <w:r w:rsidR="00B70317" w:rsidRPr="003730B5">
        <w:rPr>
          <w:b/>
        </w:rPr>
        <w:t>XXXIX</w:t>
      </w:r>
    </w:p>
    <w:p w14:paraId="4E62616B" w14:textId="77777777" w:rsidR="00133AC8" w:rsidRPr="003730B5" w:rsidRDefault="00133AC8" w:rsidP="00133AC8">
      <w:pPr>
        <w:pStyle w:val="Dvodovzprvakbodu"/>
        <w:widowControl w:val="0"/>
        <w:numPr>
          <w:ilvl w:val="0"/>
          <w:numId w:val="60"/>
        </w:numPr>
        <w:tabs>
          <w:tab w:val="left" w:pos="708"/>
        </w:tabs>
        <w:outlineLvl w:val="3"/>
        <w:rPr>
          <w:rFonts w:ascii="Times New Roman" w:hAnsi="Times New Roman"/>
          <w:color w:val="auto"/>
          <w:sz w:val="24"/>
          <w:szCs w:val="24"/>
        </w:rPr>
      </w:pPr>
      <w:r w:rsidRPr="003730B5">
        <w:rPr>
          <w:rFonts w:ascii="Times New Roman" w:hAnsi="Times New Roman"/>
          <w:color w:val="auto"/>
          <w:sz w:val="24"/>
        </w:rPr>
        <w:t>(§ 1)</w:t>
      </w:r>
    </w:p>
    <w:p w14:paraId="2F4035E4"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Předmět úpravy se upravuje v návaznosti na zrušení příjmu Státního fondu dopravní infrastruktury z daně silniční.</w:t>
      </w:r>
    </w:p>
    <w:p w14:paraId="4D603482" w14:textId="4C165174" w:rsidR="00133AC8" w:rsidRPr="003730B5" w:rsidRDefault="00133AC8" w:rsidP="00133AC8">
      <w:pPr>
        <w:pStyle w:val="Dvodovzprvakbodu"/>
        <w:widowControl w:val="0"/>
        <w:numPr>
          <w:ilvl w:val="0"/>
          <w:numId w:val="60"/>
        </w:numPr>
        <w:tabs>
          <w:tab w:val="left" w:pos="708"/>
        </w:tabs>
        <w:outlineLvl w:val="3"/>
        <w:rPr>
          <w:rFonts w:ascii="Times New Roman" w:hAnsi="Times New Roman"/>
          <w:color w:val="auto"/>
          <w:sz w:val="24"/>
        </w:rPr>
      </w:pPr>
      <w:r w:rsidRPr="003730B5">
        <w:rPr>
          <w:rFonts w:ascii="Times New Roman" w:hAnsi="Times New Roman"/>
          <w:color w:val="auto"/>
          <w:sz w:val="24"/>
        </w:rPr>
        <w:t>(§ 3 odst. 1 písm. c) až g)</w:t>
      </w:r>
      <w:r w:rsidR="00E353BE" w:rsidRPr="003730B5">
        <w:rPr>
          <w:rFonts w:ascii="Times New Roman" w:hAnsi="Times New Roman"/>
          <w:color w:val="auto"/>
          <w:sz w:val="24"/>
        </w:rPr>
        <w:t>)</w:t>
      </w:r>
    </w:p>
    <w:p w14:paraId="7ECB406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Nově se upravuje výše daňových podílů krajů na DPFO a DPPO rozdílně pro rok 2024 (9,70 %) a 2025 (9,27 %) v návaznosti na předpokládané změny inkasa vlivem navržených opatření </w:t>
      </w:r>
      <w:r w:rsidRPr="003730B5">
        <w:rPr>
          <w:rFonts w:ascii="Times New Roman" w:hAnsi="Times New Roman"/>
          <w:color w:val="auto"/>
          <w:sz w:val="24"/>
        </w:rPr>
        <w:lastRenderedPageBreak/>
        <w:t>s efekty do výnosu DPFO a DPPO v jednotlivých letech. K naplnění priority konsolidace státních financí se výše daňových podílů krajů nově navrhuje na úrovni, která krajům ve výchozím roce přinese takovou výši daňových příjmů, jakou by získaly při dosavadním daňovém podílu (9,78 %), pokud by konsolidační balíček nebyl předkládán. Stávající podíl krajů na DPH (9,78 %) se nemění.</w:t>
      </w:r>
    </w:p>
    <w:p w14:paraId="5672C62C" w14:textId="75A60553" w:rsidR="00133AC8" w:rsidRPr="003730B5" w:rsidRDefault="00133AC8" w:rsidP="00133AC8">
      <w:pPr>
        <w:pStyle w:val="Dvodovzprvakbodu"/>
        <w:widowControl w:val="0"/>
        <w:numPr>
          <w:ilvl w:val="0"/>
          <w:numId w:val="60"/>
        </w:numPr>
        <w:tabs>
          <w:tab w:val="left" w:pos="708"/>
        </w:tabs>
        <w:outlineLvl w:val="3"/>
        <w:rPr>
          <w:rFonts w:ascii="Times New Roman" w:hAnsi="Times New Roman"/>
          <w:color w:val="auto"/>
          <w:sz w:val="24"/>
        </w:rPr>
      </w:pPr>
      <w:r w:rsidRPr="003730B5">
        <w:rPr>
          <w:rFonts w:ascii="Times New Roman" w:hAnsi="Times New Roman"/>
          <w:color w:val="auto"/>
          <w:sz w:val="24"/>
        </w:rPr>
        <w:t>(§ 3 odst. 1 písm. c) až g)</w:t>
      </w:r>
      <w:r w:rsidR="00E353BE" w:rsidRPr="003730B5">
        <w:rPr>
          <w:rFonts w:ascii="Times New Roman" w:hAnsi="Times New Roman"/>
          <w:color w:val="auto"/>
          <w:sz w:val="24"/>
        </w:rPr>
        <w:t>)</w:t>
      </w:r>
    </w:p>
    <w:p w14:paraId="0C297183"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Srov. důvodovou zprávu k bodu č. 2.</w:t>
      </w:r>
    </w:p>
    <w:p w14:paraId="2CF454CE" w14:textId="4FCDCAC6" w:rsidR="00133AC8" w:rsidRPr="003730B5" w:rsidRDefault="00133AC8" w:rsidP="00133AC8">
      <w:pPr>
        <w:pStyle w:val="Dvodovzprvakbodu"/>
        <w:widowControl w:val="0"/>
        <w:numPr>
          <w:ilvl w:val="0"/>
          <w:numId w:val="60"/>
        </w:numPr>
        <w:tabs>
          <w:tab w:val="left" w:pos="708"/>
        </w:tabs>
        <w:outlineLvl w:val="3"/>
        <w:rPr>
          <w:rFonts w:ascii="Times New Roman" w:hAnsi="Times New Roman"/>
          <w:color w:val="auto"/>
          <w:sz w:val="24"/>
        </w:rPr>
      </w:pPr>
      <w:r w:rsidRPr="003730B5">
        <w:rPr>
          <w:rFonts w:ascii="Times New Roman" w:hAnsi="Times New Roman"/>
          <w:color w:val="auto"/>
          <w:sz w:val="24"/>
        </w:rPr>
        <w:t>(§ 4 odst. 1 písm. a)</w:t>
      </w:r>
      <w:r w:rsidR="00E353BE" w:rsidRPr="003730B5">
        <w:rPr>
          <w:rFonts w:ascii="Times New Roman" w:hAnsi="Times New Roman"/>
          <w:color w:val="auto"/>
          <w:sz w:val="24"/>
        </w:rPr>
        <w:t>)</w:t>
      </w:r>
    </w:p>
    <w:p w14:paraId="34662EB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Navržené ustanovení reaguje na návrh úpravy, která zavádí sdílení daně z nemovitých věcí, přičemž zákon o dani z nemovitých věcí bude upravovat způsob výpočtu státní a místní části této daně.</w:t>
      </w:r>
    </w:p>
    <w:p w14:paraId="4F1BE293" w14:textId="3200762E" w:rsidR="00133AC8" w:rsidRPr="003730B5" w:rsidRDefault="00133AC8" w:rsidP="00133AC8">
      <w:pPr>
        <w:pStyle w:val="Dvodovzprvakbodu"/>
        <w:widowControl w:val="0"/>
        <w:numPr>
          <w:ilvl w:val="0"/>
          <w:numId w:val="60"/>
        </w:numPr>
        <w:tabs>
          <w:tab w:val="left" w:pos="708"/>
        </w:tabs>
        <w:outlineLvl w:val="3"/>
        <w:rPr>
          <w:rFonts w:ascii="Times New Roman" w:hAnsi="Times New Roman"/>
          <w:color w:val="auto"/>
          <w:sz w:val="24"/>
        </w:rPr>
      </w:pPr>
      <w:r w:rsidRPr="003730B5">
        <w:rPr>
          <w:rFonts w:ascii="Times New Roman" w:hAnsi="Times New Roman"/>
          <w:color w:val="auto"/>
          <w:sz w:val="24"/>
        </w:rPr>
        <w:t>(§ 4 odst. 1 písm. c) až f) a i)</w:t>
      </w:r>
      <w:r w:rsidR="00E353BE" w:rsidRPr="003730B5">
        <w:rPr>
          <w:rFonts w:ascii="Times New Roman" w:hAnsi="Times New Roman"/>
          <w:color w:val="auto"/>
          <w:sz w:val="24"/>
        </w:rPr>
        <w:t>)</w:t>
      </w:r>
    </w:p>
    <w:p w14:paraId="7BCFFA0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Nově se upravuje výše daňových podílů obcí na DPPO a DPFO rozdílně pro rok 2024 (25,72 %) a 2025 (24,47 %) v návaznosti na předpokládané změny inkasa vlivem navržených opatření s efekty do výnosu DPFO a DPPO. K naplnění priority konsolidace státních financí se výše daňových podílů obcí nově navrhuje na úrovni, která obcím ve výchozím roce přinese takovou výši daňových příjmů, jakou by získaly při dosavadních daňových podílech (25,84 %), pokud by konsolidační balíček nebyl předkládán. Stávající podíl obcí na DPH (25,84 %) se nemění.</w:t>
      </w:r>
    </w:p>
    <w:p w14:paraId="74B84D43" w14:textId="306FEA4C" w:rsidR="00133AC8" w:rsidRPr="003730B5" w:rsidRDefault="00133AC8" w:rsidP="00133AC8">
      <w:pPr>
        <w:pStyle w:val="Dvodovzprvakbodu"/>
        <w:widowControl w:val="0"/>
        <w:numPr>
          <w:ilvl w:val="0"/>
          <w:numId w:val="60"/>
        </w:numPr>
        <w:tabs>
          <w:tab w:val="left" w:pos="708"/>
        </w:tabs>
        <w:outlineLvl w:val="3"/>
        <w:rPr>
          <w:rFonts w:ascii="Times New Roman" w:hAnsi="Times New Roman"/>
          <w:color w:val="auto"/>
          <w:sz w:val="24"/>
        </w:rPr>
      </w:pPr>
      <w:r w:rsidRPr="003730B5">
        <w:rPr>
          <w:rFonts w:ascii="Times New Roman" w:hAnsi="Times New Roman"/>
          <w:color w:val="auto"/>
          <w:sz w:val="24"/>
        </w:rPr>
        <w:t>(§ 4 odst. 1 písm. c) až f) a i)</w:t>
      </w:r>
      <w:r w:rsidR="00E353BE" w:rsidRPr="003730B5">
        <w:rPr>
          <w:rFonts w:ascii="Times New Roman" w:hAnsi="Times New Roman"/>
          <w:color w:val="auto"/>
          <w:sz w:val="24"/>
        </w:rPr>
        <w:t>)</w:t>
      </w:r>
    </w:p>
    <w:p w14:paraId="5D78F874"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Srov. důvodovou zprávu k bodu č. 5.</w:t>
      </w:r>
    </w:p>
    <w:p w14:paraId="04E05063" w14:textId="77777777" w:rsidR="00133AC8" w:rsidRPr="003730B5" w:rsidRDefault="00133AC8" w:rsidP="00133AC8">
      <w:pPr>
        <w:pStyle w:val="Dvodovzprvakbodu"/>
        <w:widowControl w:val="0"/>
        <w:numPr>
          <w:ilvl w:val="0"/>
          <w:numId w:val="60"/>
        </w:numPr>
        <w:tabs>
          <w:tab w:val="left" w:pos="708"/>
        </w:tabs>
        <w:outlineLvl w:val="3"/>
        <w:rPr>
          <w:rFonts w:ascii="Times New Roman" w:hAnsi="Times New Roman"/>
          <w:color w:val="auto"/>
          <w:sz w:val="24"/>
        </w:rPr>
      </w:pPr>
      <w:r w:rsidRPr="003730B5">
        <w:rPr>
          <w:rFonts w:ascii="Times New Roman" w:hAnsi="Times New Roman"/>
          <w:color w:val="auto"/>
          <w:sz w:val="24"/>
        </w:rPr>
        <w:t>(§ 5)</w:t>
      </w:r>
    </w:p>
    <w:p w14:paraId="2C789C1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Z důvodu postupného snižování inkasa daně silniční a z důvodu složitého způsobu administrace vracení přeplatků vzniklých na této dani se navrhuje zrušit podíl Státního fondu dopravní infrastruktury na celostátním hrubém výnosu daně silniční.</w:t>
      </w:r>
    </w:p>
    <w:p w14:paraId="2A07F133" w14:textId="57C7D590" w:rsidR="00133AC8" w:rsidRPr="003730B5" w:rsidRDefault="00133AC8" w:rsidP="00133AC8">
      <w:pPr>
        <w:pStyle w:val="Dvodovzprva"/>
        <w:widowControl w:val="0"/>
        <w:rPr>
          <w:rFonts w:ascii="Times New Roman" w:hAnsi="Times New Roman"/>
          <w:b/>
          <w:color w:val="auto"/>
          <w:sz w:val="24"/>
        </w:rPr>
      </w:pPr>
      <w:r w:rsidRPr="003730B5">
        <w:rPr>
          <w:rFonts w:ascii="Times New Roman" w:hAnsi="Times New Roman"/>
          <w:b/>
          <w:color w:val="auto"/>
          <w:sz w:val="24"/>
        </w:rPr>
        <w:t>K čl. </w:t>
      </w:r>
      <w:r w:rsidR="002C6370" w:rsidRPr="003730B5">
        <w:rPr>
          <w:rFonts w:ascii="Times New Roman" w:hAnsi="Times New Roman"/>
          <w:b/>
          <w:color w:val="auto"/>
          <w:sz w:val="24"/>
        </w:rPr>
        <w:t>XL</w:t>
      </w:r>
      <w:r w:rsidRPr="003730B5">
        <w:rPr>
          <w:rFonts w:ascii="Times New Roman" w:hAnsi="Times New Roman"/>
          <w:b/>
          <w:color w:val="auto"/>
          <w:sz w:val="24"/>
        </w:rPr>
        <w:t xml:space="preserve"> (Přechodná ustanovení)</w:t>
      </w:r>
    </w:p>
    <w:p w14:paraId="0DBCEDC6"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K bodům 1 a 3:</w:t>
      </w:r>
    </w:p>
    <w:p w14:paraId="23FA79E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Přechodné ustanovení upravuje převod daňových příjmů krajům na přelomu rozpočtového roku v návaznosti na změnu podílu krajů na sdílených daních. </w:t>
      </w:r>
    </w:p>
    <w:p w14:paraId="5B237CDE"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K bodům 2 a 4:</w:t>
      </w:r>
    </w:p>
    <w:p w14:paraId="7B7A245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Přechodné ustanovení upravuje převod daňových příjmů obcím na přelomu rozpočtového roku v návaznosti na změnu podílu obcí na sdílených daních.</w:t>
      </w:r>
    </w:p>
    <w:p w14:paraId="17D119B1"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K bodu 5:</w:t>
      </w:r>
    </w:p>
    <w:p w14:paraId="4BD346F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Přechodné ustanovení upravuje převod daňových příjmů Státnímu fondu dopravní infrastruktury na přelomu rozpočtového roku.</w:t>
      </w:r>
    </w:p>
    <w:p w14:paraId="0357076B"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dvacáté třetí – Změna zákona o rozpočtových pravidlech územních rozpočtů</w:t>
      </w:r>
    </w:p>
    <w:p w14:paraId="3CC44D7E" w14:textId="3E3A814F" w:rsidR="00133AC8" w:rsidRPr="003730B5" w:rsidRDefault="00133AC8" w:rsidP="00133AC8">
      <w:pPr>
        <w:widowControl w:val="0"/>
        <w:spacing w:after="120"/>
        <w:outlineLvl w:val="2"/>
        <w:rPr>
          <w:b/>
        </w:rPr>
      </w:pPr>
      <w:r w:rsidRPr="003730B5">
        <w:rPr>
          <w:b/>
        </w:rPr>
        <w:t>K čl. </w:t>
      </w:r>
      <w:r w:rsidR="002C6370" w:rsidRPr="003730B5">
        <w:rPr>
          <w:b/>
        </w:rPr>
        <w:t>XLI</w:t>
      </w:r>
    </w:p>
    <w:p w14:paraId="51DDA866" w14:textId="15B317D9" w:rsidR="00133AC8" w:rsidRPr="003730B5" w:rsidRDefault="00133AC8" w:rsidP="00133AC8">
      <w:pPr>
        <w:pStyle w:val="Dvodovzprvakbodu"/>
        <w:keepNext w:val="0"/>
        <w:widowControl w:val="0"/>
        <w:numPr>
          <w:ilvl w:val="0"/>
          <w:numId w:val="54"/>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xml:space="preserve"> (§ 3</w:t>
      </w:r>
      <w:r w:rsidR="00E353BE" w:rsidRPr="003730B5">
        <w:rPr>
          <w:rFonts w:ascii="Times New Roman" w:hAnsi="Times New Roman"/>
          <w:color w:val="auto"/>
          <w:sz w:val="24"/>
          <w:szCs w:val="24"/>
        </w:rPr>
        <w:t>2</w:t>
      </w:r>
      <w:r w:rsidRPr="003730B5">
        <w:rPr>
          <w:rFonts w:ascii="Times New Roman" w:hAnsi="Times New Roman"/>
          <w:color w:val="auto"/>
          <w:sz w:val="24"/>
          <w:szCs w:val="24"/>
        </w:rPr>
        <w:t xml:space="preserve"> odst. 1)</w:t>
      </w:r>
    </w:p>
    <w:p w14:paraId="3F9231C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snížit maximální příděl do fondu odměn, a to z důvodu posílení možnosti příspěvkových organizací zajistit si prostředky např. na investice bez nutnosti dotací z rozpočtu </w:t>
      </w:r>
      <w:r w:rsidRPr="003730B5">
        <w:rPr>
          <w:rFonts w:ascii="Times New Roman" w:hAnsi="Times New Roman"/>
          <w:color w:val="auto"/>
          <w:sz w:val="24"/>
        </w:rPr>
        <w:lastRenderedPageBreak/>
        <w:t>jejich zřizovatele nebo ze státního rozpočtu či rozpočtů státních fondů. Nadále zůstává zachováno pravidlo, že o konkrétní výši přídělu do tohoto fondu rozhoduje zřizovatel v rámci samostatné působnosti.</w:t>
      </w:r>
    </w:p>
    <w:p w14:paraId="668CD8F7" w14:textId="12A6909D"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2 až 4 (§ 33)</w:t>
      </w:r>
    </w:p>
    <w:p w14:paraId="446C599E" w14:textId="1B069408"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 rámci konsolidace veřejných rozpočtů se snižuje povinný příděl do fondu kulturních a sociálních potřeb </w:t>
      </w:r>
      <w:r w:rsidR="00D03256" w:rsidRPr="003730B5">
        <w:rPr>
          <w:rFonts w:ascii="Times New Roman" w:hAnsi="Times New Roman"/>
          <w:color w:val="auto"/>
          <w:sz w:val="24"/>
        </w:rPr>
        <w:t>z </w:t>
      </w:r>
      <w:r w:rsidRPr="003730B5">
        <w:rPr>
          <w:rFonts w:ascii="Times New Roman" w:hAnsi="Times New Roman"/>
          <w:color w:val="auto"/>
          <w:sz w:val="24"/>
        </w:rPr>
        <w:t>2 % na 1 % z ročního objemu platů nebo mezd.</w:t>
      </w:r>
    </w:p>
    <w:p w14:paraId="0BB6CCB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Nejméně 50 % z povinného přídělu do fondu kulturních a sociálních potřeb musí být využito na příspěvky na produkty spoření na stáří zaměstnanců, které jsou osvobozeny od daně z příjmů fyzických osob podle zákona o daních z příjmů. </w:t>
      </w:r>
    </w:p>
    <w:p w14:paraId="7ED8DC99" w14:textId="4B55CAAD" w:rsidR="00133AC8" w:rsidRPr="003730B5" w:rsidRDefault="00133AC8" w:rsidP="00133AC8">
      <w:pPr>
        <w:widowControl w:val="0"/>
        <w:spacing w:before="240" w:after="120"/>
        <w:outlineLvl w:val="2"/>
        <w:rPr>
          <w:b/>
        </w:rPr>
      </w:pPr>
      <w:r w:rsidRPr="003730B5">
        <w:rPr>
          <w:b/>
        </w:rPr>
        <w:t>K čl. </w:t>
      </w:r>
      <w:r w:rsidR="002C6370" w:rsidRPr="003730B5">
        <w:rPr>
          <w:b/>
        </w:rPr>
        <w:t xml:space="preserve">XLII </w:t>
      </w:r>
      <w:r w:rsidRPr="003730B5">
        <w:rPr>
          <w:b/>
        </w:rPr>
        <w:t>(Přechodné ustanovení)</w:t>
      </w:r>
    </w:p>
    <w:p w14:paraId="6093E266"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Peníze, které byly alokovány ve fondu kulturních a sociálních potřeb přede dnem nabytí účinnosti tohoto zákona se použijí podle navrhované právní úpravy.</w:t>
      </w:r>
    </w:p>
    <w:p w14:paraId="246156F9"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dvacáté čtvrté – Změna zákona o podmínkách provozu vozidel na pozemních komunikacích</w:t>
      </w:r>
    </w:p>
    <w:p w14:paraId="455241DC" w14:textId="275AB690" w:rsidR="00133AC8" w:rsidRPr="003730B5" w:rsidRDefault="00133AC8" w:rsidP="00133AC8">
      <w:pPr>
        <w:widowControl w:val="0"/>
        <w:spacing w:after="120"/>
        <w:outlineLvl w:val="2"/>
        <w:rPr>
          <w:b/>
        </w:rPr>
      </w:pPr>
      <w:r w:rsidRPr="003730B5">
        <w:rPr>
          <w:b/>
        </w:rPr>
        <w:t>K čl. </w:t>
      </w:r>
      <w:r w:rsidR="002C6370" w:rsidRPr="003730B5">
        <w:rPr>
          <w:b/>
        </w:rPr>
        <w:t>XLIII</w:t>
      </w:r>
    </w:p>
    <w:p w14:paraId="7FB55F9F"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1 a 2 (§ 4 odst. 3 písm. j) a § 5 odst. 5 písm. a))</w:t>
      </w:r>
    </w:p>
    <w:p w14:paraId="6C225AA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Návrh zákona nově v § 22c odst. 1 písm. c) zákona o pozemních komunikacích ukládá provozovateli systému elektronického mýtného povinnost určit emisní třídu CO</w:t>
      </w:r>
      <w:r w:rsidRPr="003730B5">
        <w:rPr>
          <w:rFonts w:ascii="Times New Roman" w:hAnsi="Times New Roman"/>
          <w:color w:val="auto"/>
          <w:sz w:val="24"/>
          <w:vertAlign w:val="subscript"/>
        </w:rPr>
        <w:t>2</w:t>
      </w:r>
      <w:r w:rsidRPr="003730B5">
        <w:rPr>
          <w:rFonts w:ascii="Times New Roman" w:hAnsi="Times New Roman"/>
          <w:color w:val="auto"/>
          <w:sz w:val="24"/>
        </w:rPr>
        <w:t xml:space="preserve"> vozidla. U vozidel, která jsou zapsána v registru silničních vozidel, počítá navržená právní úprava (viz § 5 odst. 5 písm. a) zákona o podmínkách provozu vozidel na pozemních komunikacích) s tím, že tyto údaje poskytne provozovateli systému elektronického mýtného z registru silničních vozidel Ministerstvo dopravy. Půjde o údaje o druhu vozidla, výkonu motoru, karoserii, maximální přípustné hmotnosti, počtu náprav, počtu poháněných náprav a emisích CO</w:t>
      </w:r>
      <w:r w:rsidRPr="003730B5">
        <w:rPr>
          <w:rFonts w:ascii="Times New Roman" w:hAnsi="Times New Roman"/>
          <w:color w:val="auto"/>
          <w:sz w:val="24"/>
          <w:vertAlign w:val="subscript"/>
        </w:rPr>
        <w:t>2</w:t>
      </w:r>
      <w:r w:rsidRPr="003730B5">
        <w:rPr>
          <w:rFonts w:ascii="Times New Roman" w:hAnsi="Times New Roman"/>
          <w:color w:val="auto"/>
          <w:sz w:val="24"/>
        </w:rPr>
        <w:t>. V této souvislosti došlo i k dílčímu doplnění § 4 odst. 3 písm. j) vymezujícímu údaje, které jsou v registru silničních vozidel vedeny tak, aby zahrnovaly i údaje o počtu náprav a počtu poháněných náprav.</w:t>
      </w:r>
    </w:p>
    <w:p w14:paraId="7CFBED10"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3 a 4 (§ 5 odst. 5 písm. e))</w:t>
      </w:r>
    </w:p>
    <w:p w14:paraId="67C2748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Provozovatelé hybridních vozidel a vozidel poháněných zemním plynem nebo biometanem budou hradit časový poplatek za užití zpoplatněné pozemní komunikace v nižší výši (25 % nebo 50 % sazby časového poplatku hrazeného u nezvýhodněných vozidel). Navrhuje se umožnit Státnímu fondu dopravní infrastruktury získat z registru silničních vozidel údaje o jednotlivých vozidlech, díky nimž si bude moci ověřit, zda dochází k úhradě časového poplatku ve správné výši.  </w:t>
      </w:r>
    </w:p>
    <w:p w14:paraId="29FD204F" w14:textId="77777777" w:rsidR="00133AC8" w:rsidRPr="003730B5" w:rsidRDefault="00133AC8" w:rsidP="00133AC8">
      <w:pPr>
        <w:pStyle w:val="Dvodovzprvakbodu"/>
        <w:keepNext w:val="0"/>
        <w:widowControl w:val="0"/>
        <w:numPr>
          <w:ilvl w:val="0"/>
          <w:numId w:val="74"/>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 odst. 5 písm. f))</w:t>
      </w:r>
    </w:p>
    <w:p w14:paraId="6ECD323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silničním správním úřadům zpřístupnit z registru silničních vozidel údaje nezbytné k vedení řízení o povolení zvláštního užívání pozemních komunikací nadměrnými vozidly. To umožní, aby žadatelé o uvedená povolení nebyli nuceni v příslušných řízeních dokládat údaje, jimiž budou silniční správní úřady již disponovat.</w:t>
      </w:r>
    </w:p>
    <w:p w14:paraId="510B642E"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 odst. 8 písm. a))</w:t>
      </w:r>
    </w:p>
    <w:p w14:paraId="3D0F2595" w14:textId="77777777" w:rsidR="00133AC8" w:rsidRPr="003730B5" w:rsidRDefault="00133AC8" w:rsidP="00133AC8">
      <w:pPr>
        <w:widowControl w:val="0"/>
        <w:spacing w:before="120"/>
        <w:outlineLvl w:val="1"/>
      </w:pPr>
      <w:r w:rsidRPr="003730B5">
        <w:t xml:space="preserve">Směrnice (EU) 2022/362 mění údaje týkající se vozidla, které si členské státy Evropské unie vyměňují v souladu se směrnicí (EU) 2019/520. Tato právní úprava byla na unijní úrovni zavedena z důvodu usnadnění přeshraničního vymáhání přestupků řidiče nebo provozovatele vozidla spočívajících v užití zpoplatněné pozemní komunikace bez úhrady časového poplatku </w:t>
      </w:r>
      <w:r w:rsidRPr="003730B5">
        <w:lastRenderedPageBreak/>
        <w:t>nebo mýtného. Nově směrnice (EU) 2022/362 požaduje, aby byl povinně předáván údaj o maximální technicky přípustné hmotnosti naloženého vozidla. Tento údaj je v registru silničních vozidel veden podle § 4 odst. 3 písm. i) a j) zákona o podmínkách provozu vozidel na pozemních komunikacích, nově se tedy navrhuje učinit odkaz v § 5 odst. 8 písm. a) výše uvedeného zákona i na tato ustanovení. Ostatní povinně předávané údaje obsažené v části I přílohy I směrnice (EU) 2019/520 ve znění směrnice (EU) 2022/362 jsou již v aktuálně platném znění § 5 odst. 8 písm. a) uvedeny.</w:t>
      </w:r>
    </w:p>
    <w:p w14:paraId="09219C0D" w14:textId="77777777" w:rsidR="00133AC8" w:rsidRPr="003730B5" w:rsidRDefault="00133AC8" w:rsidP="00133AC8">
      <w:pPr>
        <w:keepNext/>
        <w:widowControl w:val="0"/>
        <w:spacing w:before="240" w:after="120"/>
        <w:outlineLvl w:val="1"/>
        <w:rPr>
          <w:rFonts w:eastAsiaTheme="minorHAnsi"/>
          <w:szCs w:val="24"/>
          <w:lang w:eastAsia="en-US"/>
        </w:rPr>
      </w:pPr>
      <w:r w:rsidRPr="003730B5">
        <w:rPr>
          <w:b/>
          <w:sz w:val="28"/>
        </w:rPr>
        <w:t xml:space="preserve">K části dvacáté páté – Změna exekučního řádu </w:t>
      </w:r>
    </w:p>
    <w:p w14:paraId="696C46CF" w14:textId="7DE58CD7" w:rsidR="00133AC8" w:rsidRPr="003730B5" w:rsidRDefault="00133AC8" w:rsidP="00133AC8">
      <w:pPr>
        <w:keepNext/>
        <w:widowControl w:val="0"/>
        <w:spacing w:after="120"/>
        <w:outlineLvl w:val="2"/>
        <w:rPr>
          <w:b/>
        </w:rPr>
      </w:pPr>
      <w:r w:rsidRPr="003730B5">
        <w:rPr>
          <w:b/>
        </w:rPr>
        <w:t>K čl. </w:t>
      </w:r>
      <w:r w:rsidR="002C6370" w:rsidRPr="003730B5">
        <w:rPr>
          <w:b/>
        </w:rPr>
        <w:t xml:space="preserve">XLIV </w:t>
      </w:r>
      <w:r w:rsidRPr="003730B5">
        <w:rPr>
          <w:b/>
          <w:szCs w:val="24"/>
        </w:rPr>
        <w:t>(§ 33b písm. a)</w:t>
      </w:r>
      <w:r w:rsidRPr="003730B5">
        <w:t xml:space="preserve"> </w:t>
      </w:r>
      <w:r w:rsidRPr="003730B5">
        <w:rPr>
          <w:b/>
          <w:szCs w:val="24"/>
        </w:rPr>
        <w:t>bod 4 a </w:t>
      </w:r>
      <w:r w:rsidR="006211BA" w:rsidRPr="003730B5">
        <w:rPr>
          <w:b/>
          <w:szCs w:val="24"/>
        </w:rPr>
        <w:t>písm. b) bod</w:t>
      </w:r>
      <w:r w:rsidRPr="003730B5">
        <w:rPr>
          <w:b/>
          <w:szCs w:val="24"/>
        </w:rPr>
        <w:t xml:space="preserve"> 4)</w:t>
      </w:r>
    </w:p>
    <w:p w14:paraId="79E553D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souvislosti s rozšířením okruhu subjektů oprávněných poskytovat stavební spoření se nahrazuje spojení „stavební spořitelny“ výrazem „poskytovatelé stavebního spoření“, neboť označení je nově definováno v zákoně o stavebním spoření a zahrnuje všechny subjekty, na které se ustanovení § 33b exekučního řádu vztahuje.</w:t>
      </w:r>
    </w:p>
    <w:p w14:paraId="6DCEDE89"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dvacáté šesté – Změna zákona o soudech a soudcích</w:t>
      </w:r>
    </w:p>
    <w:p w14:paraId="343C0FDA" w14:textId="708677BA" w:rsidR="00133AC8" w:rsidRPr="003730B5" w:rsidRDefault="00133AC8" w:rsidP="00133AC8">
      <w:pPr>
        <w:widowControl w:val="0"/>
        <w:spacing w:after="120"/>
        <w:outlineLvl w:val="2"/>
        <w:rPr>
          <w:b/>
        </w:rPr>
      </w:pPr>
      <w:r w:rsidRPr="003730B5">
        <w:rPr>
          <w:b/>
        </w:rPr>
        <w:t>K čl. </w:t>
      </w:r>
      <w:r w:rsidR="002C6370" w:rsidRPr="003730B5">
        <w:rPr>
          <w:b/>
        </w:rPr>
        <w:t xml:space="preserve">XLV </w:t>
      </w:r>
      <w:r w:rsidRPr="003730B5">
        <w:rPr>
          <w:b/>
          <w:szCs w:val="24"/>
        </w:rPr>
        <w:t>(§ 175f písm. a) bod 4 a písm. b) bod 4)</w:t>
      </w:r>
    </w:p>
    <w:p w14:paraId="7F38EF3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souvislosti s rozšířením okruhu subjektů oprávněných poskytovat stavební spoření se nahrazuje spojení „stavební spořitelny“ výrazem „poskytovatele stavebního spoření“.</w:t>
      </w:r>
    </w:p>
    <w:p w14:paraId="463D1234" w14:textId="77777777" w:rsidR="00133AC8" w:rsidRPr="003730B5" w:rsidRDefault="00133AC8" w:rsidP="00133AC8">
      <w:pPr>
        <w:widowControl w:val="0"/>
        <w:spacing w:before="240" w:after="120"/>
        <w:outlineLvl w:val="1"/>
        <w:rPr>
          <w:b/>
          <w:sz w:val="28"/>
        </w:rPr>
      </w:pPr>
      <w:r w:rsidRPr="003730B5">
        <w:rPr>
          <w:b/>
          <w:sz w:val="28"/>
        </w:rPr>
        <w:t>K části dvacáté sedmé – Změna zákona o akciové společnosti České dráhy státní organizaci Správa železnic a zákona o dráhách</w:t>
      </w:r>
    </w:p>
    <w:p w14:paraId="2FF021D8" w14:textId="65416901" w:rsidR="00133AC8" w:rsidRPr="003730B5" w:rsidRDefault="00133AC8" w:rsidP="00133AC8">
      <w:pPr>
        <w:widowControl w:val="0"/>
        <w:spacing w:after="120"/>
        <w:outlineLvl w:val="2"/>
        <w:rPr>
          <w:b/>
        </w:rPr>
      </w:pPr>
      <w:r w:rsidRPr="003730B5">
        <w:rPr>
          <w:b/>
        </w:rPr>
        <w:t>K čl. </w:t>
      </w:r>
      <w:r w:rsidR="002C6370" w:rsidRPr="003730B5">
        <w:rPr>
          <w:b/>
        </w:rPr>
        <w:t>XLVI</w:t>
      </w:r>
    </w:p>
    <w:p w14:paraId="2A4F23DA" w14:textId="77777777" w:rsidR="00133AC8" w:rsidRPr="003730B5" w:rsidRDefault="00133AC8" w:rsidP="00133AC8">
      <w:pPr>
        <w:pStyle w:val="Dvodovzprvakbodu"/>
        <w:keepNext w:val="0"/>
        <w:widowControl w:val="0"/>
        <w:numPr>
          <w:ilvl w:val="0"/>
          <w:numId w:val="66"/>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11 odst. 2)</w:t>
      </w:r>
    </w:p>
    <w:p w14:paraId="391F2781" w14:textId="6A5911E8"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rámci konsolidace veřejných rozpočtů se snižuje povinný příděl do sociálního fondu akciové společnosti České dráhy </w:t>
      </w:r>
      <w:r w:rsidR="00D03256" w:rsidRPr="003730B5">
        <w:rPr>
          <w:rFonts w:ascii="Times New Roman" w:hAnsi="Times New Roman"/>
          <w:color w:val="auto"/>
          <w:sz w:val="24"/>
        </w:rPr>
        <w:t>z </w:t>
      </w:r>
      <w:r w:rsidRPr="003730B5">
        <w:rPr>
          <w:rFonts w:ascii="Times New Roman" w:hAnsi="Times New Roman"/>
          <w:color w:val="auto"/>
          <w:sz w:val="24"/>
        </w:rPr>
        <w:t>2 % na 1 % z ročního objemu mezd a jejich náhrad, obdobně jako je navrhováno v případě fondu kulturních a sociálních potřeb tvořeného podle rozpočtových pravidel. Budou tedy platit shodná pravidla pro tvorbu těchto fondů u subjektů veřejné sféry.</w:t>
      </w:r>
    </w:p>
    <w:p w14:paraId="7B3B5A60" w14:textId="77777777" w:rsidR="00133AC8" w:rsidRPr="003730B5" w:rsidRDefault="00133AC8" w:rsidP="00133AC8">
      <w:pPr>
        <w:pStyle w:val="Dvodovzprvakbodu"/>
        <w:keepNext w:val="0"/>
        <w:widowControl w:val="0"/>
        <w:numPr>
          <w:ilvl w:val="0"/>
          <w:numId w:val="66"/>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11 odst. 2 věta druhá)</w:t>
      </w:r>
    </w:p>
    <w:p w14:paraId="2F06FEE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Nejméně 50 % z povinného přídělu do sociálního fondu musí být využito na příspěvky na produkty spoření na stáří zaměstnanců. Jde o příspěvky na produkty spoření na stáří, které jsou osvobozeny od daně z příjmů fyzických osob podle dosavadního § 6 odst. 9 písm. p) zákona o daních z příjmů. Jedná se o obdobné pravidlo, jako je navrhováno v případě fondu kulturních a sociálních potřeb tvořeného podle rozpočtových pravidel.</w:t>
      </w:r>
    </w:p>
    <w:p w14:paraId="3A6D984B" w14:textId="1986F4B2" w:rsidR="00133AC8" w:rsidRPr="003730B5" w:rsidRDefault="00133AC8" w:rsidP="00133AC8">
      <w:pPr>
        <w:widowControl w:val="0"/>
        <w:spacing w:before="240" w:after="120"/>
        <w:outlineLvl w:val="2"/>
        <w:rPr>
          <w:b/>
        </w:rPr>
      </w:pPr>
      <w:r w:rsidRPr="003730B5">
        <w:rPr>
          <w:b/>
        </w:rPr>
        <w:t>K čl. </w:t>
      </w:r>
      <w:r w:rsidR="002C6370" w:rsidRPr="003730B5">
        <w:rPr>
          <w:b/>
        </w:rPr>
        <w:t xml:space="preserve">XLVII </w:t>
      </w:r>
      <w:r w:rsidRPr="003730B5">
        <w:rPr>
          <w:b/>
        </w:rPr>
        <w:t>(Přechodn</w:t>
      </w:r>
      <w:r w:rsidR="002C6370" w:rsidRPr="003730B5">
        <w:rPr>
          <w:b/>
        </w:rPr>
        <w:t>é</w:t>
      </w:r>
      <w:r w:rsidRPr="003730B5">
        <w:rPr>
          <w:b/>
        </w:rPr>
        <w:t xml:space="preserve"> ustanovení)</w:t>
      </w:r>
    </w:p>
    <w:p w14:paraId="19784DD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Peníze, které byly alokovány v sociálním fondu přede dnem nabytí účinnosti tohoto zákona, se použijí podle navrhované právní úpravy.</w:t>
      </w:r>
    </w:p>
    <w:p w14:paraId="374DF2DD"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dvacáté osmé – Změna soudního řádu správního</w:t>
      </w:r>
    </w:p>
    <w:p w14:paraId="446ADB02" w14:textId="77777777" w:rsidR="00133AC8" w:rsidRPr="003730B5" w:rsidRDefault="00133AC8" w:rsidP="00133AC8">
      <w:pPr>
        <w:pStyle w:val="Dvodovzprva"/>
        <w:widowControl w:val="0"/>
        <w:spacing w:before="0" w:after="120"/>
        <w:outlineLvl w:val="9"/>
        <w:rPr>
          <w:rFonts w:ascii="Times New Roman" w:hAnsi="Times New Roman"/>
          <w:color w:val="auto"/>
          <w:sz w:val="24"/>
        </w:rPr>
      </w:pPr>
      <w:r w:rsidRPr="003730B5">
        <w:rPr>
          <w:rFonts w:ascii="Times New Roman" w:hAnsi="Times New Roman"/>
          <w:color w:val="auto"/>
          <w:sz w:val="24"/>
        </w:rPr>
        <w:t>V rámci této části je řešen převod kompetence k vymáhání tzv. justičních pohledávek na orgány Celní správy České republiky. V podrobnostech lze odkázat na odůvodnění novely trestního řádu.</w:t>
      </w:r>
    </w:p>
    <w:p w14:paraId="5260A395" w14:textId="0F38A2E3" w:rsidR="00133AC8" w:rsidRPr="003730B5" w:rsidRDefault="00133AC8" w:rsidP="00133AC8">
      <w:pPr>
        <w:widowControl w:val="0"/>
        <w:spacing w:after="120"/>
        <w:outlineLvl w:val="2"/>
        <w:rPr>
          <w:b/>
        </w:rPr>
      </w:pPr>
      <w:r w:rsidRPr="003730B5">
        <w:rPr>
          <w:b/>
        </w:rPr>
        <w:t>K čl. </w:t>
      </w:r>
      <w:r w:rsidR="002C6370" w:rsidRPr="003730B5">
        <w:rPr>
          <w:b/>
        </w:rPr>
        <w:t>XLVIII</w:t>
      </w:r>
    </w:p>
    <w:p w14:paraId="60706C62" w14:textId="77777777" w:rsidR="00133AC8" w:rsidRPr="003730B5" w:rsidRDefault="00133AC8" w:rsidP="00133AC8">
      <w:pPr>
        <w:pStyle w:val="Dvodovzprvakbodu"/>
        <w:keepNext w:val="0"/>
        <w:widowControl w:val="0"/>
        <w:numPr>
          <w:ilvl w:val="0"/>
          <w:numId w:val="55"/>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lastRenderedPageBreak/>
        <w:t> (§ 44 odst. 2)</w:t>
      </w:r>
    </w:p>
    <w:p w14:paraId="53FAE2F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Správa placení pořádkové pokuty uložené podle trestního řádu, podle zákona o státním zastupitelství i podle občanského soudního řádu podléhá daňovému řádu. Není ale důvodu, proč by daňovému režimu neměly podléhat i pořádkové pokuty ukládané podle soudního řádu správního. Zároveň dochází v souladu s obecnou částí důvodové zprávy k promítnutí záměru převést vymáhání justičních pohledávek, při jejichž správě placení se postupuje podle daňového řádu, na celní úřady.</w:t>
      </w:r>
    </w:p>
    <w:p w14:paraId="5AE1DEC4"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2 a 3 (§ 60)</w:t>
      </w:r>
    </w:p>
    <w:p w14:paraId="262BF885" w14:textId="02EA7546"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Podle stávajícího § 60 odst. 10 </w:t>
      </w:r>
      <w:r w:rsidR="00C916AB" w:rsidRPr="003730B5">
        <w:rPr>
          <w:rFonts w:ascii="Times New Roman" w:hAnsi="Times New Roman"/>
          <w:color w:val="auto"/>
          <w:sz w:val="24"/>
        </w:rPr>
        <w:t>soudního řádu správního</w:t>
      </w:r>
      <w:r w:rsidR="00C916AB" w:rsidRPr="003730B5" w:rsidDel="00C916AB">
        <w:rPr>
          <w:rFonts w:ascii="Times New Roman" w:hAnsi="Times New Roman"/>
          <w:color w:val="auto"/>
          <w:sz w:val="24"/>
        </w:rPr>
        <w:t xml:space="preserve"> </w:t>
      </w:r>
      <w:r w:rsidRPr="003730B5">
        <w:rPr>
          <w:rFonts w:ascii="Times New Roman" w:hAnsi="Times New Roman"/>
          <w:color w:val="auto"/>
          <w:sz w:val="24"/>
        </w:rPr>
        <w:t xml:space="preserve"> se pro vymáhání pohledávek státu vzniklých z důvodu práva na náhradu nákladů řízení podle § 60 odst. 9 </w:t>
      </w:r>
      <w:r w:rsidR="00C916AB" w:rsidRPr="003730B5">
        <w:rPr>
          <w:rFonts w:ascii="Times New Roman" w:hAnsi="Times New Roman"/>
          <w:color w:val="auto"/>
          <w:sz w:val="24"/>
        </w:rPr>
        <w:t>soudního řádu správního</w:t>
      </w:r>
      <w:r w:rsidR="00C916AB" w:rsidRPr="003730B5" w:rsidDel="00C916AB">
        <w:rPr>
          <w:rFonts w:ascii="Times New Roman" w:hAnsi="Times New Roman"/>
          <w:color w:val="auto"/>
          <w:sz w:val="24"/>
        </w:rPr>
        <w:t xml:space="preserve"> </w:t>
      </w:r>
      <w:r w:rsidR="00C916AB" w:rsidRPr="003730B5">
        <w:rPr>
          <w:rFonts w:ascii="Times New Roman" w:hAnsi="Times New Roman"/>
          <w:color w:val="auto"/>
          <w:sz w:val="24"/>
        </w:rPr>
        <w:t xml:space="preserve"> </w:t>
      </w:r>
      <w:r w:rsidRPr="003730B5">
        <w:rPr>
          <w:rFonts w:ascii="Times New Roman" w:hAnsi="Times New Roman"/>
          <w:color w:val="auto"/>
          <w:sz w:val="24"/>
        </w:rPr>
        <w:t xml:space="preserve"> uplatní postup stanovený daňovým řádem. V zájmu právní jistoty se navrhuje formulace vztahující výslovně režim daňového řádu na správu placení, tj. i na vybírání a evidenci pořádkových pokut (jde o tzv. procesní dělenou správu). Zároveň dochází v souladu s obecnou částí důvodové zprávy k promítnutí záměru převést vymáhání justičních pohledávek, při jejichž správě placení se postupuje podle daňového řádu, na celní úřady. </w:t>
      </w:r>
    </w:p>
    <w:p w14:paraId="7FE9CEB2" w14:textId="77A1BCB1"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Stávající ustanovení § 60 odst. 9 </w:t>
      </w:r>
      <w:r w:rsidR="00C916AB" w:rsidRPr="003730B5">
        <w:rPr>
          <w:rFonts w:ascii="Times New Roman" w:hAnsi="Times New Roman"/>
          <w:color w:val="auto"/>
          <w:sz w:val="24"/>
        </w:rPr>
        <w:t>soudního řádu správního</w:t>
      </w:r>
      <w:r w:rsidR="00C916AB" w:rsidRPr="003730B5" w:rsidDel="00C916AB">
        <w:rPr>
          <w:rFonts w:ascii="Times New Roman" w:hAnsi="Times New Roman"/>
          <w:color w:val="auto"/>
          <w:sz w:val="24"/>
        </w:rPr>
        <w:t xml:space="preserve"> </w:t>
      </w:r>
      <w:r w:rsidRPr="003730B5">
        <w:rPr>
          <w:rFonts w:ascii="Times New Roman" w:hAnsi="Times New Roman"/>
          <w:color w:val="auto"/>
          <w:sz w:val="24"/>
        </w:rPr>
        <w:t>o tom, že „u pohledávek státu vzniklých z důvodu práva na náhradu nákladů řízení vůči osobám uvedeným v odstavcích 4 a 6 ve výši státem placených nákladů řízení se úrok z prodlení nevyměřuje“ se navrhuje vypustit pro nadbytečnost, neboť skutečnost, že u těchto pohledávek se nepožadují úroky z prodlení, vyplývá z § 253 odst. 3 daňového řádu.</w:t>
      </w:r>
    </w:p>
    <w:p w14:paraId="47AB6E56" w14:textId="1489B891" w:rsidR="00133AC8" w:rsidRPr="003730B5" w:rsidRDefault="00133AC8" w:rsidP="00133AC8">
      <w:pPr>
        <w:widowControl w:val="0"/>
        <w:spacing w:before="240" w:after="120"/>
        <w:outlineLvl w:val="2"/>
        <w:rPr>
          <w:b/>
        </w:rPr>
      </w:pPr>
      <w:r w:rsidRPr="003730B5">
        <w:rPr>
          <w:b/>
        </w:rPr>
        <w:t>K čl. </w:t>
      </w:r>
      <w:r w:rsidR="002C6370" w:rsidRPr="003730B5">
        <w:rPr>
          <w:b/>
        </w:rPr>
        <w:t xml:space="preserve">XLIX </w:t>
      </w:r>
      <w:r w:rsidRPr="003730B5">
        <w:rPr>
          <w:b/>
        </w:rPr>
        <w:t>(Přechodná ustanovení)</w:t>
      </w:r>
    </w:p>
    <w:p w14:paraId="16B4B3D5" w14:textId="12D0D056"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Procesní režim pořádkových pokut podle § 44 odst. 1 </w:t>
      </w:r>
      <w:r w:rsidR="00C916AB" w:rsidRPr="003730B5">
        <w:rPr>
          <w:rFonts w:ascii="Times New Roman" w:hAnsi="Times New Roman"/>
          <w:color w:val="auto"/>
          <w:sz w:val="24"/>
        </w:rPr>
        <w:t>soudního řádu správního</w:t>
      </w:r>
      <w:r w:rsidRPr="003730B5">
        <w:rPr>
          <w:rFonts w:ascii="Times New Roman" w:hAnsi="Times New Roman"/>
          <w:color w:val="auto"/>
          <w:sz w:val="24"/>
        </w:rPr>
        <w:t>, které se vznikly přede dnem nabytí účinnosti tohoto zákona, se nemění; daňový řád se bude vztahovat až na ty, které se staly splatnými ode dne nabytí účinnosti tohoto zákona. S ohledem na odlišnost procesního režimu se nemění ani příslušnost k vymáhání těchto pokut, které se staly splatnými přede dnem nabytí účinnosti tohoto zákona.</w:t>
      </w:r>
    </w:p>
    <w:p w14:paraId="2D63BD02" w14:textId="5FED6A7F"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K vymáhání pořádkových pokut ukládaných podle § 44 odst. 1 </w:t>
      </w:r>
      <w:r w:rsidR="00C916AB" w:rsidRPr="003730B5">
        <w:rPr>
          <w:rFonts w:ascii="Times New Roman" w:hAnsi="Times New Roman"/>
          <w:color w:val="auto"/>
          <w:sz w:val="24"/>
        </w:rPr>
        <w:t>soudního řádu správního</w:t>
      </w:r>
      <w:r w:rsidRPr="003730B5">
        <w:rPr>
          <w:rFonts w:ascii="Times New Roman" w:hAnsi="Times New Roman"/>
          <w:color w:val="auto"/>
          <w:sz w:val="24"/>
        </w:rPr>
        <w:t>, stejně tak jako pohledávek uvedených v § 60 odst. 9 </w:t>
      </w:r>
      <w:r w:rsidR="00C916AB" w:rsidRPr="003730B5">
        <w:rPr>
          <w:rFonts w:ascii="Times New Roman" w:hAnsi="Times New Roman"/>
          <w:color w:val="auto"/>
          <w:sz w:val="24"/>
        </w:rPr>
        <w:t>soudního řádu správního</w:t>
      </w:r>
      <w:r w:rsidRPr="003730B5">
        <w:rPr>
          <w:rFonts w:ascii="Times New Roman" w:hAnsi="Times New Roman"/>
          <w:color w:val="auto"/>
          <w:sz w:val="24"/>
        </w:rPr>
        <w:t>, bude celní úřad příslušný ode dne nabytí účinnosti tohoto zákona v případě těch pohledávek, které vzniknou ode dne nabytí účinnosti tohoto zákona.</w:t>
      </w:r>
    </w:p>
    <w:p w14:paraId="6656CC44" w14:textId="61BA29C4"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K vymáhání pohledávek uvedených v § 60 odst. 9 </w:t>
      </w:r>
      <w:r w:rsidR="00C916AB" w:rsidRPr="003730B5">
        <w:rPr>
          <w:rFonts w:ascii="Times New Roman" w:hAnsi="Times New Roman"/>
          <w:color w:val="auto"/>
          <w:sz w:val="24"/>
        </w:rPr>
        <w:t>soudního řádu správního</w:t>
      </w:r>
      <w:r w:rsidRPr="003730B5">
        <w:rPr>
          <w:rFonts w:ascii="Times New Roman" w:hAnsi="Times New Roman"/>
          <w:color w:val="auto"/>
          <w:sz w:val="24"/>
        </w:rPr>
        <w:t xml:space="preserve">, které vznikly přede dnem nabytí účinnosti tohoto zákona, nebyly však předány k vymáhání soudnímu exekutorovi, uplatněny v insolvenčním řízení nebo přihlášeny do veřejné dražby podle § 175 odst. 1 daňového řádu, bude celní úřad příslušný ode dne převzetí jejich vymáhání. Nebyla-li daňová exekuce pro takovou pohledávku ke dni nabytí účinnosti tohoto zákona nařízena vydáním exekučního příkazu, předá orgán, který je příslušný k jejímu vymáhání podle stávající právní úpravy, pohledávku k vymáhání celnímu úřadu bez zbytečného odkladu, nejpozději do 30. 6. 2024. Byla-li ke dni nabytí účinnosti tohoto zákona pro pohledávku nařízena daňová exekuce vydáním exekučního příkazu, postupují orgány příslušné k jejímu vymáhání podle stávající právní úpravy k jejímu vymožení. Pohledávky, které tímto postupem nebudou zcela vymoženy, předá orgán příslušný k jejich vymáhání podle stávající právní úpravy k vymáhání celnímu úřadu do 31. 12. 2024. </w:t>
      </w:r>
    </w:p>
    <w:p w14:paraId="2AE7450A" w14:textId="3DE11BCB"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Příslušnost k vymáhání pohledávek uvedených v § 60 odst. 9 </w:t>
      </w:r>
      <w:r w:rsidR="00C916AB" w:rsidRPr="003730B5">
        <w:rPr>
          <w:rFonts w:ascii="Times New Roman" w:hAnsi="Times New Roman"/>
          <w:color w:val="auto"/>
          <w:sz w:val="24"/>
        </w:rPr>
        <w:t>soudního řádu správního</w:t>
      </w:r>
      <w:r w:rsidRPr="003730B5">
        <w:rPr>
          <w:rFonts w:ascii="Times New Roman" w:hAnsi="Times New Roman"/>
          <w:color w:val="auto"/>
          <w:sz w:val="24"/>
        </w:rPr>
        <w:t>, které vznikly přede dnem účinnosti tohoto zákona a byly předány k vymáhání soudnímu exekutorovi, uplatněny v insolvenčním řízení nebo přihlášeny do veřejné dražby podle § 175 odst. 1 daňového řádu, se z procesních důvodů nemění.</w:t>
      </w:r>
    </w:p>
    <w:p w14:paraId="05505F89"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lastRenderedPageBreak/>
        <w:t xml:space="preserve">K části dvacáté deváté – Změna zákona o finančním arbitrovi </w:t>
      </w:r>
    </w:p>
    <w:p w14:paraId="776DC882" w14:textId="2D83BB24" w:rsidR="00133AC8" w:rsidRPr="003730B5" w:rsidRDefault="00133AC8" w:rsidP="00133AC8">
      <w:pPr>
        <w:widowControl w:val="0"/>
        <w:spacing w:after="120"/>
        <w:outlineLvl w:val="2"/>
        <w:rPr>
          <w:b/>
        </w:rPr>
      </w:pPr>
      <w:r w:rsidRPr="003730B5">
        <w:rPr>
          <w:b/>
        </w:rPr>
        <w:t>K čl. </w:t>
      </w:r>
      <w:r w:rsidR="00A42930" w:rsidRPr="003730B5">
        <w:rPr>
          <w:b/>
        </w:rPr>
        <w:t>L </w:t>
      </w:r>
      <w:r w:rsidRPr="003730B5">
        <w:rPr>
          <w:b/>
          <w:szCs w:val="24"/>
        </w:rPr>
        <w:t>(§ 1 odst. 1 písm. g))</w:t>
      </w:r>
    </w:p>
    <w:p w14:paraId="49B216D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souvislosti s rozšířením okruhu subjektů oprávněných poskytovat stavební spoření se nahrazuje spojení „stavební spořitelnou“ výrazem „poskytovatelem stavebního spoření“.</w:t>
      </w:r>
    </w:p>
    <w:p w14:paraId="50231A6F"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třicáté – Změna zákona o spotřebních daních</w:t>
      </w:r>
    </w:p>
    <w:p w14:paraId="6DB9F67A" w14:textId="5CF75A33" w:rsidR="00133AC8" w:rsidRPr="003730B5" w:rsidRDefault="00133AC8" w:rsidP="00133AC8">
      <w:pPr>
        <w:widowControl w:val="0"/>
        <w:spacing w:after="120"/>
        <w:outlineLvl w:val="2"/>
        <w:rPr>
          <w:b/>
        </w:rPr>
      </w:pPr>
      <w:r w:rsidRPr="003730B5">
        <w:rPr>
          <w:b/>
        </w:rPr>
        <w:t>K čl. </w:t>
      </w:r>
      <w:r w:rsidR="002C6370" w:rsidRPr="003730B5">
        <w:rPr>
          <w:b/>
        </w:rPr>
        <w:t>LI</w:t>
      </w:r>
    </w:p>
    <w:p w14:paraId="1231A494" w14:textId="77777777" w:rsidR="00133AC8" w:rsidRPr="003730B5" w:rsidRDefault="00133AC8" w:rsidP="00133AC8">
      <w:pPr>
        <w:pStyle w:val="Dvodovzprvakbodu"/>
        <w:keepNext w:val="0"/>
        <w:widowControl w:val="0"/>
        <w:numPr>
          <w:ilvl w:val="0"/>
          <w:numId w:val="87"/>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 odst. 1 písm. a))</w:t>
      </w:r>
    </w:p>
    <w:p w14:paraId="158377C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Zákon se z důvodu zavedení spotřební daně na další výrobky rozšiřuje o právní úpravu spotřební daně z ostatních tabákových výrobků a spotřební daně z výrobků souvisejících s tabákovými výrobky. Mezi ostatní tabákové výrobky se řadí například žvýkací a šňupací tabák. Výrobky související s tabákovými výrobky zahrnují elektronické cigarety, nikotinové sáčky a ostatní nikotinové výrobky.</w:t>
      </w:r>
    </w:p>
    <w:p w14:paraId="6F9758CC" w14:textId="7FF4218B"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 odst. 3 písm. f) a h))</w:t>
      </w:r>
    </w:p>
    <w:p w14:paraId="1C3670D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rozšíření spotřební daně o další výrobky se do výčtu komodit podléhajících spotřební dani doplňuje daň z ostatní tabákových výrobků a daň z výrobků souvisejících s tabákovými výrobky. Z tohoto důvodu dochází i k posunu v řazení výrobků podléhajících spotřební dani.</w:t>
      </w:r>
    </w:p>
    <w:p w14:paraId="6F939CC7" w14:textId="4F2B03CE"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3 odst. 1 písm</w:t>
      </w:r>
      <w:r w:rsidR="00461E35" w:rsidRPr="003730B5">
        <w:rPr>
          <w:rFonts w:ascii="Times New Roman" w:hAnsi="Times New Roman"/>
          <w:color w:val="auto"/>
          <w:sz w:val="24"/>
          <w:szCs w:val="24"/>
        </w:rPr>
        <w:t>.</w:t>
      </w:r>
      <w:r w:rsidRPr="003730B5">
        <w:rPr>
          <w:rFonts w:ascii="Times New Roman" w:hAnsi="Times New Roman"/>
          <w:color w:val="auto"/>
          <w:sz w:val="24"/>
          <w:szCs w:val="24"/>
        </w:rPr>
        <w:t xml:space="preserve"> m))</w:t>
      </w:r>
    </w:p>
    <w:p w14:paraId="0CF272B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změna souvisí se zrušením institutu vracení spotřební daně osobám užívajícím tyto oleje v mineralogických postupech a metalurgických procesech. Vzhledem k tomu, že mineralogické postupy i metalurgické procesy jsou definovány mimo jiné i pomocí klasifikace NACE, nebude její zakotvení v zákoně o spotřebních daních nadále potřebné.</w:t>
      </w:r>
    </w:p>
    <w:p w14:paraId="4C285443"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 odst. 1 písm. c))</w:t>
      </w:r>
    </w:p>
    <w:p w14:paraId="4235707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změna souvisí se zrušením institutu vracení spotřební daně osobám užívajícím tyto oleje v mineralogických postupech a metalurgických procesech, tedy ustanovení § 55 zákona o spotřebních daních. V návaznosti na to je zapotřebí učinit i legislativně-technické změny.</w:t>
      </w:r>
    </w:p>
    <w:p w14:paraId="17299008"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11 odst. 1 písm. e), f) a g))</w:t>
      </w:r>
    </w:p>
    <w:p w14:paraId="308738D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nové vymezení celních úřadů dochází ke změně názvu celního úřadu vykonávajícího vymezenou věcnou působnost.</w:t>
      </w:r>
    </w:p>
    <w:p w14:paraId="4E9CFB01"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49 odst. 1)</w:t>
      </w:r>
    </w:p>
    <w:p w14:paraId="7756403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změna souvisí se zrušením institutu vracení spotřební daně osobám užívajícím tyto oleje v mineralogických postupech a metalurgických procesech. Dosud na tato jiná užití než je pohon motorů nebo výroba tepla v rámci metalurgie nebo mineralogie bylo možné uplatnit nárok na vrácení daně podle § 55 zákona o spotřebních daních. Navrhovanou změnou je zajištěn rovný přístup k podnikajícím subjektům. Tedy minerální oleje, které budou použity pro metalurgické procesy nebo mineralogických postupy ve smyslu rušených definic a zároveň nebudou použity pro pohon motorů nebo výrobu tepla, budou nově osvobozeny od spotřební daně podle § 49 odst. 1 zákona o spotřebních daních.</w:t>
      </w:r>
    </w:p>
    <w:p w14:paraId="42EA3235" w14:textId="403DE57B"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49 odst. 3 a 4)</w:t>
      </w:r>
    </w:p>
    <w:p w14:paraId="2D94E5F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Navrhovaná změna souvisí se zrušením institutu vracení spotřební daně osobám užívajícím tyto oleje v mineralogických postupech a metalurgických procesech. V důsledku této změny se definice mineralogických postupů a metalurgických procesů pro účely zákona o spotřebních </w:t>
      </w:r>
      <w:r w:rsidRPr="003730B5">
        <w:rPr>
          <w:rFonts w:ascii="Times New Roman" w:hAnsi="Times New Roman"/>
          <w:color w:val="auto"/>
          <w:sz w:val="24"/>
        </w:rPr>
        <w:lastRenderedPageBreak/>
        <w:t>daních stávají nadbytečné a jsou zrušeny.</w:t>
      </w:r>
    </w:p>
    <w:p w14:paraId="4446C584"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49 odst. 4)</w:t>
      </w:r>
    </w:p>
    <w:p w14:paraId="6A1426C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Navrhovanou změnou dochází ke zrušení osvobození leteckých pohonných hmot kódů nomenklatury 2710 12 31, 2710 12 70 a 2710 19 21 spotřebovaných při vnitrostátních letech, tj. letech uskutečňovaných mezi letišti umístěnými na daňovém území České republiky. Osvobození se tak nadále bude týkat pouze předmětných minerálních olejů spotřebovaných při mezinárodních letech. </w:t>
      </w:r>
    </w:p>
    <w:p w14:paraId="22217C1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Lze tedy shrnout, že všechny vnitrostátní lety, tedy lety, které budou probíhat mezi letišti na daňovém území České republiky, budou podléhat zdanění. Jedná se tedy nejen o vnitrostátní leteckou dopravu, ale i například letecké práce (např. rozhazování letáků, vlek kluzáků, nebo reklamních transparentů, letecké snímkování atp.). Zdaněny též budou například letecké činnosti hasičských, policejních nebo záchranných sborů.</w:t>
      </w:r>
    </w:p>
    <w:p w14:paraId="79A31EC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 druhou stranu bude zachováno osvobození předmětných leteckých pohonných hmot spotřebovaných v rámci mezinárodních letů. Podmínkou tohoto osvobození bude nadále požadavek, aby nebyla naplněna definice tzv. soukromého rekreačního létání.</w:t>
      </w:r>
    </w:p>
    <w:p w14:paraId="01DFB12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Soukromým rekreačním létáním se pro účely zákona o spotřebních daních (a směrnice o energetickém zdanění) rozumí používání letadla jeho vlastníkem nebo právnickou nebo fyzickou osobou, která je oprávněna je používat na základě nájmu nebo jiným způsobem jinak než pro účely podnikání, zejména jinak než pro přepravu cestujících nebo zboží, pro poskytování služeb letadly za úplatu nebo pro potřeby orgánů veřejné správy.</w:t>
      </w:r>
    </w:p>
    <w:p w14:paraId="7D9AD863"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Z dosavadní judikatury SDEU vyplývá, že by se předmětné osvobození mezinárodních letů nemělo týkat zejména použití letadla pro soukromé účely, letů do letecké opravny a zpět (rozsudek SDEU ve věci C-79/10), letů firemních letadel k zajištění cest svých zaměstnanců k zákazníkům nebo do místa konání veletrhů (rovněž rozsudek SDEU ve věci C-79/10), letecká vystoupení, soutěžní lety, atp.</w:t>
      </w:r>
    </w:p>
    <w:p w14:paraId="386C3DE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K tomuto ustanovení není zapotřebí přechodné období, neboť se bude postupovat například na základě rozsudku Nejvyššího správního soudu č.j. 7 Afs 129/2013 – 36. Pokud subjekt (uživatel, případně uživatel přeprodejce) nabude minerální oleje osvobozené od daně do doby nabytí účinnosti zákona, a následně je spotřebuje (nebo prodá) pro (již) neosvobozené účely, vznikne mu povinnost přiznat daň a zaplatit podle § 9 odst. 3 písm. b) zákona o spotřebních daních a stane se z něj plátce daně podle § 4 odst. 1 písm. b) zákona o spotřebních daních. Daňové přiznání a lhůty jsou standardní.</w:t>
      </w:r>
    </w:p>
    <w:p w14:paraId="2B8FEC70"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50 odst. 2)</w:t>
      </w:r>
    </w:p>
    <w:p w14:paraId="4B6E418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První navrhovaná změna souvisí se zrušením institutu vracení spotřební daně osobám užívajícím tyto oleje v mineralogických postupech nebo metalurgických procesech. V důsledku této změny dochází i ke zrušení dvou odstavců v § 49 zákona o spotřebních daních. Jedná se o legislativně technickou změnu.</w:t>
      </w:r>
    </w:p>
    <w:p w14:paraId="5FD4C4C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Druhá změna je rovněž legislativně technická a souvisí s úpravou nesprávného odkazu na § 53 odst. 5 písm. a) zákona o spotřebních daních.</w:t>
      </w:r>
    </w:p>
    <w:p w14:paraId="008D5C30"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52 odst. 1)</w:t>
      </w:r>
    </w:p>
    <w:p w14:paraId="4A164DC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změna souvisí se zrušením institutu vracení spotřební daně osobám užívajícím tyto oleje v mineralogických postupech nebo metalurgických procesech. V důsledku této změny dochází i ke zrušení dvou odstavců v § 49 zákona o spotřebních daních. Jedná se o legislativně technickou změnu.</w:t>
      </w:r>
    </w:p>
    <w:p w14:paraId="54B2381D"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52a odst. 4)</w:t>
      </w:r>
    </w:p>
    <w:p w14:paraId="541F82A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Navrhovaná změna souvisí se zrušením institutu vracení spotřební daně osobám užívajícím tyto oleje v mineralogických postupech nebo metalurgických procesech. V důsledku této změny dochází i ke zrušení dvou odstavců v § 49 zákona o spotřebních daních. Jedná se o legislativně technickou změnu.</w:t>
      </w:r>
    </w:p>
    <w:p w14:paraId="57E443DE"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53 odst. 1)</w:t>
      </w:r>
    </w:p>
    <w:p w14:paraId="6B0C778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změna souvisí se zrušením institutu vracení spotřební daně osobám užívajícím tyto oleje v mineralogických postupech nebo metalurgických procesech. V důsledku této změny dochází i ke zrušení dvou odstavců v § 49 zákona o spotřebních daních. Jedná se o legislativně technickou změnu.</w:t>
      </w:r>
    </w:p>
    <w:p w14:paraId="5851AA97"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55)</w:t>
      </w:r>
    </w:p>
    <w:p w14:paraId="500A4024"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Navrhovanou změnou je zrušen institut vracení spotřební daně osobám užívajícím tyto oleje v mineralogických postupech a metalurgických procesech. </w:t>
      </w:r>
    </w:p>
    <w:p w14:paraId="344B846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Ve většině případů toto opatření nebude mít za následek úplnou ztrátu daňového zvýhodnění. Na část minerálních olejů, které jsou v rámci mineralogických a metalurgických procesů používány pro jiný účel než výrobu tepla, nebo pohon motorů, bude moci být aplikováno osvobození od daně podle § 49 odst. 1 zákona o spotřebních daních. Na část minerálních olejů, které budou v rámci těchto procesů použity pro výrobu tepla, bude moci být uplatněn nárok na vrácení daně podle § 56 zákona o spotřebních daních. V tomto případě nebude subjektu vracena plná výše daně, ale pouze výše daně snížená o 660 Kč/1000 litrů. Pouze na tu část minerálních olejů, která je použita k pohonu (stacionárních) motorů v rámci metalurgických a mineralogických procesů, a tu část minerálních olejů, která svým kódem nomenklatury nespadá pod minerální oleje uvedené v § 56 zákona o spotřebních daních, nebude moci být aplikováno žádné daňové zvýhodnění.</w:t>
      </w:r>
    </w:p>
    <w:p w14:paraId="5022A59A"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56 odst. 1)</w:t>
      </w:r>
    </w:p>
    <w:p w14:paraId="5C37E46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Jedná se o legislativně-technickou změnu související se zrušením § 55 zákona o spotřebních daních.</w:t>
      </w:r>
    </w:p>
    <w:p w14:paraId="67422CFD"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56 odst. 2)</w:t>
      </w:r>
    </w:p>
    <w:p w14:paraId="70C4E37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Jedná se o legislativně-technickou změnu související se zrušením § 55 zákona o spotřebních daních.</w:t>
      </w:r>
    </w:p>
    <w:p w14:paraId="4C581CBC"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57 odst. 9)</w:t>
      </w:r>
    </w:p>
    <w:p w14:paraId="6B53288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Jedním z cílů tohoto zákona je snížení administrativní zátěže na straně dotčených subjektů i správce daně. Z tohoto důvodu nebudou dále k daňovému přiznání k uplatnění nároku na vrácení daně z tzv. zelené nafty přikládány žádné doklady. Toto se týká všech činností spadajících pod § 57 zákona o spotřebních daních, tedy rostlinné výroby, živočišné výroby, rybníkářství i provádění hospodaření v lese. V souladu s tímto cílem je navrhovanou změnou postaveno na jisto, že k daňovým přiznáním k uplatnění nároku na vrácení daně nemusí být přikládány doklady o prodeji nebo interní doklady. Tyto doklady budou nadále sloužit jako jediné možné důkazy k prokázání oprávněného nabytí předmětných pohonných hmot za cenu obsahující spotřební daň, proto je daňový subjekt bude muset mít k dispozici minimálně po dobu lhůty pro stanovení daně. Správce daně tyto doklady tedy nebude vyžadovat u každého jednotlivého uplatnění nároku na vrácení daně, bude je však moci od subjektů vyžadovat například namátkou nebo v případě pochybností. Nebude-li dotčený subjekt požadované doklady schopen předložit, nenaplní podmínku uvedenou v § 57 odst. 9 a ve spojení s § 57 odst. 1 mu bude doměřena daň.</w:t>
      </w:r>
    </w:p>
    <w:p w14:paraId="70474AF0"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57 odst. 13)</w:t>
      </w:r>
    </w:p>
    <w:p w14:paraId="7A12CF7F"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lastRenderedPageBreak/>
        <w:t xml:space="preserve">První změna v tomto ustanovení odráží skutečnost, že evidencí o skutečné spotřebě budou nárok na vrácení daně prokazovat pouze osoby podnikající v rybníkářství nebo osoby provádějící hospodaření v lese. Tyto osoby budou mít nadále čtvrtletní zdaňovací období a stejné lhůty spojené s uplatňováním nároku na vrácení daně. </w:t>
      </w:r>
    </w:p>
    <w:p w14:paraId="3EAF3425"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Druhá navrhovaná změna má za cíl, aby k daňovému přiznání k uplatnění nároku na vrácení daně z tzv. zelené nafty nebyly přikládány žádné doklady. V souladu s tímto cílem je navrhovanou změnou postaveno na jisto, že k daňovým přiznáním k uplatnění nároku na vrácení daně z minerálních olejů použitých v rybníkářství a při provádění hospodaření v lese nemusí být přikládány evidence o skutečné spotřebě minerálních olejů. Tyto evidence však budou nadále sloužit jako jediné možné důkazy k prokázání oprávněné spotřeby pohonných hmot v rybníkářství a při provádění hospodaření v lese. Daňový subjekt touto evidencí bude muset disponovat. Správce daně tuto evidenci nebude vyžadovat u každého jednotlivého uplatnění nároku na vrácení daně, bude ji však moci od subjektů vyžadovat například namátkou nebo v případě pochybností. Nebude-li dotčený subjekt požadovanou evidenci schopen předložit, nenaplní podmínku uvedenou v § 57 odst. 13 zákona o spotřebních daních a ve spojení s § 57 odst. 1 zákona o spotřebních daních mu bude doměřena daň.   </w:t>
      </w:r>
    </w:p>
    <w:p w14:paraId="627056C4"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Poslední navrhovaná změna souvisí se skutečností, že podnikatelé v rostlinné a živočišné výrobě budou moci spotřebu minerálních olejů prokázat pouze evidencí využití půdy podle uživatelských vztahů vedenou podle zákona upravujícího zemědělství nebo ústřední evidencí hospodářských zvířat vedenou podle plemenářského zákona. Zdaňovací období osob podnikajících v rostlinné nebo živočišné výrobě bude kalendářní rok, tedy nebudou mít již volbu mezi kvartálním a ročním zdaňovacím obdobím.</w:t>
      </w:r>
    </w:p>
    <w:p w14:paraId="0ABD898E" w14:textId="21996BE3"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57 odst. 14)</w:t>
      </w:r>
    </w:p>
    <w:p w14:paraId="2452B2B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Navrhovaná změna souvisí se skutečností, že podnikatelé v rostlinné a živočišné výrobě budou moci spotřebu minerálních olejů prokázat pouze evidencí využití půdy podle uživatelských vztahů vedenou podle zákona upravujícího zemědělství nebo ústřední evidencí hospodářských zvířat vedenou podle plemenářského zákona. Zdaňovací období osob podnikajících v rostlinné nebo živočišné výrobě bude kalendářní rok, tedy nebudou mít již volbu mezi kvartálním a ročním zdaňovacím obdobím.</w:t>
      </w:r>
    </w:p>
    <w:p w14:paraId="139F4E82"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57 odst. 14 písm. b))</w:t>
      </w:r>
    </w:p>
    <w:p w14:paraId="619388E6"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Navrhovaná změna souvisí se skutečností, že podnikatelé v rostlinné a živočišné výrobě budou moci spotřebu minerálních olejů prokázat pouze evidencí využití půdy podle uživatelských vztahů vedenou podle zákona upravujícího zemědělství nebo ústřední evidencí hospodářských zvířat vedenou podle plemenářského zákona. Nebudou tedy moci prokazovat spotřebu pohonných hmot pomocí evidence skutečné spotřeby. Z tohoto důvodu je touto změnou upřesněno, že druh vykonávané práce v této evidenci se může vztahovat pouze k rybníkářství nebo k provádění hospodaření v lese.</w:t>
      </w:r>
    </w:p>
    <w:p w14:paraId="73F7B7D1"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70 odst. 1)</w:t>
      </w:r>
    </w:p>
    <w:p w14:paraId="0153CC15"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Navrhuje se pravidelné zvýšení spotřební daně z lihu o +10 % v roce 2024 a o +5 % v každém roce 2025-2027. V tomto bodě se jedná o zvýšení sazby spotřební daně z lihu o 10 % s navrhovanou účinností k 1. 1. 2024.</w:t>
      </w:r>
    </w:p>
    <w:p w14:paraId="06C8FE8D" w14:textId="68F79CFB"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souladu s principy ochrany veřejného zdraví, bojem se závislostmi a doporučeními z NERV se navrhuje nastavit čtyřletý harmonogram růstu sazeb spotřební daně z lihu po vzoru navrženého zdanění u tabákových výrobků. Čtyřletý harmonogram zvyšování sazeb přinese transparentní plán pro obě odvětví a svým přesahem přes stávající volební období této vlády nebude ovlivněn volebním cyklem. Na základě trvalé výjimky dojednané v</w:t>
      </w:r>
      <w:r w:rsidR="009655EE" w:rsidRPr="003730B5">
        <w:rPr>
          <w:rFonts w:ascii="Times New Roman" w:hAnsi="Times New Roman"/>
          <w:color w:val="auto"/>
          <w:sz w:val="24"/>
        </w:rPr>
        <w:t> </w:t>
      </w:r>
      <w:r w:rsidRPr="003730B5">
        <w:rPr>
          <w:rFonts w:ascii="Times New Roman" w:hAnsi="Times New Roman"/>
          <w:color w:val="auto"/>
          <w:sz w:val="24"/>
        </w:rPr>
        <w:t>E</w:t>
      </w:r>
      <w:r w:rsidR="009655EE" w:rsidRPr="003730B5">
        <w:rPr>
          <w:rFonts w:ascii="Times New Roman" w:hAnsi="Times New Roman"/>
          <w:color w:val="auto"/>
          <w:sz w:val="24"/>
        </w:rPr>
        <w:t>vropské unii</w:t>
      </w:r>
      <w:r w:rsidRPr="003730B5">
        <w:rPr>
          <w:rFonts w:ascii="Times New Roman" w:hAnsi="Times New Roman"/>
          <w:color w:val="auto"/>
          <w:sz w:val="24"/>
        </w:rPr>
        <w:t xml:space="preserve"> se </w:t>
      </w:r>
      <w:r w:rsidRPr="003730B5">
        <w:rPr>
          <w:rFonts w:ascii="Times New Roman" w:hAnsi="Times New Roman"/>
          <w:color w:val="auto"/>
          <w:sz w:val="24"/>
        </w:rPr>
        <w:lastRenderedPageBreak/>
        <w:t>bude nadále uplatňovat poloviční sazba daně u produktů z pěstitelského pálení pro vlastní spotřebu.</w:t>
      </w:r>
    </w:p>
    <w:p w14:paraId="67DA0E2F"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Důvodem je nejen navýšení příjmů státního rozpočtu, ale také zohlednění Programového prohlášení vlády v souvislosti se snižováním zdravotních rizik, tedy kromě fiskálního efektu může zvýšení sazby daně z lihu motivovat spotřebitele ke snížení konzumace lihovin.</w:t>
      </w:r>
    </w:p>
    <w:p w14:paraId="335F17C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 souvislosti se zvyšováním sazby daně z lihu je mj. třeba vzít v úvahu zdaňování stejných alkoholických nápojů v okolních členských státech. Sazba daně v České republice je stanovena ve výši 1315 EUR/hl etanolu (snížená sazba daně pro pěstitelské pálenice je stanovena ve výši 661 EUR/hl etanolu). V nedávné době Polsko přistoupilo ke zvýšení sazby daně z lihu a její současná výše je 1500 EUR/hl etanolu. Dále je v tomto členském státě nastaven víceletý plán zvyšování sazby v letech 2023 – 2026 (5 % ročně). Na Slovensku je stanovena sazba daně z lihu ve výši 1404 EUR/hl etanolu. </w:t>
      </w:r>
    </w:p>
    <w:p w14:paraId="6220D2DC"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Směrnice 92/84/EHS je nastavena tak, že zdanění alkoholu nemusí být proporcionální (dle obsahu alkoholu), ale prostřednictvím daňové politiky a uvalováním různé výše spotřební daně na různé alkoholické nápoje lze mimo jiné ovlivňovat vzorce pití ve společnosti. Přestože alkohol je jen jeden, konzumace tvrdého alkoholu je vnímána jako nebezpečnější, neboť např. právě kvůli vzorcům pití je spojena spíše s tím, že konzument má větší tendenci pozřít větší celkovou dávku než při konzumaci jiných typů alkoholu. Dále u lihovin je větší riziko otravy (předávkování) alkoholem, a to obzvláště u mladistvých. Nástup vlivu těchto typů nápojů na organismus je po jejich konzumaci poměrně náhlý a stačí požít relativně malé množství. Jedná se zejména o případy jednorázové nadměrné konzumace alkoholu, tzv. </w:t>
      </w:r>
      <w:r w:rsidRPr="003730B5">
        <w:rPr>
          <w:rFonts w:ascii="Times New Roman" w:hAnsi="Times New Roman"/>
          <w:i/>
          <w:color w:val="auto"/>
          <w:sz w:val="24"/>
        </w:rPr>
        <w:t>binge drinking</w:t>
      </w:r>
      <w:r w:rsidRPr="003730B5">
        <w:rPr>
          <w:rFonts w:ascii="Times New Roman" w:hAnsi="Times New Roman"/>
          <w:color w:val="auto"/>
          <w:sz w:val="24"/>
        </w:rPr>
        <w:t>, kdy vznikají další zdravotní rizika, např. úraz či úmrtí vlivem požití jednorázové velmi vysoké dávky alkoholu.</w:t>
      </w:r>
    </w:p>
    <w:p w14:paraId="20463563"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70 odst. 1)</w:t>
      </w:r>
    </w:p>
    <w:p w14:paraId="407AED4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bodě se jedná o zvýšení sazby spotřební daně z lihu o 5 % s navrhovanou účinností k 1. 1. 2025.</w:t>
      </w:r>
    </w:p>
    <w:p w14:paraId="46EDC696"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70 odst. 1)</w:t>
      </w:r>
    </w:p>
    <w:p w14:paraId="2AE843C2"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bodě se jedná o zvýšení sazby spotřební daně z lihu o 5 % s navrhovanou účinností k 1. 1. 2026.</w:t>
      </w:r>
    </w:p>
    <w:p w14:paraId="2B7C2618"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70 odst. 1)</w:t>
      </w:r>
    </w:p>
    <w:p w14:paraId="54CE3E89"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bodě se jedná o zvýšení sazby spotřební daně z lihu o 5 % s navrhovanou účinností k 1. 1. 2027.</w:t>
      </w:r>
    </w:p>
    <w:p w14:paraId="0741E31E"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77 odst. 1)</w:t>
      </w:r>
    </w:p>
    <w:p w14:paraId="05B2A51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Navrhuje se zvýšení zajištění daně poskytnutého složením nebo převodem peněžních prostředků na depozitní účet pro zajištění daně zřízený správcem daně. Výše zajištění daně v případě tohoto způsobu zajištění se odvíjí od skutečnosti, zda provozovatel daňového skladu provozuje jeden nebo více než jeden daňový sklad.</w:t>
      </w:r>
    </w:p>
    <w:p w14:paraId="3174C0E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současné době je v případě, kdy provozovatel daňového skladu provozuje pouze jeden sklad, výše zajištění daně stanovena nejvýše na částku 40 000 000 Kč; v případě provozování více, než jednoho skladu tato částka činí 120 000 000 Kč.</w:t>
      </w:r>
    </w:p>
    <w:p w14:paraId="6719D57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Vzhledem k tomu, že od roku 2004 byly sazby spotřební daně několikrát navýšeny a nebylo přistoupeno k promítnutí této skutečnosti do zvýšení částky zajištění daně poskytnutého složením nebo převodem peněžních prostředků na depozitní účet pro zajištění daně zřízený správcem daně, je vhodné i v souvislosti s navrhovanou úpravou sazeb určitým způsobem k navýšení zajištění daně přistoupit.</w:t>
      </w:r>
    </w:p>
    <w:p w14:paraId="651FAEE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lastRenderedPageBreak/>
        <w:t>Navrhovanou úpravou dochází pouze k částečnému zohlednění již provedených a také navrhovaných zvýšení sazeb spotřební daně z lihu s ohledem na zatížení subjektů. V souvislosti s tím je také navrhováno přechodné ustanovení tak, aby subjekty měly dostatek času na úpravu reagovat.</w:t>
      </w:r>
    </w:p>
    <w:p w14:paraId="0B86420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bodě se jedná o zvýšení zajištění daně v případě, kdy provozovatel daňového skladu provozuje pouze jeden sklad. Částka 40 000 000 Kč se navrhuje zvýšit na 50 000 000 Kč.</w:t>
      </w:r>
    </w:p>
    <w:p w14:paraId="38A05D37" w14:textId="77777777" w:rsidR="00133AC8" w:rsidRPr="003730B5" w:rsidRDefault="00133AC8" w:rsidP="00133AC8">
      <w:pPr>
        <w:pStyle w:val="Dvodovzprvakbodu"/>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77 odst. 2)</w:t>
      </w:r>
    </w:p>
    <w:p w14:paraId="7B24C9D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souvislosti s navrženou úpravou § 77 odst. 1 se v tomto bodě navrhuje zvýšení zajištění daně poskytnutého složením nebo převodem peněžních prostředků na depozitní účet pro zajištění daně zřízený správcem daně v případě, kdy provozovatel daňového skladu provozuje více než jeden sklad. Částka 120 000 000 Kč se navrhuje zvýšit na 150 000 000 Kč.</w:t>
      </w:r>
    </w:p>
    <w:p w14:paraId="4D5F31AA"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101 odst. 2)</w:t>
      </w:r>
    </w:p>
    <w:p w14:paraId="58011F66"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předmětu daně z tabákových výrobků se vyčleňuje tabák do vodních dýmek jakožto specifický typ tabákového výrobku, který je určen výhradně k užívání ve vodních dýmkách. Tento typ výrobku obsahující tabák se vyznačuje tím, že se jedná o kombinaci tabáku a dalších látek, kdy výsledná směs je specifická a identifikovatelná. Obsah tabáku se pohybuje v rozmezí 10 až 40 %. Tím se tento typ výrobku výrazně odlišuje od tabáku k ručnímu balení cigaret a jiných obdobných výrobků, kde činí obsah tabáku až 100 %. Tabák do vodních dýmek byl dosud zdaňován jako tabák ke kouření, tj. shodnou výší sazby spotřební daně.</w:t>
      </w:r>
    </w:p>
    <w:p w14:paraId="3E1E6153"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101 odst. 3 písm. d))</w:t>
      </w:r>
    </w:p>
    <w:p w14:paraId="2E887BC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Definuje se tabák do vodních dýmek tak, aby bylo jednoznačně určeno, že tento výrobek lze užívat pouze prostřednictvím vodních dýmek a současně nespadá pod definici tabáku ke kouření ani zahřívaných tabákových výrobků. Cílem tohoto ustanovení je zajistit, aby sazba spotřební daně stanovená na tabák do vodních dýmek byla aplikována výhradně na tento výrobek a nebyla využívána jinými druhy výrobků obsahujících tabák z důvodu stanovené nižší sazby spotřební daně.</w:t>
      </w:r>
    </w:p>
    <w:p w14:paraId="45006358"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101 odst. 4)</w:t>
      </w:r>
    </w:p>
    <w:p w14:paraId="3AF004B4"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Jedná se o legislativně technickou změnu spočívající v úpravě odkazu na ustanovení, které bylo přesunuto.</w:t>
      </w:r>
    </w:p>
    <w:p w14:paraId="24F15026"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101 odst. 6)</w:t>
      </w:r>
    </w:p>
    <w:p w14:paraId="589C84B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Jedná se o legislativně technickou změnu spočívající v úpravě odkazu na ustanovení, které bylo přesunuto.</w:t>
      </w:r>
    </w:p>
    <w:p w14:paraId="079C4231"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101 odst. 8)</w:t>
      </w:r>
    </w:p>
    <w:p w14:paraId="10A3FFE3"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Obdobně jako u tabáku ke kouření se stanovuje, že spotřební daň aplikovaná na tabák do vodních dýmek se vztahuje také na výrobky, které obsahují částečně nebo zcela jiné látky než tabák (např. bylinné směsi), lze je užívat pouze za použití vodní dýmky a nejedná se o tabák ke kouření, případně zahřívaný tabákový výrobek. Současně spotřební dani z tabáku do vodních dýmek nepodléhají výrobky, které slouží výhradně k lékařským účelům.</w:t>
      </w:r>
    </w:p>
    <w:p w14:paraId="7E9C4FC6"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104 odst. 1)</w:t>
      </w:r>
    </w:p>
    <w:p w14:paraId="4DAD547E"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Navrhuje se zvýšení sazby spotřební daně z tabákových výrobků, a to pro všechny tyto vybrané výrobky, tedy jak cigarety, doutníky a cigarillos, tak pro tabák ke kouření a tabák do vodní dýmky. K navýšení sazeb dojde postupně, v rámci čtyřletého období. Navazuje se tak na harmonogram postupného navyšování sazeb spotřební daně z tabákových výrobků pro období let 2021 – 2023. Cílem tohoto opatření je navýšení příjmů státního rozpočtu a naplňování </w:t>
      </w:r>
      <w:r w:rsidRPr="003730B5">
        <w:rPr>
          <w:rFonts w:ascii="Times New Roman" w:hAnsi="Times New Roman"/>
          <w:color w:val="auto"/>
          <w:sz w:val="24"/>
        </w:rPr>
        <w:lastRenderedPageBreak/>
        <w:t xml:space="preserve">politiky České republiky v oblasti veřejného zdraví. V prvním roce dojde k navýšení sazeb o 10 %, v dalších třech letech o 5 % ročně. </w:t>
      </w:r>
    </w:p>
    <w:p w14:paraId="0D8F3F7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Víceletý harmonogram přináší větší jistotu jak pro predikci příjmů státního rozpočtu, tak vyšší transparentnost pro podnikatelský sektor. Časový horizont je navržen tak, aby stejně jako v případě navyšování sazeb spotřební daně z lihu přesahoval aktuální volební období. </w:t>
      </w:r>
    </w:p>
    <w:p w14:paraId="4B827BF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případě cigaret se zvyšuje pevná část sazby daně, procentní část je ponechána na úrovni 30 % z maloobchodní ceny jednotkového balení tohoto tabákového výrobku. Zároveň v prvním roce dochází k výraznějšímu navýšení minimální sazby daně na 1 kus cigarety, a to o 20 %. V dalších letech již dochází k navýšení této minimální sazby v souladu s navyšováním v rámci čtyřletého harmonogramu.</w:t>
      </w:r>
    </w:p>
    <w:p w14:paraId="67DA945C"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Navyšuje se rovněž minimální sazba daně na 1 kus cigarety. Zvýšení sazby daně z tabáku ke kouření má dopad i na výši sazby spotřební daně ze surového tabáku, neboť podle ustanovení § 131e odst. 1 zákona o spotřebních daních se sazba daně ze surového tabáku stanoví ve výši sazby spotřební daně z tabáku ke kouření.</w:t>
      </w:r>
    </w:p>
    <w:p w14:paraId="477A8143"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bodě se jedná o první zvýšení sazby spotřební daně z tabákových výrobků o 10 % s účinností k 1. 1. 2024. Výjimku představuje minimální sazba daně na kus cigarety (viz výše).</w:t>
      </w:r>
    </w:p>
    <w:p w14:paraId="41BDBA23"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104 odst. 1)</w:t>
      </w:r>
    </w:p>
    <w:p w14:paraId="269A9F8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bodě se jedná o druhé zvýšení sazby spotřební daně z tabákových výrobků o 5 % s účinností k 1. 1. 2025.</w:t>
      </w:r>
    </w:p>
    <w:p w14:paraId="14E74E46"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104 odst. 1)</w:t>
      </w:r>
    </w:p>
    <w:p w14:paraId="08B27E7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bodě se jedná o třetí zvýšení sazby spotřební daně z tabákových výrobků o 5 % s účinností k 1. 1. 2026</w:t>
      </w:r>
    </w:p>
    <w:p w14:paraId="42A97291"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104 odst. 1)</w:t>
      </w:r>
    </w:p>
    <w:p w14:paraId="799D0362"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bodě se jedná o čtvrté zvýšení sazby spotřební daně z tabákových výrobků o 5 % s účinností k 1. 1. 2027.</w:t>
      </w:r>
    </w:p>
    <w:p w14:paraId="1797B739"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104 odst. 2)</w:t>
      </w:r>
    </w:p>
    <w:p w14:paraId="325CB97C"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Jedná se o změnu související se zavedením nové kategorie tabákových výrobků – tabáku do vodní dýmky. I pro tento druh tabákového výrobku platí, že je rozhodující hmotnost výrobku v okamžiku vzniku povinnosti daň přiznat a zaplatit.</w:t>
      </w:r>
    </w:p>
    <w:p w14:paraId="2A44913B"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130 odst. 2)</w:t>
      </w:r>
    </w:p>
    <w:p w14:paraId="23844D5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Z důvodu zavádění spotřební daně na nové výrobky, které obsahují tabák, případně obsahují pouze nikotin nebo jiné látky než tabák, se upravuje rovněž definice zahřívaného tabákového výrobku v rámci zákona o spotřebních daních tím způsobem, že za zahřívané tabákové výrobky se budou považovat i ty výrobky, které obsahují částečně i jiné látky než tabák. Cílem této úpravy je postihnout co nejvíce inovativních výrobků, které se způsobem užití blíží zahřívaným tabákovým výrobkům, ale dosud nebylo možné je podřadit pod tuto kategorii.</w:t>
      </w:r>
    </w:p>
    <w:p w14:paraId="2597D255"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130a)</w:t>
      </w:r>
    </w:p>
    <w:p w14:paraId="4C6CC48B" w14:textId="77777777" w:rsidR="00133AC8" w:rsidRPr="003730B5" w:rsidRDefault="00133AC8" w:rsidP="00133AC8">
      <w:pPr>
        <w:pStyle w:val="Dvodovzprva"/>
      </w:pPr>
      <w:r w:rsidRPr="003730B5">
        <w:rPr>
          <w:rFonts w:ascii="Times New Roman" w:hAnsi="Times New Roman"/>
          <w:color w:val="auto"/>
          <w:sz w:val="24"/>
        </w:rPr>
        <w:t>Vzhledem k rozšíření definice zahřívaného tabákového výrobku se upravuje i předmět daně u této komodity. Stanoví se, že v souladu s definicí bude spotřební dani podléhat nejenom tabák, ale případně i jiné látky</w:t>
      </w:r>
      <w:r w:rsidRPr="003730B5">
        <w:t>.</w:t>
      </w:r>
    </w:p>
    <w:p w14:paraId="03BCF525"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130b odst. 1)</w:t>
      </w:r>
    </w:p>
    <w:p w14:paraId="03154E75"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Vzhledem k úpravě definice zahřívaných tabákových výrobků se upravuje i základ této daně, </w:t>
      </w:r>
      <w:r w:rsidRPr="003730B5">
        <w:rPr>
          <w:rFonts w:ascii="Times New Roman" w:hAnsi="Times New Roman"/>
          <w:color w:val="auto"/>
          <w:sz w:val="24"/>
        </w:rPr>
        <w:lastRenderedPageBreak/>
        <w:t>která je nově stanovena na množství náplně.</w:t>
      </w:r>
    </w:p>
    <w:p w14:paraId="636F92F4"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130b odst. 2)</w:t>
      </w:r>
    </w:p>
    <w:p w14:paraId="4A657A2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ustanovení se s ohledem na změnu činěnou v § 130 odst. 1 analogicky zavádí širší pojem pro stanovení zdaňovaného množství výrobku.</w:t>
      </w:r>
    </w:p>
    <w:p w14:paraId="320CF188"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130c odst. 1)</w:t>
      </w:r>
    </w:p>
    <w:p w14:paraId="359AB87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Navrhuje se zvýšení sazby spotřební daně ze zahřívaných tabákových výrobků. K postupnému navýšení sazeb spotřební daně dojde rovněž v rámci čtyřletého harmonogramu. Opouští se dosavadní princip výše zdanění odvozeného od zdanění tabáku ke kouření a zavádí se vyšší tempo zdanění zahřívaných tabákových výrobků, a to o 15 % ročně. Zahřívané tabákové výrobky mají nižší hmotnost tabákové náplně než ručně balené i průmyslově vyráběné cigarety a slouží uživatelům jako jejich substitut. Tyto výrobky vykazují dynamický nárůst spotřeby na českém trhu. Jelikož jsou považovány za méně zdraví škodlivé výrobky, i přes rychlejší navrhované tempo růstu spotřební daně bude stále jejich míra zdanění výrazně nižší, než je tomu u tradičních tabákových výrobků fungujících na principu spalování tabáku. K obdobnému přístupu ke zdanění přistoupilo v poslední době například Německo a Slovensko, a to rovněž s cílem dosáhnout postupného přibližování míry zdanění zahřívaných a tradičních tabákových výrobků.</w:t>
      </w:r>
    </w:p>
    <w:p w14:paraId="0BA265D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bodě se jedná o první zvýšení sazby spotřební daně ze zahřívaných tabákových výrobků o 15 % s účinností k 1. 1. 2024.</w:t>
      </w:r>
    </w:p>
    <w:p w14:paraId="702A0268"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130c odst. 1)</w:t>
      </w:r>
    </w:p>
    <w:p w14:paraId="16AB420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bodě se jedná o druhé zvýšení sazby spotřební daně ze zahřívaných tabákových výrobků o 15 % s účinností k 1. 1. 2025.</w:t>
      </w:r>
    </w:p>
    <w:p w14:paraId="4311A059"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130c odst. 1)</w:t>
      </w:r>
    </w:p>
    <w:p w14:paraId="164155F2"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bodě se jedná o třetí zvýšení sazby spotřební daně ze zahřívaných tabákových výrobků o 15 % s účinností k 1. 1. 2026.</w:t>
      </w:r>
    </w:p>
    <w:p w14:paraId="638ACFB2"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130c odst. 1)</w:t>
      </w:r>
    </w:p>
    <w:p w14:paraId="5F4ED50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bodě se jedná o čtvrté zvýšení sazby spotřební daně ze zahřívaných tabákových výrobků o 15 % s účinností k 1. 1. 2027.</w:t>
      </w:r>
    </w:p>
    <w:p w14:paraId="6E4E4C12"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(nová hlava VII a VIII)</w:t>
      </w:r>
    </w:p>
    <w:p w14:paraId="4CC93E08"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Hlava VII</w:t>
      </w:r>
    </w:p>
    <w:p w14:paraId="5F5D9D89"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130h odst. 1</w:t>
      </w:r>
    </w:p>
    <w:p w14:paraId="2571687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Jsou definovány ostatní tabákové výrobky, které dosud nepodléhají harmonizované spotřební dani z tabákových výrobků a nejsou současně zahřívanými tabákovými výrobky nebo surovým tabákem.  Mezi tuto skupinu výrobků patří například žvýkací a šňupací tabák. </w:t>
      </w:r>
    </w:p>
    <w:p w14:paraId="0AC05819"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130h odst. 2</w:t>
      </w:r>
    </w:p>
    <w:p w14:paraId="10006E8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Obdobně jako v případě aplikace spotřební daně ze zahřívaných tabákových výrobků se zavádí právní fikce, na základě které se pro ostatní tabákové výrobky přiměřeně použijí stávající ustanovení zákona upravující oblast spotřební daně z tabákových výrobků, a to včetně povinného značení těchto výrobků tabákovou nálepkou.</w:t>
      </w:r>
    </w:p>
    <w:p w14:paraId="7B9D1AC3"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130h odst. 3</w:t>
      </w:r>
    </w:p>
    <w:p w14:paraId="5518B65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 návaznosti na předchozí ustanovení se na ostatní tabákové výrobky hledí jako na vybrané výrobky, tedy jako na výrobky podléhající spotřební dani, na které se aplikují vedle ustanovení </w:t>
      </w:r>
      <w:r w:rsidRPr="003730B5">
        <w:rPr>
          <w:rFonts w:ascii="Times New Roman" w:hAnsi="Times New Roman"/>
          <w:color w:val="auto"/>
          <w:sz w:val="24"/>
        </w:rPr>
        <w:lastRenderedPageBreak/>
        <w:t>upravujících spotřební daň z tabákových výrobků i další relevantní ustanovení zákona o spotřebních daních.</w:t>
      </w:r>
    </w:p>
    <w:p w14:paraId="3018A34A"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130i</w:t>
      </w:r>
    </w:p>
    <w:p w14:paraId="3C3D2CBE"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Stanovuje se předmět daně z ostatních tabákových výrobků. Mezi tuto skupinu výrobků patří například žvýkací a šňupací tabák. Tyto výrobky jsou dlouhodobě dostupné na českém trhu a typicky nabízeny konečnému spotřebiteli v místě prodeje společně s tabákovými výrobky, které podléhají spotřební dani. Oproti cigaretám, tabáku ke kouření nebo zahřívaným tabákovým výrobkům je však jejich popularita mezi uživateli nižší. V případě žvýkacího tabáku je tento výrobek prodáván především ve formě sáčkových porcí, na trhu jsou však k dispozici i neporcovaná jednotková balení tohoto tabáku. Vzhledově jsou jednotková balení žvýkacího tabáku v porcích velmi podobná jednotkovým balením nikotinových sáčků. Podmínky uvádění těchto výrobků na český trh primárně upravuje zákon č. 110/1997 Sb. o potravinách a tabákových výrobcích a o změně a doplnění některých souvisejících zákonů (dále jen „zákon o potravinách“) a jeho prováděcí předpisy. </w:t>
      </w:r>
    </w:p>
    <w:p w14:paraId="11EA4D38"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130j odst. 1</w:t>
      </w:r>
    </w:p>
    <w:p w14:paraId="64A108C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rámci tohoto ustanovení je definován základ spotřební daně z ostatních tabákových výrobků, kterým je množství výrobku obsažené v jednotkovém balení určeném pro konečného spotřebitele, a to v gramech, se zaokrouhlením na jedno desetinné místo. Pro číselné vyjádření množství výrobku je rozhodující jeho hmotnost v okamžiku vzniku povinnosti daň přiznat a zaplatit.</w:t>
      </w:r>
    </w:p>
    <w:p w14:paraId="10DB87CD"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130j odst. 2</w:t>
      </w:r>
    </w:p>
    <w:p w14:paraId="50F58974"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Ustanovení vymezuje, že pro číselné vyjádření množství ostatních tabákových výrobků je rozhodující jeho hmotnost v okamžiku vzniku povinnosti daň přiznat a zaplatit.</w:t>
      </w:r>
    </w:p>
    <w:p w14:paraId="76A71A01"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130k odst. 1</w:t>
      </w:r>
    </w:p>
    <w:p w14:paraId="039D83A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Tímto ustanovením se určuje sazba spotřební daně a způsob jejího výpočtu v případě spotřební daně z ostatních tabákových výrobků. Výše sazby spotřební daně z ostatních tabákových výrobků je stanovena ve stejné výši jako v případě tabáku ke kouření s tím, že je uvedena na gram výrobku.</w:t>
      </w:r>
    </w:p>
    <w:p w14:paraId="4CD0C86E"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130k odst. 2</w:t>
      </w:r>
    </w:p>
    <w:p w14:paraId="00A5FC3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Ustanovení specifikuje způsob výpočtu spotřební daně z ostatních tabákových výroků.</w:t>
      </w:r>
    </w:p>
    <w:p w14:paraId="7ACA15DB"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130l</w:t>
      </w:r>
    </w:p>
    <w:p w14:paraId="35B57C2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Pro zajištění právní jistoty dotčených subjektů se v rámci tohoto ustanovení potvrzuje, že v případě dopravy ostatních tabákových výrobků se přiměřeně využijí stávající ustanovení o dopravě vybraných výrobků.</w:t>
      </w:r>
    </w:p>
    <w:p w14:paraId="0E67CFE3"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130m</w:t>
      </w:r>
    </w:p>
    <w:p w14:paraId="3F9EFF65"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Cílem ustanovení je zajistit, aby řádně značené ostatní tabákové výrobky, které byly uvedeny do volného daňového oběhu před nabytím účinnosti nové sazby spotřební daně, nebyly považovány po nabytí účinnosti nové sazby daně za tabákové výrobky značené nesprávným způsobem. Doprodej těchto tabákových výrobků lze uskutečňovat až do doprodání zásob.</w:t>
      </w:r>
    </w:p>
    <w:p w14:paraId="51B8ADEA"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130n</w:t>
      </w:r>
    </w:p>
    <w:p w14:paraId="34F4DD4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 rámci tohoto ustanovení se upravuje doporučené množství těchto výrobků, které je považováno za přiměřené pro osobní spotřebu. Toto množství je stanoveno tak, aby proporcionálně odpovídalo množství tabákových výrobků pro osobní spotřebu již stanovené </w:t>
      </w:r>
      <w:r w:rsidRPr="003730B5">
        <w:rPr>
          <w:rFonts w:ascii="Times New Roman" w:hAnsi="Times New Roman"/>
          <w:color w:val="auto"/>
          <w:sz w:val="24"/>
        </w:rPr>
        <w:lastRenderedPageBreak/>
        <w:t>v rámci zákona o spotřebních daních (cigarety, tabák ke kouření).</w:t>
      </w:r>
    </w:p>
    <w:p w14:paraId="30D8A1AA"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Hlava VIII</w:t>
      </w:r>
    </w:p>
    <w:p w14:paraId="01BEC031"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130o odst. 1</w:t>
      </w:r>
    </w:p>
    <w:p w14:paraId="0DDFCB94" w14:textId="4723B38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Pro účel spotřební daně obsahuje toto ustanovení výčet výrobků souvisejících s tabákovými výrobky. Jedná se o skupinu výrobků zahrnující náplně do elektronických cigaret, nikotinové sáčky a ostatní nikotinové výrobky. V případě náplní do elektronických cigaret tyto výrobky mohou, ale nemusí obsahovat nikotin. Současně jsou tyto výrobky charakteristické tím, že neobsahují tabák. Podmínky uvádění těchto výrobků na český trh a způsob jejich nabízení konečnému spotřebiteli primárně upravuje zákon o potravinách a jeho prováděcí předpisy. </w:t>
      </w:r>
    </w:p>
    <w:p w14:paraId="5D91B3F3"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130o odst. 2</w:t>
      </w:r>
    </w:p>
    <w:p w14:paraId="39B1513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ustanovení je upraven vztah výrobků souvisejících s tabákovými výrobky a tabákových výrobků. Jelikož může nastat situace, že výrobek splní definici obou těchto skupin, je zde najisto postaveno, že v takovém případě se bude jednat o tabákový výrobek, nikoli o výrobek související s tabákovými výrobky.</w:t>
      </w:r>
    </w:p>
    <w:p w14:paraId="62846518"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130o odst. 3</w:t>
      </w:r>
    </w:p>
    <w:p w14:paraId="0C272E93"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Obdobně jako v případě aplikace spotřební daně ze zahřívaných tabákových výrobků a ostatních tabákových výrobků se zavádí právní fikce, na základě které se pro výrobky související s tabákovými výrobky přiměřeně použijí již existující ustanovení zákona upravující oblast spotřební daně z tabákových výrobků.</w:t>
      </w:r>
    </w:p>
    <w:p w14:paraId="5632839C"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130o odst. 4</w:t>
      </w:r>
    </w:p>
    <w:p w14:paraId="6AEFD914"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návaznosti na předchozí ustanovení se na výrobky související s tabákovými výrobky hledí jako na vybrané výrobky, tedy jako na výrobky podléhající spotřební dani, na které se aplikují vedle ustanovení upravujících spotřební daň z tabákových výrobků i relevantní ustanovení obecné části tohoto zákona.</w:t>
      </w:r>
    </w:p>
    <w:p w14:paraId="0E67B334"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130o odst. 5</w:t>
      </w:r>
    </w:p>
    <w:p w14:paraId="3B528AC3"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Tímto ustanovením je zajištěno, aby výrobky, které jsou používány výhradně k lékařským účelům a splňují podmínky stanovené Ministerstvem zdravotnictví České republiky nebo jím pověřené instituce, nebyly předmětem daně z výrobků souvisejících s tabákovými výrobky.</w:t>
      </w:r>
    </w:p>
    <w:p w14:paraId="68A22F82"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130p odst. 1</w:t>
      </w:r>
    </w:p>
    <w:p w14:paraId="310571CF"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Pro účely tohoto zákona je definována náplň do elektronických cigaret jako tekutina, která může, ale nemusí obsahovat nikotin a je buď součástí elektronické cigarety, nebo slouží k jejímu jednorázovému či opakovanému doplnění. Definice tohoto ustanovení je formulována tak, aby nebyla v rozporu s definicí obsaženou v zákoně o potravinách. </w:t>
      </w:r>
    </w:p>
    <w:p w14:paraId="38EBD509"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§130p odst. 2</w:t>
      </w:r>
    </w:p>
    <w:p w14:paraId="4A589502"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Pro zajištění právní jistoty jsou definovány jednotlivé varianty elektronické cigarety jakožto zařízení, jehož prostřednictvím dochází k užívání náplní. </w:t>
      </w:r>
    </w:p>
    <w:p w14:paraId="4359464B"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130q</w:t>
      </w:r>
    </w:p>
    <w:p w14:paraId="52EA798C"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Definuje se nikotinový sáček jakožto výrobek, který je určen k orálnímu použití, obsahuje nikotin smíchaný s rostlinnými vlákny nebo obdobným materiálem a je nabízen konečnému spotřebiteli v jednotkovém balení porcovaný a upravený do sáčků nebo obdobných balení. </w:t>
      </w:r>
    </w:p>
    <w:p w14:paraId="0845C295"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130r</w:t>
      </w:r>
    </w:p>
    <w:p w14:paraId="774695F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 rámci tohoto ustanovení se jako ostatní nikotinové výrobky vymezují takové výrobky, které </w:t>
      </w:r>
      <w:r w:rsidRPr="003730B5">
        <w:rPr>
          <w:rFonts w:ascii="Times New Roman" w:hAnsi="Times New Roman"/>
          <w:color w:val="auto"/>
          <w:sz w:val="24"/>
        </w:rPr>
        <w:lastRenderedPageBreak/>
        <w:t>nespadají do kategorie e-cigaret a nikotinových sáčků a obsahují nikotin, ale ne tabák.</w:t>
      </w:r>
    </w:p>
    <w:p w14:paraId="69F4C5CD"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130s</w:t>
      </w:r>
    </w:p>
    <w:p w14:paraId="6E5540FB"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Stanovuje se předmět daně z výrobků souvisejících s tabákovými výrobky, kterými jsou náplně do e-cigaret, nikotinové sáčky a ostatní nikotinové výrobky.</w:t>
      </w:r>
    </w:p>
    <w:p w14:paraId="57AAD285"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130t</w:t>
      </w:r>
    </w:p>
    <w:p w14:paraId="4F5B238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rámci tohoto ustanovení je určen základ daně z výrobků souvisejících s tabákovými výrobky. V případě e-cigaret je základem daně množství náplně vyjádřené v mililitrech, bez ohledu na to, zda tato náplň obsahuje nikotin, či nikoliv. V případě nikotinových sáčků a ostatních nikotinových výrobků je základem daně hmotnost výrobku v jednotkovém balení vyjádřená v gramech a zaokrouhlená na jedno desetinné místo.</w:t>
      </w:r>
    </w:p>
    <w:p w14:paraId="766F3C32" w14:textId="77777777" w:rsidR="00133AC8" w:rsidRPr="003730B5" w:rsidRDefault="00133AC8" w:rsidP="00133AC8">
      <w:pPr>
        <w:pStyle w:val="Dvodovzprva"/>
        <w:keepNext/>
        <w:widowControl w:val="0"/>
        <w:rPr>
          <w:rFonts w:ascii="Times New Roman" w:hAnsi="Times New Roman"/>
          <w:color w:val="auto"/>
          <w:sz w:val="24"/>
          <w:u w:val="single"/>
        </w:rPr>
      </w:pPr>
      <w:r w:rsidRPr="003730B5">
        <w:rPr>
          <w:rFonts w:ascii="Times New Roman" w:hAnsi="Times New Roman"/>
          <w:color w:val="auto"/>
          <w:sz w:val="24"/>
          <w:u w:val="single"/>
        </w:rPr>
        <w:t>§ 130u odst. 1</w:t>
      </w:r>
    </w:p>
    <w:p w14:paraId="24654CE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Stanovuje se sazba daně pro náplně do e-cigaret, nikotinových sáčků a ostatních nikotinových výrobků. </w:t>
      </w:r>
    </w:p>
    <w:p w14:paraId="5D44857F"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130u odst. 2</w:t>
      </w:r>
    </w:p>
    <w:p w14:paraId="28C246D5"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Stanovuje se způsob výpočtu daně z výrobků souvisejících s tabákovými výrobky, který je stanoven jako součin sazby daně a množství výrobku v příslušné měrné jednotce.</w:t>
      </w:r>
    </w:p>
    <w:p w14:paraId="40243039"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130v</w:t>
      </w:r>
    </w:p>
    <w:p w14:paraId="475AC23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Pro zajištění právní jistoty se v rámci tohoto ustanovení potvrzuje, že v případě dopravy výrobků souvisejících s tabákovými výrobky se přiměřeně použijí stávající ustanovení o dopravě vybraných výrobků stanovená v rámci zákona o spotřebních daních.</w:t>
      </w:r>
    </w:p>
    <w:p w14:paraId="7FD89036"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130w</w:t>
      </w:r>
    </w:p>
    <w:p w14:paraId="32217396"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Cílem ustanovení je zajistit, aby výrobky související s tabákovými výrobky, které jsou řádně značené a které byly uvedeny do volného daňového oběhu před nabytím účinnosti nové sazby spotřební daně, nebyly považovány po nabytí účinnosti nové sazby daně za výrobky značené nesprávným způsobem. Doprodej těchto tabákových výrobků lze uskutečňovat až do vyčerpání zásob.</w:t>
      </w:r>
    </w:p>
    <w:p w14:paraId="485C00A8" w14:textId="77777777" w:rsidR="00133AC8" w:rsidRPr="003730B5" w:rsidRDefault="00133AC8" w:rsidP="00133AC8">
      <w:pPr>
        <w:pStyle w:val="Dvodovzprva"/>
        <w:widowControl w:val="0"/>
        <w:rPr>
          <w:rFonts w:ascii="Times New Roman" w:hAnsi="Times New Roman"/>
          <w:color w:val="auto"/>
          <w:sz w:val="24"/>
          <w:u w:val="single"/>
        </w:rPr>
      </w:pPr>
      <w:r w:rsidRPr="003730B5">
        <w:rPr>
          <w:rFonts w:ascii="Times New Roman" w:hAnsi="Times New Roman"/>
          <w:color w:val="auto"/>
          <w:sz w:val="24"/>
          <w:u w:val="single"/>
        </w:rPr>
        <w:t>§ 130x</w:t>
      </w:r>
    </w:p>
    <w:p w14:paraId="0C920B9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 rámci tohoto ustanovení se upravuje doporučené množství těchto výrobků, které je považováno za přiměřené pro osobní spotřebu. Toto množství je stanoveno tak, aby přibližně odpovídalo množství tabákových výrobků (cigaret, tabáku ke kouření) pro osobní spotřebu uvedeného v zákoně o spotřebních daních. </w:t>
      </w:r>
    </w:p>
    <w:p w14:paraId="59D38289"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134b odst. 2 a § 134f písm. c))</w:t>
      </w:r>
    </w:p>
    <w:p w14:paraId="2243A414"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obou případech navrhovaná změna souvisí se zrušením institutu vracení spotřební daně osobám užívajícím tyto oleje v mineralogických postupech nebo metalurgických procesech. V důsledku této změny dochází i ke zrušení dvou odstavců v § 49 zákona o spotřebních daních. Jedná se o legislativně technickou změnu.</w:t>
      </w:r>
    </w:p>
    <w:p w14:paraId="17FA52BC"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135g odst. 1)</w:t>
      </w:r>
    </w:p>
    <w:p w14:paraId="7944A40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Navrhovaná změna souvisí se zrušením institutu vracení spotřební daně osobám užívajícím tyto oleje v mineralogických postupech nebo metalurgických procesech. V důsledku této změny dochází i ke zrušení dvou odstavců v § 49 zákona o spotřebních daních. Jedná se o legislativně technickou změnu.</w:t>
      </w:r>
    </w:p>
    <w:p w14:paraId="59548C8F" w14:textId="1AB2471C"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xml:space="preserve">(§ 135zi odst. 2 písm. </w:t>
      </w:r>
      <w:r w:rsidR="00A803B4" w:rsidRPr="003730B5">
        <w:rPr>
          <w:rFonts w:ascii="Times New Roman" w:hAnsi="Times New Roman"/>
          <w:color w:val="auto"/>
          <w:sz w:val="24"/>
          <w:szCs w:val="24"/>
        </w:rPr>
        <w:t xml:space="preserve">a) </w:t>
      </w:r>
      <w:r w:rsidRPr="003730B5">
        <w:rPr>
          <w:rFonts w:ascii="Times New Roman" w:hAnsi="Times New Roman"/>
          <w:color w:val="auto"/>
          <w:sz w:val="24"/>
          <w:szCs w:val="24"/>
        </w:rPr>
        <w:t>a odst. 3)</w:t>
      </w:r>
    </w:p>
    <w:p w14:paraId="1BA12DD5"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lastRenderedPageBreak/>
        <w:t>Jde o reakci na zdanění nových komodit spotřební daní. V rámci tohoto ustanovení se rozšiřuje věcná příslušnost k řízení o přestupcích o úsek správy daně z ostatních tabákových výrobků a výrobků souvisejících s tabákovými výrobky. Znamená to, že vedle správce daně jsou pro vybrané přestupky v oblasti správy daně z výrobků souvisejících s tabákovými výrobky příslušné k řízení i další orgány státní správy, např. Česká obchodní inspekce, Finanční správa, Státní zemědělská a potravinářská inspekce apod.</w:t>
      </w:r>
    </w:p>
    <w:p w14:paraId="1167FCBA" w14:textId="085788D0" w:rsidR="00133AC8" w:rsidRPr="003730B5" w:rsidRDefault="00133AC8" w:rsidP="00133AC8">
      <w:pPr>
        <w:keepNext/>
        <w:widowControl w:val="0"/>
        <w:spacing w:before="240" w:after="120"/>
        <w:outlineLvl w:val="2"/>
        <w:rPr>
          <w:b/>
        </w:rPr>
      </w:pPr>
      <w:r w:rsidRPr="003730B5">
        <w:rPr>
          <w:b/>
        </w:rPr>
        <w:t>K čl. </w:t>
      </w:r>
      <w:r w:rsidR="002C6370" w:rsidRPr="003730B5">
        <w:rPr>
          <w:b/>
        </w:rPr>
        <w:t>LII</w:t>
      </w:r>
      <w:r w:rsidRPr="003730B5">
        <w:rPr>
          <w:b/>
        </w:rPr>
        <w:t xml:space="preserve"> (Přechodná ustanovení)</w:t>
      </w:r>
    </w:p>
    <w:p w14:paraId="5D5735D3" w14:textId="77777777" w:rsidR="00133AC8" w:rsidRPr="003730B5" w:rsidRDefault="00133AC8" w:rsidP="00133AC8">
      <w:pPr>
        <w:pStyle w:val="Dvodovzprvakbodu"/>
        <w:widowControl w:val="0"/>
        <w:numPr>
          <w:ilvl w:val="0"/>
          <w:numId w:val="0"/>
        </w:numPr>
        <w:tabs>
          <w:tab w:val="left" w:pos="708"/>
        </w:tabs>
        <w:outlineLvl w:val="3"/>
        <w:rPr>
          <w:rFonts w:ascii="Times New Roman" w:hAnsi="Times New Roman"/>
          <w:b w:val="0"/>
          <w:color w:val="auto"/>
          <w:sz w:val="24"/>
          <w:u w:val="single"/>
        </w:rPr>
      </w:pPr>
      <w:r w:rsidRPr="003730B5">
        <w:rPr>
          <w:rFonts w:ascii="Times New Roman" w:hAnsi="Times New Roman"/>
          <w:b w:val="0"/>
          <w:color w:val="auto"/>
          <w:sz w:val="24"/>
          <w:u w:val="single"/>
        </w:rPr>
        <w:t>K bodu 1:</w:t>
      </w:r>
    </w:p>
    <w:p w14:paraId="75B8B9B7"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Jedná se o standardní přechodné ustanovení, kterým se potvrzuje, že pro daňové povinnosti u spotřební daně vzniklé za zdaňovací období přede dnem nabytí účinnosti tohoto zákona, jakož i pro práva a povinnosti s nimi související se použijí ta ustanovení zákona o spotřebních daních, která byla v daném okamžiku účinná.</w:t>
      </w:r>
    </w:p>
    <w:p w14:paraId="4AB9880F"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Navrhované přechodné období mimo jiné podchycuje i situace, kdy nárok na vrácení daně podle § 55 zákona o spotřebních daních vzniknul před nabytím účinnosti zákona, avšak subjekt jej uplatňuje až po nabytí účinnosti, tedy v době, kdy zákon již § 55 nebude obsahovat. </w:t>
      </w:r>
    </w:p>
    <w:p w14:paraId="4AA5748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tomto případě se na uplatnění nároku na vrácení daně vztahují ustanovení a lhůty upravené v § 55 odst. 9 a 10 zákona o spotřebních daních ve znění platném do dne nabytí účinnosti tohoto zákona.</w:t>
      </w:r>
    </w:p>
    <w:p w14:paraId="48751B8A"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b w:val="0"/>
          <w:color w:val="auto"/>
          <w:sz w:val="24"/>
          <w:u w:val="single"/>
        </w:rPr>
      </w:pPr>
      <w:r w:rsidRPr="003730B5">
        <w:rPr>
          <w:rFonts w:ascii="Times New Roman" w:hAnsi="Times New Roman"/>
          <w:b w:val="0"/>
          <w:color w:val="auto"/>
          <w:sz w:val="24"/>
          <w:u w:val="single"/>
        </w:rPr>
        <w:t>K bodu 2:</w:t>
      </w:r>
    </w:p>
    <w:p w14:paraId="4FAE609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Toto přechodné ustanovení má umožnit subjektům v souvislosti s nabytím účinnosti tohoto zákona dostatečný prostor pro navýšení zajištění daně z lihu a tabákových výrobků a zahřívaných tabákových výrobků pro daňový sklad a v případě spotřební daně z lihu i pro oprávněného příjemce pro opakované přijímání. Úprava je navržena v souvislosti jednak se zvýšením sazeb spotřebních daní u dotčených komodit v prvním kroku a v případě spotřební daně z lihu také v souvislosti s navrženým zvýšením zajištění daně poskytovaného podle § 77. </w:t>
      </w:r>
    </w:p>
    <w:p w14:paraId="6FBB4F9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Dále má toto ustanovení za cíl poskytnout subjektům dostatečný časový prostor pro případnou změnu způsobu poskytnutí zajištění daně.</w:t>
      </w:r>
    </w:p>
    <w:p w14:paraId="7FE89D61"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b w:val="0"/>
          <w:color w:val="auto"/>
          <w:sz w:val="24"/>
          <w:u w:val="single"/>
        </w:rPr>
      </w:pPr>
      <w:r w:rsidRPr="003730B5">
        <w:rPr>
          <w:rFonts w:ascii="Times New Roman" w:hAnsi="Times New Roman"/>
          <w:b w:val="0"/>
          <w:color w:val="auto"/>
          <w:sz w:val="24"/>
          <w:u w:val="single"/>
        </w:rPr>
        <w:t>K bodu 3:</w:t>
      </w:r>
    </w:p>
    <w:p w14:paraId="19EA907F"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Navrhované přechodné období se týká subjektů, kterým do doby nabytí účinnosti tohoto zákona vzniknul nárok na vrácení daně podle § 55 zákona o spotřebních daních, a které zároveň minerální oleje spotřebovávají pro jiné účely, než je výroba tepla nebo pohon motorů.</w:t>
      </w:r>
    </w:p>
    <w:p w14:paraId="56B60E29"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V těchto případech bude pro takto použité minerální oleje nově možné uplatnit nárok na osvobození od daně podle § 49 odst. 1 zákona o spotřebních daních. Podle § 53 odst. 1 zákona o spotřebních daních však tyto minerální oleje bude možné nabýt osvobozené od daně pouze na základě pravomocného povolení k přijímání a užívání vybraných výrobků osvobozených od daně (§ 13, resp. § 52a zákona o spotřebních daních). </w:t>
      </w:r>
    </w:p>
    <w:p w14:paraId="214A135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Podle §12 odst. 3 zákona o spotřebních daních musí uživatel nárok na vydání vybraného výrobku za ceny bez daně prokazovat předložením povolení k přijímání a užívání vybraných výrobků osvobozených od daně, a pokud nelze vybrané výrobky bez předmětného povolení nabýt osvobozené, má se za to, že nárok na osvobození nebyl uplatněn. Zároveň podle § 13 odst. 2 zákona o spotřebních daních platí, že vybrané výrobky osvobozené od daně lze přijímat pouze od dodavatele uvedeného v povolení k přijímání a užívání vybraných výrobků osvobozených od daně. </w:t>
      </w:r>
    </w:p>
    <w:p w14:paraId="31D3A46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Přechodné ustanovení tak řeší situace, kdy subjekt po nabytí účinnosti zákona nebude </w:t>
      </w:r>
      <w:r w:rsidRPr="003730B5">
        <w:rPr>
          <w:rFonts w:ascii="Times New Roman" w:hAnsi="Times New Roman"/>
          <w:color w:val="auto"/>
          <w:sz w:val="24"/>
        </w:rPr>
        <w:lastRenderedPageBreak/>
        <w:t>disponovat pravomocným povolením k přijímání a užívání vybraných výrobků osvobozených od daně, avšak již bude nutné (například z technických důvodů), aby nabyl předmětné minerální oleje osvobozené od daně.</w:t>
      </w:r>
    </w:p>
    <w:p w14:paraId="1F57C49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Tomuto subjektu umožněno, aby do 15 dnů ode dne nabytí účinnosti zákona podal návrh na vydání povolení (podle § 43b zákona o spotřebních daních), přičemž lhůty pro vydání rozhodnutí o tomto návrhu jsou uvedeny v § 43i zákona o spotřebních daních. Do doby vydání pravomocného rozhodnutí bude na tento subjekt pohlíženo jako na „dočasného“ uživatele s povolením, a to na základě toho, že podle tohoto přechodného ustanovení se na takový návrh hledí jako na příslušné povolení. </w:t>
      </w:r>
    </w:p>
    <w:p w14:paraId="051C8F6C"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Tento uživatel bude vůči dodavateli vystupovat na základě této žádosti, ve které je údaj o dodavateli zanesen (bude se na něj hledět jako na uživatele). Dodavatel zároveň bude moci po „dočasném“ uživateli vyžadovat důkaz o tom, že předmětný návrh na vydání povolení byl skutečně podán ve stanovené lhůtě.</w:t>
      </w:r>
    </w:p>
    <w:p w14:paraId="33B6E42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Pokud návrhu na vydání povolení nebude správcem daně vyhověno, stane se z (dočasného) uživatele plátce daně, který přizná a zaplatí daň za všechny minerální oleje, které mu budou ode dne nabytí účinnosti zákona vydány osvobozené od daně.</w:t>
      </w:r>
    </w:p>
    <w:p w14:paraId="0A5C3FD5"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b w:val="0"/>
          <w:color w:val="auto"/>
          <w:sz w:val="24"/>
          <w:u w:val="single"/>
        </w:rPr>
      </w:pPr>
      <w:r w:rsidRPr="003730B5">
        <w:rPr>
          <w:rFonts w:ascii="Times New Roman" w:hAnsi="Times New Roman"/>
          <w:b w:val="0"/>
          <w:color w:val="auto"/>
          <w:sz w:val="24"/>
          <w:u w:val="single"/>
        </w:rPr>
        <w:t>K bodu 4:</w:t>
      </w:r>
    </w:p>
    <w:p w14:paraId="10098BA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Navrhované přechodné období navazuje na předchozí a řeší situace, kdy bude návrh na vydání povolení k přijímání a užívání vybraných výrobků osvobozených od daně subjektu („dočasnému“ uživateli) správcem daně zamítnut. V takovém případě se ze žadatele stane plátce spotřební daně. Tato osoba zdaní všechny minerální oleje, které od doby nabytí účinnosti zákona do dne právní moci zamítavého rozhodnutí nabyl osvobozené od daně (tedy podle § 49 odst. 1 ve znění účinném ode dne nabytí účinnosti zákona). Lhůta pro podání daňového tvrzení i splatnost této daně činí 15 dnů ode dne nabytí právní moci zamítavého rozhodnutí.</w:t>
      </w:r>
    </w:p>
    <w:p w14:paraId="59400F4A"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bodům 5 až 8:</w:t>
      </w:r>
    </w:p>
    <w:p w14:paraId="0997608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Přechodné ustanovení zajišťuje, aby se na líh, u kterého vznikla povinnost daň přiznat a zaplatit před účinností nové sazby, uplatnila sazba daně přináležející okamžiku vzniku této povinnosti.</w:t>
      </w:r>
    </w:p>
    <w:p w14:paraId="0F5DE771"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bodům 9 až 12:</w:t>
      </w:r>
    </w:p>
    <w:p w14:paraId="2084A4D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Toto přechodné ustanovení zajišťuje, že na tabákové výrobky a zahřívané tabákové výrobky, u kterých vznikla povinnost daň přiznat a zaplatit před účinností nové sazby, se uplatní sazba daně přináležející okamžiku vzniku této povinnosti.</w:t>
      </w:r>
    </w:p>
    <w:p w14:paraId="1BB43D7F"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13:</w:t>
      </w:r>
    </w:p>
    <w:p w14:paraId="6CA7FAD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Toto přechodné období stanovuje, že objednávku tabákových nálepek odpovídající staré sazbě daně bezprostředně předcházející nové sazbě daně lze uskutečnit nejpozději čtyři týdny před nabytím účinnosti nové sazby daně. Zkracuje se tak minimální délka lhůty, do kdy musí odběratel tabákové nálepky objednat tabákovou nálepku odpovídající staré sazbě daně, a to ze šesti na čtyři týdny. Zkracuje se rovněž minimální délka lhůty, od kdy musí tyto subjekty objednat tabákovou nálepku odpovídající nové sazbě daně před jejím prvním odběrem a to opět ze šesti na čtyři týdny.</w:t>
      </w:r>
    </w:p>
    <w:p w14:paraId="034FE64D"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bodům 14 až 17:</w:t>
      </w:r>
    </w:p>
    <w:p w14:paraId="2B42CEB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Toto ustanovení umožňuje, aby se v případě doprav zahájených před datem účinnosti nových sazeb, na které bylo poskytnuto zajištění daně podle dosavadní právní úpravy, pohlíželo jako na zajištění daně poskytnuté v souladu s nově zavedenou úpravou.</w:t>
      </w:r>
    </w:p>
    <w:p w14:paraId="3D0246C3"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18:</w:t>
      </w:r>
    </w:p>
    <w:p w14:paraId="1B617B5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Přechodné ustanovení zajišťuje, aby se na tabák do vodních dýmek, který byl uveden do volného daňového oběhu přede dnem nabytí účinnosti tohoto zákona i nadále (tj. i po nabytí účinnosti zákona), pohlíželo jako na tabák ke kouření.</w:t>
      </w:r>
    </w:p>
    <w:p w14:paraId="05C64E12"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19:</w:t>
      </w:r>
    </w:p>
    <w:p w14:paraId="23ADAD4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Ustanovením se zajišťuje, že tabák do vodních dýmek, který byl řádně značený tabákovou nálepkou před nabytím účinnosti tohoto zákona, bude i po jeho nabytí účinnosti považován za řádně značený výrobek.</w:t>
      </w:r>
    </w:p>
    <w:p w14:paraId="58DC709A"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20:</w:t>
      </w:r>
    </w:p>
    <w:p w14:paraId="1BD8A38E"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Zavádí se omezení doby doprodeje zahřívaných tabákových výrobků s tabákovou nálepkou odpovídající sazbě daně bezprostředně předcházející nové sazbě daně. Tyto výrobky lze prodávat a skladovat pouze do uplynutí posledního dne pátého kalendářního měsíce, který následuje po měsíci, ve kterém nabyla účinnosti sazba spotřební daně stanovená pro daný rok. </w:t>
      </w:r>
    </w:p>
    <w:p w14:paraId="61074FB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Toto přechodné ustanovení reaguje na první zvýšení sazeb zahřívaných tabákových výrobků.</w:t>
      </w:r>
    </w:p>
    <w:p w14:paraId="708AAE45"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21:</w:t>
      </w:r>
    </w:p>
    <w:p w14:paraId="134C7824"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Zavádí se omezení doby doprodeje zahřívaných tabákových výrobků s tabákovou nálepkou odpovídající sazbě daně bezprostředně předcházející nové sazbě daně. Tyto výrobky lze prodávat a skladovat pouze do uplynutí posledního dne pátého kalendářního měsíce, který následuje po měsíci, ve kterém nabyla účinnosti sazba spotřební daně stanovená pro daný rok. </w:t>
      </w:r>
    </w:p>
    <w:p w14:paraId="77A9C64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Toto přechodné ustanovení reaguje na druhé zvýšení sazeb zahřívaných tabákových výrobků.</w:t>
      </w:r>
    </w:p>
    <w:p w14:paraId="4728A3C1"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22:</w:t>
      </w:r>
    </w:p>
    <w:p w14:paraId="7D1EF6A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Zavádí se omezení doby doprodeje zahřívaných tabákových výrobků s tabákovou nálepkou odpovídající sazbě daně bezprostředně předcházející nové sazbě daně. Tyto výrobky lze prodávat a skladovat pouze do uplynutí posledního dne pátého kalendářního měsíce, který následuje po měsíci, ve kterém nabyla účinnosti sazba spotřební daně stanovená pro daný rok. </w:t>
      </w:r>
    </w:p>
    <w:p w14:paraId="27E9792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Toto přechodné ustanovení reaguje na třetí zvýšení sazeb zahřívaných tabákových výrobků.</w:t>
      </w:r>
    </w:p>
    <w:p w14:paraId="42DA8DC9"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23:</w:t>
      </w:r>
    </w:p>
    <w:p w14:paraId="557E3B13"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Zavádí se omezení doby doprodeje zahřívaných tabákových výrobků s tabákovou nálepkou odpovídající sazbě daně bezprostředně předcházející nové sazbě daně. Tyto výrobky lze prodávat a skladovat pouze do uplynutí posledního dne pátého kalendářního měsíce, který následuje po měsíci, ve kterém nabyla účinnosti sazba spotřební daně stanovená pro daný rok. </w:t>
      </w:r>
    </w:p>
    <w:p w14:paraId="66AD26A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Toto přechodné ustanovení reaguje na čtvrté zvýšení sazeb zahřívaných tabákových výrobků.</w:t>
      </w:r>
    </w:p>
    <w:p w14:paraId="1BB1FF2A"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24:</w:t>
      </w:r>
    </w:p>
    <w:p w14:paraId="16969DD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Stanovuje se, že po uplynutí období, kdy je možné zahřívané tabákové výrobky s tabákovou nálepkou odpovídající sazbě daně bezprostředně předcházející nové sazbě daně prodávat a skladovat, se tyto výrobky stávají tabákovými výrobky značenými nesprávným způsobem.</w:t>
      </w:r>
    </w:p>
    <w:p w14:paraId="2B3201B2"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25:</w:t>
      </w:r>
    </w:p>
    <w:p w14:paraId="3877D32B" w14:textId="7E4E464F"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Specifikuje se postup pro skladování a likvidaci zahřívaných tabákových výrobků, jakožto i uplatnění následného nároku na vrácení hodnoty tabákových nálepek v případě změny sazby daně. Postup je navržen obdobně, jako je tomu v § 122a </w:t>
      </w:r>
      <w:r w:rsidR="00717BC7" w:rsidRPr="003730B5">
        <w:rPr>
          <w:rFonts w:ascii="Times New Roman" w:hAnsi="Times New Roman"/>
          <w:color w:val="auto"/>
          <w:sz w:val="24"/>
        </w:rPr>
        <w:t>zákona o spotřebních daních</w:t>
      </w:r>
      <w:r w:rsidR="00717BC7" w:rsidRPr="003730B5" w:rsidDel="00717BC7">
        <w:rPr>
          <w:rFonts w:ascii="Times New Roman" w:hAnsi="Times New Roman"/>
          <w:color w:val="auto"/>
          <w:sz w:val="24"/>
        </w:rPr>
        <w:t xml:space="preserve"> </w:t>
      </w:r>
      <w:r w:rsidRPr="003730B5">
        <w:rPr>
          <w:rFonts w:ascii="Times New Roman" w:hAnsi="Times New Roman"/>
          <w:color w:val="auto"/>
          <w:sz w:val="24"/>
        </w:rPr>
        <w:t xml:space="preserve">pro cigarety s tím, že lhůty podle příslušných ustanovení jsou namísto nabytí účinnosti nové sazby daně navázány na den, po jehož uplynutí nelze skladovat ani prodávat jednotkové balení zahřívaných tabákových výrobků s tabákovou nálepkou odpovídající staré sazbě daně. Postup </w:t>
      </w:r>
      <w:r w:rsidRPr="003730B5">
        <w:rPr>
          <w:rFonts w:ascii="Times New Roman" w:hAnsi="Times New Roman"/>
          <w:color w:val="auto"/>
          <w:sz w:val="24"/>
        </w:rPr>
        <w:lastRenderedPageBreak/>
        <w:t xml:space="preserve">bude aplikován v každém roce, ve kterém dojde ke zvýšení sazeb spotřební daně. </w:t>
      </w:r>
    </w:p>
    <w:p w14:paraId="67ECF9B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Toto přechodné ustanovení reaguje na první zvýšení sazeb zahřívaných tabákových výrobků.</w:t>
      </w:r>
    </w:p>
    <w:p w14:paraId="09353E00"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26:</w:t>
      </w:r>
    </w:p>
    <w:p w14:paraId="5A9828EA"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Specifikuje se postup pro skladování a likvidaci zahřívaných tabákových výrobků, jakožto i uplatnění následného nároku na vrácení hodnoty tabákových nálepek v případě změny sazby daně. Postup je navržen obdobně, jako je tomu v § 122a zákona o spotřebních daních pro cigarety s tím, že lhůty podle příslušných ustanovení jsou namísto nabytí účinnosti nové sazby daně navázány na den, po jehož uplynutí nelze skladovat ani prodávat jednotkové balení zahřívaných tabákových výrobků s tabákovou nálepkou odpovídající staré sazbě daně. Postup bude aplikován v každém roce, ve kterém dojde ke zvýšení sazeb spotřební daně. </w:t>
      </w:r>
    </w:p>
    <w:p w14:paraId="1A668B9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Toto přechodné ustanovení reaguje na druhé zvýšení sazeb zahřívaných tabákových výrobků.</w:t>
      </w:r>
    </w:p>
    <w:p w14:paraId="6B0555D3"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27:</w:t>
      </w:r>
    </w:p>
    <w:p w14:paraId="46BA6E2C"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Specifikuje se postup pro skladování a likvidaci zahřívaných tabákových výrobků, jakožto i uplatnění následného nároku na vrácení hodnoty tabákových nálepek v případě změny sazby daně. Postup je navržen obdobně, jako je tomu v § 122a zákona o spotřebních daních pro cigarety s tím, že lhůty podle příslušných ustanovení jsou namísto nabytí účinnosti nové sazby daně navázány na den, po jehož uplynutí nelze skladovat ani prodávat jednotkové balení zahřívaných tabákových výrobků s tabákovou nálepkou odpovídající staré sazbě daně. Postup bude aplikován v každém roce, ve kterém dojde ke zvýšení sazeb spotřební daně. </w:t>
      </w:r>
    </w:p>
    <w:p w14:paraId="792164D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Toto přechodné ustanovení reaguje na třetí zvýšení sazeb zahřívaných tabákových výrobků.</w:t>
      </w:r>
    </w:p>
    <w:p w14:paraId="1125E080"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28:</w:t>
      </w:r>
    </w:p>
    <w:p w14:paraId="75224D1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 xml:space="preserve">Specifikuje se postup pro skladování a likvidaci zahřívaných tabákových výrobků, jakožto i uplatnění následného nároku na vrácení hodnoty tabákových nálepek v případě změny sazby daně. Postup je navržen obdobně, jako je tomu v § 122a zákona o spotřebních daních pro cigarety s tím, že lhůty podle příslušných ustanovení jsou namísto nabytí účinnosti nové sazby daně navázány na den, po jehož uplynutí nelze skladovat ani prodávat jednotkové balení zahřívaných tabákových výrobků s tabákovou nálepkou odpovídající staré sazbě daně. Postup bude aplikován v každém roce, ve kterém dojde ke zvýšení sazeb spotřební daně. </w:t>
      </w:r>
    </w:p>
    <w:p w14:paraId="3FF3525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Toto přechodné ustanovení reaguje na čtvrté zvýšení sazeb zahřívaných tabákových výrobků.</w:t>
      </w:r>
    </w:p>
    <w:p w14:paraId="74AB2421"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29:</w:t>
      </w:r>
    </w:p>
    <w:p w14:paraId="6495F33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Stanovuje se, že ostatní tabákové výrobky a výrobky související s tabákovými výrobky, které byly na daňovém území České republiky vyrobeny, dopraveny nebo dovezeny ze třetí země přede dnem nabytí účinnosti tohoto zákona se považují za zdaněné a uvedené do volného daňového oběhu.</w:t>
      </w:r>
    </w:p>
    <w:p w14:paraId="67A11857"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30:</w:t>
      </w:r>
    </w:p>
    <w:p w14:paraId="2A2FAFC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Tímto přechodným ustanovením je umožněno na trh ještě tři měsíce po nabytí účinnosti tohoto zákona uvádět neznačené ostatní tabákové výrobky a výrobky související s tabákovými výrobky. Dotčeným subjektům se poskytuje časový prostor pro přizpůsobení se novým podmínkám nakládání s těmito výrobky, např. pro zajištění objednávky a odběru daňového značení (nálepek) těchto výrobků apod.</w:t>
      </w:r>
    </w:p>
    <w:p w14:paraId="0276330B"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31:</w:t>
      </w:r>
    </w:p>
    <w:p w14:paraId="0B90DBC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Ustanovením se omezuje doba, po kterou mohou být neznačené ostatní tabákové výrobky a výrobky související s tabákovými výrobky přítomny na daňovém území České republiky, a to </w:t>
      </w:r>
      <w:r w:rsidRPr="003730B5">
        <w:rPr>
          <w:rFonts w:ascii="Times New Roman" w:hAnsi="Times New Roman"/>
          <w:color w:val="auto"/>
          <w:sz w:val="24"/>
        </w:rPr>
        <w:lastRenderedPageBreak/>
        <w:t>v délce 6 měsíců ode dne nabytí účinnosti tohoto zákona. V průběhu této doby by měly být tyto výrobky doprodány nebo staženy z trhu.</w:t>
      </w:r>
    </w:p>
    <w:p w14:paraId="4F4B3BC7"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32:</w:t>
      </w:r>
    </w:p>
    <w:p w14:paraId="144128C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Zavádí právní fikce pro subjekty, které na daňovém území České republiky vyrobily, dopravily nebo dovezly ze třetí země ostatní tabákové výrobky nebo výrobky související s tabákovými výrobky přede nabytí účinnosti tohoto zákona. Považují se za oprávněné subjekty dle zákona o spotřebních daních, tedy za držitele povolení k provozování daňového skladu, opakovanému přijímání těchto výrobků nebo, a to po dobu 3 měsíců ode dne nabytí účinnosti tohoto zákona.</w:t>
      </w:r>
    </w:p>
    <w:p w14:paraId="22C5857A"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rPr>
      </w:pPr>
      <w:r w:rsidRPr="003730B5">
        <w:rPr>
          <w:rFonts w:ascii="Times New Roman" w:hAnsi="Times New Roman"/>
          <w:b w:val="0"/>
          <w:color w:val="auto"/>
          <w:sz w:val="24"/>
          <w:u w:val="single"/>
        </w:rPr>
        <w:t>K bodu 33:</w:t>
      </w:r>
    </w:p>
    <w:p w14:paraId="0E9E5B7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Tímto ustanovením se dotčeným subjektům ukládá povinnost podat návrh na povolení k provozování daňového skladu nebo povolení pro opakované přijímání ostatních tabákových výrobků nebo výrobků souvisejících s tabákovými výrobky, případně podat žádost o změnu příslušných povolení, a to do tří měsíců ode dne nabytí účinnosti tohoto zákona.</w:t>
      </w:r>
    </w:p>
    <w:p w14:paraId="6C28666E"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třicáté první – Změna zákona o nakládání se surovými diamanty, o podmínkách jejich dovozu, vývozu a tranzitu</w:t>
      </w:r>
    </w:p>
    <w:p w14:paraId="64EE879D" w14:textId="37F333E7" w:rsidR="00133AC8" w:rsidRPr="003730B5" w:rsidRDefault="00133AC8" w:rsidP="00133AC8">
      <w:pPr>
        <w:widowControl w:val="0"/>
        <w:spacing w:after="120"/>
        <w:outlineLvl w:val="2"/>
        <w:rPr>
          <w:b/>
        </w:rPr>
      </w:pPr>
      <w:r w:rsidRPr="003730B5">
        <w:rPr>
          <w:b/>
        </w:rPr>
        <w:t>K čl. </w:t>
      </w:r>
      <w:r w:rsidR="002C6370" w:rsidRPr="003730B5">
        <w:rPr>
          <w:b/>
        </w:rPr>
        <w:t>LIII</w:t>
      </w:r>
      <w:r w:rsidRPr="003730B5">
        <w:rPr>
          <w:szCs w:val="24"/>
        </w:rPr>
        <w:t> </w:t>
      </w:r>
      <w:r w:rsidRPr="003730B5">
        <w:rPr>
          <w:b/>
          <w:szCs w:val="24"/>
        </w:rPr>
        <w:t>(§ 2 písm. f))</w:t>
      </w:r>
    </w:p>
    <w:p w14:paraId="2DD5836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nové vymezení celních úřadů dochází ke změně názvu celního úřadu vykonávajícího vymezenou věcnou působnost.</w:t>
      </w:r>
    </w:p>
    <w:p w14:paraId="731ED970"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třicáté druhé – Změna zákona o zabezpečení prezidenta republiky po skončení funkce</w:t>
      </w:r>
    </w:p>
    <w:p w14:paraId="0188816C" w14:textId="2F193D80" w:rsidR="00133AC8" w:rsidRPr="003730B5" w:rsidRDefault="00133AC8" w:rsidP="00133AC8">
      <w:pPr>
        <w:widowControl w:val="0"/>
        <w:spacing w:after="120"/>
        <w:outlineLvl w:val="2"/>
        <w:rPr>
          <w:b/>
        </w:rPr>
      </w:pPr>
      <w:r w:rsidRPr="003730B5">
        <w:rPr>
          <w:b/>
        </w:rPr>
        <w:t>K čl. </w:t>
      </w:r>
      <w:r w:rsidR="002C6370" w:rsidRPr="003730B5">
        <w:rPr>
          <w:b/>
        </w:rPr>
        <w:t>LIV</w:t>
      </w:r>
      <w:r w:rsidRPr="003730B5">
        <w:rPr>
          <w:b/>
        </w:rPr>
        <w:t xml:space="preserve"> (§ 1 a 2)</w:t>
      </w:r>
    </w:p>
    <w:p w14:paraId="6CD9B6B7" w14:textId="0ED929DC"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Prezident republiky má po skončení funkce nárok na měsíční rentu a na víceúčelovou paušální náhradu, která kryje zejména nájemné spojené s užíváním přiměřeně vybavené kanceláře a odměnu asistenta. Výše renty a náhrady byla v roce 2004 stanovena pevnou částkou 50 000 Kč bez úpravy automatické valorizace podle ekonomického vývoje. Navrhuje se proto, aby výše renty i náhrady byla navázána na výši platu poslance určeného podle § 8 věty první zákona č. 236/1995 Sb.</w:t>
      </w:r>
      <w:r w:rsidR="00E368F5" w:rsidRPr="003730B5">
        <w:rPr>
          <w:rFonts w:ascii="Times New Roman" w:hAnsi="Times New Roman"/>
          <w:color w:val="auto"/>
          <w:sz w:val="24"/>
        </w:rPr>
        <w:t xml:space="preserve"> </w:t>
      </w:r>
      <w:r w:rsidRPr="003730B5">
        <w:rPr>
          <w:rFonts w:ascii="Times New Roman" w:hAnsi="Times New Roman"/>
          <w:color w:val="auto"/>
          <w:sz w:val="24"/>
        </w:rPr>
        <w:t>(podle tohoto ustanovení poslanci náleží plat určený z platové základny platovým koeficientem ve výši 1,08). Uvedená změna zajistí průběžnou valorizaci uvedené renty a náhrady analogicky k valorizaci platu poslance, přičemž souvisí s opatřením v podobě zrušení zvláštního daňového režimu pro plat prezidenta republiky, které je navrhováno v rámci novely zákona o daních z příjmů.</w:t>
      </w:r>
    </w:p>
    <w:p w14:paraId="77438A4E"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třicáté třetí – Změna zákona o dani z přidané hodnoty</w:t>
      </w:r>
    </w:p>
    <w:p w14:paraId="751DD96E" w14:textId="49C48DC9" w:rsidR="00133AC8" w:rsidRPr="003730B5" w:rsidRDefault="00133AC8" w:rsidP="00133AC8">
      <w:pPr>
        <w:widowControl w:val="0"/>
        <w:spacing w:after="120"/>
        <w:outlineLvl w:val="2"/>
        <w:rPr>
          <w:b/>
        </w:rPr>
      </w:pPr>
      <w:r w:rsidRPr="003730B5">
        <w:rPr>
          <w:b/>
        </w:rPr>
        <w:t>K čl. </w:t>
      </w:r>
      <w:r w:rsidR="002C6370" w:rsidRPr="003730B5">
        <w:rPr>
          <w:b/>
        </w:rPr>
        <w:t>LV</w:t>
      </w:r>
    </w:p>
    <w:p w14:paraId="152B3DFC" w14:textId="79B45E9F" w:rsidR="00133AC8" w:rsidRPr="003730B5" w:rsidRDefault="00133AC8" w:rsidP="00133AC8">
      <w:pPr>
        <w:pStyle w:val="Dvodovzprvakbodu"/>
        <w:keepNext w:val="0"/>
        <w:widowControl w:val="0"/>
        <w:numPr>
          <w:ilvl w:val="0"/>
          <w:numId w:val="86"/>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w:t>
      </w:r>
      <w:r w:rsidR="00A803B4" w:rsidRPr="003730B5">
        <w:rPr>
          <w:rFonts w:ascii="Times New Roman" w:hAnsi="Times New Roman"/>
          <w:color w:val="auto"/>
          <w:sz w:val="24"/>
          <w:szCs w:val="24"/>
        </w:rPr>
        <w:t>(poznámka pod čarou č. 1)</w:t>
      </w:r>
    </w:p>
    <w:p w14:paraId="36F5AB1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souladu s požadavky na transponování unijních předpisů je do poznámky pod čarou č. 1 doplněna směrnice Rady (EU) 2022/542 ze dne 5. dubna 2022, kterou se mění směrnice 2006/112/ES a (EU) 2020/285, pokud jde o sazby daně z přidané hodnoty, která je tímto zákonem částečně transponována.</w:t>
      </w:r>
    </w:p>
    <w:p w14:paraId="09B244B7" w14:textId="77777777" w:rsidR="00133AC8" w:rsidRPr="003730B5" w:rsidRDefault="00133AC8" w:rsidP="00133AC8">
      <w:pPr>
        <w:pStyle w:val="Dvodovzprvakbodu"/>
        <w:keepNext w:val="0"/>
        <w:widowControl w:val="0"/>
        <w:numPr>
          <w:ilvl w:val="0"/>
          <w:numId w:val="86"/>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37 písm. b) bod 2)</w:t>
      </w:r>
    </w:p>
    <w:p w14:paraId="1702D76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Navrhovaná úprava souvisí se zrušením první snížené sazby daně ve výši 15 % a druhé snížené sazby daně ve výši 10 %, a zavedením jedné snížené sazby daně z přidané hodnoty ve výši </w:t>
      </w:r>
      <w:r w:rsidRPr="003730B5">
        <w:rPr>
          <w:rFonts w:ascii="Times New Roman" w:hAnsi="Times New Roman"/>
          <w:color w:val="auto"/>
          <w:sz w:val="24"/>
        </w:rPr>
        <w:lastRenderedPageBreak/>
        <w:t>12 %.</w:t>
      </w:r>
    </w:p>
    <w:p w14:paraId="630E69BA"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47 odst. 1 písm. a))</w:t>
      </w:r>
    </w:p>
    <w:p w14:paraId="3AFAE03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Jedná se o legislativně technickou změnu související s vypuštěním písmene c).</w:t>
      </w:r>
    </w:p>
    <w:p w14:paraId="457830B6"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47 odst. 1 písm. b))</w:t>
      </w:r>
    </w:p>
    <w:p w14:paraId="2EF19FB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úprava souvisí se zrušením první snížené sazby daně ve výši 15 % a zavedením jedné snížené sazby daně z přidané hodnoty ve výši 12 %.</w:t>
      </w:r>
    </w:p>
    <w:p w14:paraId="06882085"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47 odst. 1 písm. c))</w:t>
      </w:r>
    </w:p>
    <w:p w14:paraId="2F54524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úprava souvisí se zrušením druhé snížené sazby daně ve výši 10 %.</w:t>
      </w:r>
    </w:p>
    <w:p w14:paraId="50E53DF7"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47 odst. 3)</w:t>
      </w:r>
    </w:p>
    <w:p w14:paraId="0587143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důsledku zavedení jedné snížené sazby daně z přidané hodnoty dochází ke zrušení přílohy č. 3a, ve které byl vymezen seznam zboží podléhajícího druhé snížené sazbě daně. U tepla a chladu se uplatní snížená sazba daně ve výši 12 %. Tato sazba se též uplatní u zboží uvedeného v příloze č. 3.</w:t>
      </w:r>
    </w:p>
    <w:p w14:paraId="2A1F092D"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47 odst. 4)</w:t>
      </w:r>
    </w:p>
    <w:p w14:paraId="03AFC79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důsledku zavedení jedné snížené sazby daně z přidané hodnoty ve výši 12 % dochází ke zrušení přílohy č. 2a, ve které byl vymezen seznam služeb podléhajících druhé snížené sazbě daně. Služby podléhající snížené sazbě daně se vymezují v příloze č. 2.</w:t>
      </w:r>
    </w:p>
    <w:p w14:paraId="0989715C"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47 odst. 5)</w:t>
      </w:r>
    </w:p>
    <w:p w14:paraId="78CE870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Jedná se o legislativně technickou změnu související se zavedením jedné snížené sazby daně ve výši 12 % a zrušením první snížené sazby daně ve výši 15 %.</w:t>
      </w:r>
    </w:p>
    <w:p w14:paraId="261FD325"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47 odst. 6)</w:t>
      </w:r>
    </w:p>
    <w:p w14:paraId="2DF3E89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U elektronicky poskytovaných služeb spočívajících v poskytnutí zboží, při jehož dodání by se uplatnila snížená sazba daně, se navrhuje též uplatňovat sníženou sazbu daně. Stejný princip, upravený v § 71i by se též uplatnil i v případě, pokud by se jednalo o zboží, které je osvobozené od daně s nárokem na odpočet daně. Pokud by jednalo o zboží, u jehož dodání se uplatní základní sazba daně, pak by se u elektronicky poskytovaných služeb spočívajících v poskytnutí takového zboží též uplatnila základní sazba daně na základě obecného principu, že to, co je předmětem daně a nepodléhá snížené sazbě daně nebo osvobození od daně, je zatíženo základní sazbou daně.</w:t>
      </w:r>
    </w:p>
    <w:p w14:paraId="012FB564"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47 odst. 7)</w:t>
      </w:r>
    </w:p>
    <w:p w14:paraId="1E4E757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úprava souvisí se zrušením první snížené sazby daně ve výši 15 % a druhé snížené sazby daně ve výši 10%, a zavedením jedné snížené sazby daně z přidané hodnoty ve výši 12%.</w:t>
      </w:r>
    </w:p>
    <w:p w14:paraId="42FC987E"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47 odst. 8)</w:t>
      </w:r>
    </w:p>
    <w:p w14:paraId="6F72E55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U dovozu uměleckých děl, sběratelských předmětů a starožitností uvedených v příloze č. 4 se navrhuje uplatňovat základní sazba daně.</w:t>
      </w:r>
    </w:p>
    <w:p w14:paraId="25D50862"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47 nový odst. 8)</w:t>
      </w:r>
    </w:p>
    <w:p w14:paraId="78AF600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úprava souvisí se zrušením první snížené sazby daně ve výši 15 % a druhé snížené sazby daně ve výši 10 %, a zavedením jedné snížené sazby daně z přidané hodnoty ve výši 12 %.</w:t>
      </w:r>
    </w:p>
    <w:p w14:paraId="7B04EBB9"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47a)</w:t>
      </w:r>
    </w:p>
    <w:p w14:paraId="06D4151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Navrhovaná úprava souvisí se zrušením první snížené sazby daně ve výši 15 % a druhé snížené </w:t>
      </w:r>
      <w:r w:rsidRPr="003730B5">
        <w:rPr>
          <w:rFonts w:ascii="Times New Roman" w:hAnsi="Times New Roman"/>
          <w:color w:val="auto"/>
          <w:sz w:val="24"/>
        </w:rPr>
        <w:lastRenderedPageBreak/>
        <w:t>sazby daně ve výši 10 %, a zavedením jedné snížené sazby daně z přidané hodnoty ve výši 12 %.</w:t>
      </w:r>
    </w:p>
    <w:p w14:paraId="113ACB96"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(nadpis § 48)</w:t>
      </w:r>
    </w:p>
    <w:p w14:paraId="17A0E90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Nadpis ustanovení se mění s ohledem na změnu terminologie, kdy se pojem „sociální bydlení“ mění na „dostupné bydlení“.</w:t>
      </w:r>
    </w:p>
    <w:p w14:paraId="13175E9F"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48 odst. 1)</w:t>
      </w:r>
    </w:p>
    <w:p w14:paraId="0295C76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úprava souvisí se zrušením první snížené sazby daně ve výši 15 % a zavedením jedné snížené sazby daně z přidané hodnoty ve výši 12 %. Do textu se též promítá legislativně technická změna související se změnou pojmosloví, kdy se pojem „sociální bydlení“ nahrazuje pojmem „dostupné bydlení“.</w:t>
      </w:r>
    </w:p>
    <w:p w14:paraId="470F01B2"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48 odst. 5 úvodní část ustanovení)</w:t>
      </w:r>
    </w:p>
    <w:p w14:paraId="25C0F69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 textu ustanovení se promítá legislativně technická změna související se změnou pojmosloví, kdy se pojem „sociální bydlení“ nahrazuje pojmem „dostupné bydlení“.</w:t>
      </w:r>
    </w:p>
    <w:p w14:paraId="76C1B38F" w14:textId="77777777" w:rsidR="00133AC8" w:rsidRPr="003730B5" w:rsidRDefault="00133AC8" w:rsidP="00133AC8">
      <w:pPr>
        <w:pStyle w:val="Dvodovzprvakbodu"/>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48 odst. 5 písm. c) a odst. 6)</w:t>
      </w:r>
    </w:p>
    <w:p w14:paraId="00125C9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 textu ustanovení se promítá legislativně technická změna související se změnou pojmosloví, kdy se pojem „sociální bydlení“ nahrazuje pojmem „dostupné bydlení“.</w:t>
      </w:r>
    </w:p>
    <w:p w14:paraId="5B765555"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(nadpis § 49)</w:t>
      </w:r>
    </w:p>
    <w:p w14:paraId="65B4873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Nadpis ustanovení se mění s ohledem na změnu terminologie, kdy se název „sociální bydlení“ mění na „dostupné bydlení“.</w:t>
      </w:r>
    </w:p>
    <w:p w14:paraId="59B4B261"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49)</w:t>
      </w:r>
    </w:p>
    <w:p w14:paraId="042C2C2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Navrhovaná úprava souvisí se zrušením první snížené sazby daně ve výši 15 % a zavedením jedné snížené sazby daně z přidané hodnoty ve výši 12 %. Do textu se též promítá legislativně technická změna související se změnou pojmosloví, kdy se pojem „sociální bydlení“ nahrazuje pojmem „dostupné bydlení“.  </w:t>
      </w:r>
    </w:p>
    <w:p w14:paraId="2DA77445"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51 odst. 2)</w:t>
      </w:r>
    </w:p>
    <w:p w14:paraId="0C243E3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 tohoto odstavce se za třetí větu vkládá nová věta, která stanoví, že pokud v případě plnění vymezených v § 51 vznikla povinnost přiznat daň z úplaty přijaté před uskutečněním těchto plnění, postupuje se při jejich uskutečnění obdobně podle § 37a s tím rozdílem, že postupem pro určení sazby daně se určí podmínky pro uplatnění osvobození od daně. Nejedná se o věcnou změnu, pouze se potvrzuje stávající praxe.</w:t>
      </w:r>
    </w:p>
    <w:p w14:paraId="65732123"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63 odst. 1 úvodní část ustanovení)</w:t>
      </w:r>
    </w:p>
    <w:p w14:paraId="0CCB2A2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souvislosti s novým ustanovením § 71i dochází k rozšíření okruhu plnění osvobozených od daně s nárokem na odpočet daně. Nově jsou tedy od daně s nárokem na odpočet daně osvobozena plnění za podmínek stanovených v § 64 až 71i.</w:t>
      </w:r>
    </w:p>
    <w:p w14:paraId="691D36B1"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63 odst. 1 písm. l))</w:t>
      </w:r>
    </w:p>
    <w:p w14:paraId="20C80F4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Od daně s nárokem na odpočet daně je nově osvobozeno dodání knih a poskytnutí obdobných služeb za podmínek vymezených v § 71i. Nicméně režim osvobození od daně dle tohoto ustanovení se nepoužije v případě, kdy kniha jako zboží bude osvobozena od daně bez nároku na odpočet daně (například dle § 62, neboť byla používána výhradně v rámci osvobozené vzdělávací služby), případně bude dodána do jiného členského státu dle § 64 nebo bude předmětem vývozu zboží dle § 66. U pořízení zboží z jiného členského státu se aplikuje pravidlo § 65, kdy pořízení knihy bude osvobozeno od daně (neboť při jeho dodání plátcem </w:t>
      </w:r>
      <w:r w:rsidRPr="003730B5">
        <w:rPr>
          <w:rFonts w:ascii="Times New Roman" w:hAnsi="Times New Roman"/>
          <w:color w:val="auto"/>
          <w:sz w:val="24"/>
        </w:rPr>
        <w:lastRenderedPageBreak/>
        <w:t>v tuzemsku je toto dodání v každém případě osvobozeno od daně), obdobný princip platí příkladně i u dovozu zboží dle § 71.</w:t>
      </w:r>
    </w:p>
    <w:p w14:paraId="35FFBF23" w14:textId="77777777" w:rsidR="00133AC8" w:rsidRPr="003730B5" w:rsidRDefault="00133AC8" w:rsidP="00133AC8">
      <w:pPr>
        <w:pStyle w:val="Dvodovzprvakbodu"/>
        <w:keepLines/>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63 odst. 2)</w:t>
      </w:r>
    </w:p>
    <w:p w14:paraId="2F54641A" w14:textId="77777777" w:rsidR="00133AC8" w:rsidRPr="003730B5" w:rsidRDefault="00133AC8" w:rsidP="00133AC8">
      <w:pPr>
        <w:pStyle w:val="Dvodovzprva"/>
        <w:keepLines/>
        <w:widowControl w:val="0"/>
        <w:outlineLvl w:val="9"/>
        <w:rPr>
          <w:rFonts w:ascii="Times New Roman" w:hAnsi="Times New Roman"/>
          <w:color w:val="auto"/>
          <w:sz w:val="24"/>
        </w:rPr>
      </w:pPr>
      <w:r w:rsidRPr="003730B5">
        <w:rPr>
          <w:rFonts w:ascii="Times New Roman" w:hAnsi="Times New Roman"/>
          <w:color w:val="auto"/>
          <w:sz w:val="24"/>
        </w:rPr>
        <w:t>Do tohoto odstavce se za druhou větu vkládá nová věta, která stanoví, že pokud v případě plnění vymezených v § 63 vznikla povinnost přiznat daň z úplaty přijaté před uskutečněním těchto plnění, postupuje se při jejich uskutečnění obdobně podle § 37a s tím rozdílem, že postupem pro určení sazby daně se určí podmínky pro uplatnění osvobození od daně. Nedochází tak k věcné změně, potvrzuje se stávající praxe. Z důvodu existence nového osvobozeného plnění dle § 71i však nově dochází k situaci, kdy před účinností zákona mohla být přijata úplata (záloha) před uskutečněním plnění, kdy toto plnění podléhalo druhé snížené sazbě daně, a následně se toto plnění uskutečnilo až v období, kdy po účinnosti zákona se již jednalo o plnění osvobozené od daně. Obdobně by se postupovalo i v opačném případě.</w:t>
      </w:r>
    </w:p>
    <w:p w14:paraId="539110BC"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71c odst. 1 písm. d))</w:t>
      </w:r>
    </w:p>
    <w:p w14:paraId="7F3BED9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Jedná se o legislativně technickou změnu související s vložením nového písmene e).</w:t>
      </w:r>
    </w:p>
    <w:p w14:paraId="391685E9" w14:textId="77777777" w:rsidR="00133AC8" w:rsidRPr="003730B5" w:rsidRDefault="00133AC8" w:rsidP="00133AC8">
      <w:pPr>
        <w:pStyle w:val="Dvodovzprvakbodu"/>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71c odst. 1 písm. e))</w:t>
      </w:r>
    </w:p>
    <w:p w14:paraId="301BFD3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zavedení nových spotřebních daní v zákoně o spotřebních daních, se stanovuje množství ostatních tabákových výrobků a výrobků souvisejících s tabákovými výrobky, které je osvobozeno v případě dovozu. Omezení pro jednotlivé komodity se navrhuje tak, aby proporcionálně odpovídalo již dříve stanovenému množství osvobozených tabákových výrobků (např. tabáku ke kouření).</w:t>
      </w:r>
    </w:p>
    <w:p w14:paraId="3CCDB19F" w14:textId="3C2796FE"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xml:space="preserve">(§71c odst. 1 písm. g) až </w:t>
      </w:r>
      <w:r w:rsidR="00ED651F" w:rsidRPr="003730B5">
        <w:rPr>
          <w:rFonts w:ascii="Times New Roman" w:hAnsi="Times New Roman"/>
          <w:color w:val="auto"/>
          <w:sz w:val="24"/>
          <w:szCs w:val="24"/>
        </w:rPr>
        <w:t>j</w:t>
      </w:r>
      <w:r w:rsidRPr="003730B5">
        <w:rPr>
          <w:rFonts w:ascii="Times New Roman" w:hAnsi="Times New Roman"/>
          <w:color w:val="auto"/>
          <w:sz w:val="24"/>
          <w:szCs w:val="24"/>
        </w:rPr>
        <w:t>))</w:t>
      </w:r>
    </w:p>
    <w:p w14:paraId="3A23F2A9" w14:textId="77777777" w:rsidR="00133AC8" w:rsidRPr="003730B5" w:rsidRDefault="00133AC8" w:rsidP="00133AC8">
      <w:pPr>
        <w:pStyle w:val="Dvodovzprva"/>
        <w:keepNext/>
        <w:keepLines/>
        <w:widowControl w:val="0"/>
        <w:outlineLvl w:val="9"/>
        <w:rPr>
          <w:rFonts w:ascii="Times New Roman" w:hAnsi="Times New Roman"/>
          <w:color w:val="auto"/>
          <w:sz w:val="24"/>
        </w:rPr>
      </w:pPr>
      <w:r w:rsidRPr="003730B5">
        <w:rPr>
          <w:rFonts w:ascii="Times New Roman" w:hAnsi="Times New Roman"/>
          <w:color w:val="auto"/>
          <w:sz w:val="24"/>
        </w:rPr>
        <w:t>V návaznosti na zavedení nových spotřebních daní v zákoně o spotřebních daních, se stanovuje množství ostatních tabákových výrobků a výrobků souvisejících s tabákovými výrobky, které je osvobozeno v případě dovozu. Omezení pro jednotlivé komodity se navrhuje tak, aby proporcionálně odpovídalo již dříve stanovenému množství osvobozených tabákových výrobků (např. tabáku ke kouření).</w:t>
      </w:r>
    </w:p>
    <w:p w14:paraId="10210554"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71i až 71k)</w:t>
      </w:r>
    </w:p>
    <w:p w14:paraId="5DD62960" w14:textId="77777777" w:rsidR="00133AC8" w:rsidRPr="003730B5" w:rsidRDefault="00133AC8" w:rsidP="00133AC8">
      <w:pPr>
        <w:pStyle w:val="Dvodovzprva"/>
        <w:widowControl w:val="0"/>
        <w:outlineLvl w:val="9"/>
        <w:rPr>
          <w:rFonts w:ascii="Times New Roman" w:hAnsi="Times New Roman"/>
          <w:color w:val="auto"/>
          <w:sz w:val="24"/>
          <w:u w:val="single"/>
        </w:rPr>
      </w:pPr>
      <w:r w:rsidRPr="003730B5">
        <w:rPr>
          <w:rFonts w:ascii="Times New Roman" w:hAnsi="Times New Roman"/>
          <w:color w:val="auto"/>
          <w:sz w:val="24"/>
          <w:u w:val="single"/>
        </w:rPr>
        <w:t>K § 71i:</w:t>
      </w:r>
    </w:p>
    <w:p w14:paraId="7BFE3B1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Nově se osvobození od daně s nárokem na odpočet daně uplatní při dodání knih a poskytnutí obdobných služeb. Knihou se pro účely daně z přidané hodnoty rozumí kniha, brožura, obrázková kniha pro děti, předloha ke kreslení pro děti nebo omalovánky pro děti, včetně zvukového záznamu přednesu jejich obsahu, pokud se jedná o zboží, které je uvedeno pod kódem nomenklatury celního sazebníku v čísle 4901, 4903, nebo 8523. Zároveň musí toto zboží být obsaženo na hmotném nosiči, množství reklamy nesmí přesahovat více než 50 % jeho obsahu a toto zboží se nesmí sestávat výlučně nebo převážně z hudebního zvukového nebo audiovizuálního obsahu. Osvobození od daně se tedy vztahuje na takové materiály, které jsou obsaženy na jakémkoli hmotném nosiči (např. papír, CD, DVD), pokud nejde o zboží, u kterého reklama představuje více než 50 % obsahu nebo které se výlučně nebo převážně sestává z hudebního zvukového obsahu nebo audiovizuálního obsahu. Pokud by tyto materiály nebyly obsaženy na hmotném nosiči, osvobození od daně nelze uplatnit v této kategorii, ale může se jednat o poskytnutí služeb obdobné dodání knih.</w:t>
      </w:r>
    </w:p>
    <w:p w14:paraId="632EAF4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Osvobození od daně se též nově uplatní při poskytnutí služeb obdobných dodání knih. Těmito službami se rozumí elektronicky poskytovaná služba spočívající v poskytnutí knihy, brožury, obrázkové knihy pro děti, předlohy ke kreslení pro děti nebo omalovánek pro děti (dále jen „materiály“), včetně zvukového záznamu přednesu jejich obsahu, jejichž dodání by bylo </w:t>
      </w:r>
      <w:r w:rsidRPr="003730B5">
        <w:rPr>
          <w:rFonts w:ascii="Times New Roman" w:hAnsi="Times New Roman"/>
          <w:color w:val="auto"/>
          <w:sz w:val="24"/>
        </w:rPr>
        <w:lastRenderedPageBreak/>
        <w:t>osvobozeno od daně, pokud by byly obsaženy na hmotném nosiči, včetně jejich zpřístupnění v rámci veřejných knihovnických a informačních nebo dalších služeb poskytovaných podle knihovního zákona nebo obdobných služeb poskytovaných podle jiného právního předpisu. Může se tak jednat o materiály určené ke stažení [download] nebo zasílané prostřednictvím elektronické pošty, ale i o materiály zpřístupněné ke čtení on-line [streamované].</w:t>
      </w:r>
    </w:p>
    <w:p w14:paraId="1108599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Osvobozené od daně je též půjčování nebo nájem knihy, pokud se jedná o veřejné knihovnické a informační nebo další služby poskytované podle knihovního zákona nebo obdobné služby poskytované podle jiného právního předpisu. Obdobnými službami poskytovanými podle jiného právního předpisu se v tomto případě rozumí služby, které mají materiálně stejný obsah jako veřejné knihovnické a informační nebo další služby podle knihovního zákona, tedy elektronické zpřístupňování výše uvedených dokumentů. Jiným právním předpisem může být například zákon č. 455/1991 Sb., o živnostenském podnikání (živnostenský zákon), ve znění pozdějších předpisů, nebo zákon č. 561/2004 Sb. o předškolním, základním, středním, vyšším odborném a jiném vzdělávání (školský zákon), ve znění pozdějších předpisů.</w:t>
      </w:r>
    </w:p>
    <w:p w14:paraId="0860F0C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Osvobození od daně se uplatní pouze u těch výše vymezených plnění, které jsou poskytovány za úplatu. V případě, že nejsou poskytovány za úplatu, nejsou tyto služby obecně předmětem daně.</w:t>
      </w:r>
    </w:p>
    <w:p w14:paraId="0A021215" w14:textId="77777777" w:rsidR="00133AC8" w:rsidRPr="003730B5" w:rsidRDefault="00133AC8" w:rsidP="00133AC8">
      <w:pPr>
        <w:pStyle w:val="Dvodovzprva"/>
        <w:widowControl w:val="0"/>
        <w:outlineLvl w:val="9"/>
        <w:rPr>
          <w:rFonts w:ascii="Times New Roman" w:hAnsi="Times New Roman"/>
          <w:color w:val="auto"/>
          <w:sz w:val="24"/>
          <w:u w:val="single"/>
        </w:rPr>
      </w:pPr>
      <w:r w:rsidRPr="003730B5">
        <w:rPr>
          <w:rFonts w:ascii="Times New Roman" w:hAnsi="Times New Roman"/>
          <w:color w:val="auto"/>
          <w:sz w:val="24"/>
          <w:u w:val="single"/>
        </w:rPr>
        <w:t>K § 71j:</w:t>
      </w:r>
    </w:p>
    <w:p w14:paraId="0C7C78E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nové ustanovení § 71i se navrhuje, aby předmětem závazného posouzení bylo určení, zda se při dodání knih nebo poskytnutí obdobných služeb uplatní osvobození od daně s nárokem na odpočet daně.</w:t>
      </w:r>
    </w:p>
    <w:p w14:paraId="1E374ED9" w14:textId="77777777" w:rsidR="00133AC8" w:rsidRPr="003730B5" w:rsidRDefault="00133AC8" w:rsidP="00133AC8">
      <w:pPr>
        <w:pStyle w:val="Dvodovzprva"/>
        <w:widowControl w:val="0"/>
        <w:outlineLvl w:val="9"/>
        <w:rPr>
          <w:rFonts w:ascii="Times New Roman" w:hAnsi="Times New Roman"/>
          <w:color w:val="auto"/>
          <w:sz w:val="24"/>
          <w:u w:val="single"/>
        </w:rPr>
      </w:pPr>
      <w:r w:rsidRPr="003730B5">
        <w:rPr>
          <w:rFonts w:ascii="Times New Roman" w:hAnsi="Times New Roman"/>
          <w:color w:val="auto"/>
          <w:sz w:val="24"/>
          <w:u w:val="single"/>
        </w:rPr>
        <w:t>K § 71k:</w:t>
      </w:r>
    </w:p>
    <w:p w14:paraId="4AD8AA4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Rozhodnutí o závazném posouzení pro uplatnění osvobození od daně s nárokem na odpočet při dodání knih a poskytnutí obdobných služeb vydá Generální finanční ředitelství na žádost jakékoliv osoby. Tato osoba v žádosti uvede popis zboží nebo služby, jichž se žádost o vydání rozhodnutí o závazném posouzení týká (lze uvést jednu položku zboží nebo služby) a návrh výroku rozhodnutí o závazném posouzení.</w:t>
      </w:r>
    </w:p>
    <w:p w14:paraId="75086E21"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90 odst. 17)</w:t>
      </w:r>
    </w:p>
    <w:p w14:paraId="5F75E51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Zvláštní režim je využíván (při splnění všech zákonných podmínek) i při prodeji použitých knih vhodných k dalšímu použití v nezměněném stavu nebo po opravě (typicky prodej prostřednictvím antikvariátu) či knih, které spadají do kategorie uměleckých děl, sběratelských předmětů či starožitností (viz příloha č. 4).</w:t>
      </w:r>
    </w:p>
    <w:p w14:paraId="48E396E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 71i, podle kterého se nově při dodání knih uplatní osvobození od daně s nárokem na odpočet daně, se do § 90 z důvodu právní jistoty doplňuje, že při dodání knih, které spadají do kategorie uměleckých děl, sběratelských předmětů a starožitností uvedených v příloze č. 4, či které jsou použitým zbožím, se ustanovení upravující tento zvláštní režim použití přiměřeně (tj. musí být splněny všechny další podmínky pro aplikaci zvláštního režimu). To například znamená, že plátce standardně při stanovení hodnoty plnění (nikoliv zdanitelného plnění) stanoví přirážku za podmínek stanovených ve zvláštním režimu, avšak z důvodu osvobození od daně ji nesníží o daň z přirážky dle § 90 odst. 3., neboť taková daň neexistuje.</w:t>
      </w:r>
    </w:p>
    <w:p w14:paraId="5E21D292"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(Příloha č. 2)</w:t>
      </w:r>
    </w:p>
    <w:p w14:paraId="5298080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důsledku zavedení jedné snížené sazby daně z přidané hodnoty ve výši 12 % dochází ke zrušení přílohy č. 2a, ve které byl vymezen seznam služeb podléhajících druhé snížené sazbě daně. Služby podléhající snížené sazbě daně se vymezují v příloze č. 2.</w:t>
      </w:r>
    </w:p>
    <w:p w14:paraId="2D78B7FB" w14:textId="77777777" w:rsidR="00133AC8" w:rsidRPr="003730B5" w:rsidRDefault="00133AC8" w:rsidP="00133AC8">
      <w:pPr>
        <w:pStyle w:val="Dvodovzprva"/>
        <w:widowControl w:val="0"/>
        <w:outlineLvl w:val="9"/>
        <w:rPr>
          <w:rFonts w:ascii="Times New Roman" w:hAnsi="Times New Roman"/>
          <w:color w:val="auto"/>
          <w:sz w:val="24"/>
          <w:u w:val="single"/>
        </w:rPr>
      </w:pPr>
      <w:r w:rsidRPr="003730B5">
        <w:rPr>
          <w:rFonts w:ascii="Times New Roman" w:hAnsi="Times New Roman"/>
          <w:color w:val="auto"/>
          <w:sz w:val="24"/>
          <w:u w:val="single"/>
        </w:rPr>
        <w:t xml:space="preserve">Ze snížené sazby daně (první či druhé) se navrhují vyjmout tyto položky: </w:t>
      </w:r>
    </w:p>
    <w:p w14:paraId="0B36DDF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38.1</w:t>
      </w:r>
      <w:r w:rsidRPr="003730B5">
        <w:rPr>
          <w:rFonts w:ascii="Times New Roman" w:hAnsi="Times New Roman"/>
          <w:color w:val="auto"/>
          <w:sz w:val="24"/>
        </w:rPr>
        <w:tab/>
      </w:r>
      <w:r w:rsidRPr="003730B5">
        <w:rPr>
          <w:rFonts w:ascii="Times New Roman" w:hAnsi="Times New Roman"/>
          <w:color w:val="auto"/>
          <w:sz w:val="24"/>
        </w:rPr>
        <w:tab/>
        <w:t>Sběr a přeprava komunálního odpadu.</w:t>
      </w:r>
    </w:p>
    <w:p w14:paraId="52ED448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38.2</w:t>
      </w:r>
      <w:r w:rsidRPr="003730B5">
        <w:rPr>
          <w:rFonts w:ascii="Times New Roman" w:hAnsi="Times New Roman"/>
          <w:color w:val="auto"/>
          <w:sz w:val="24"/>
        </w:rPr>
        <w:tab/>
      </w:r>
      <w:r w:rsidRPr="003730B5">
        <w:rPr>
          <w:rFonts w:ascii="Times New Roman" w:hAnsi="Times New Roman"/>
          <w:color w:val="auto"/>
          <w:sz w:val="24"/>
        </w:rPr>
        <w:tab/>
        <w:t>Příprava k likvidaci a likvidace komunálního odpadu.</w:t>
      </w:r>
    </w:p>
    <w:p w14:paraId="736A26E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38.3</w:t>
      </w:r>
      <w:r w:rsidRPr="003730B5">
        <w:rPr>
          <w:rFonts w:ascii="Times New Roman" w:hAnsi="Times New Roman"/>
          <w:color w:val="auto"/>
          <w:sz w:val="24"/>
        </w:rPr>
        <w:tab/>
      </w:r>
      <w:r w:rsidRPr="003730B5">
        <w:rPr>
          <w:rFonts w:ascii="Times New Roman" w:hAnsi="Times New Roman"/>
          <w:color w:val="auto"/>
          <w:sz w:val="24"/>
        </w:rPr>
        <w:tab/>
        <w:t>Zpracování komunálního odpadu k dalšímu využití; druhotné suroviny.</w:t>
      </w:r>
    </w:p>
    <w:p w14:paraId="4A62AF60" w14:textId="55D85F58"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Podle směrnice o DPH může být ve snížené sazbě daně pouze domovní odpad, tj. výlučně odpad vyprodukovaný domácností, přičemž veškerý další odpad již musí být v sazbě základní. Snížené sazbě daně tedy nemůže příkladně podléhat odpad vzniklý v rámci podnikatelské činnosti člena domácnosti apod. Tento nejednotný přístup přináší problémy - pokud u odpadových služeb nelze fakticky zjistit podíl domovního odpadu a jiného odpadu, pak je třeba aplikovat základní sazbu daně ve výši 21 % (pokud se tedy nejedná o veřejnoprávní činnost uskutečňovanou veřejnoprávním subjektem podle § 5 odst. 4 zákona o </w:t>
      </w:r>
      <w:r w:rsidR="002D4821" w:rsidRPr="003730B5">
        <w:rPr>
          <w:rFonts w:ascii="Times New Roman" w:hAnsi="Times New Roman"/>
          <w:color w:val="auto"/>
          <w:sz w:val="24"/>
        </w:rPr>
        <w:t xml:space="preserve">dani </w:t>
      </w:r>
      <w:r w:rsidR="00D03256" w:rsidRPr="003730B5">
        <w:rPr>
          <w:rFonts w:ascii="Times New Roman" w:hAnsi="Times New Roman"/>
          <w:color w:val="auto"/>
          <w:sz w:val="24"/>
        </w:rPr>
        <w:t>z </w:t>
      </w:r>
      <w:r w:rsidR="002D4821" w:rsidRPr="003730B5">
        <w:rPr>
          <w:rFonts w:ascii="Times New Roman" w:hAnsi="Times New Roman"/>
          <w:color w:val="auto"/>
          <w:sz w:val="24"/>
        </w:rPr>
        <w:t>přidané hodnoty</w:t>
      </w:r>
      <w:r w:rsidRPr="003730B5">
        <w:rPr>
          <w:rFonts w:ascii="Times New Roman" w:hAnsi="Times New Roman"/>
          <w:color w:val="auto"/>
          <w:sz w:val="24"/>
        </w:rPr>
        <w:t>, kdy tato činnost není vůbec předmětem daně z přidané hodnoty, standardně se jedná o poplatek za komunální odpad, který tak nepodléhá dani).</w:t>
      </w:r>
    </w:p>
    <w:p w14:paraId="46EED8B5"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Z důvodu zjednodušení aplikace DPH a odstranění nejednotného přístupu v dané oblasti se navrhuje odstranit odpadové služby ze snížené sazby daně a to i s ohledem na zákon o odpadech, který s účinností od 1. 1. 2021 rozšířil definici komunálního odpadu o směsný odpad a tříděný odpad z jiných zdrojů (nejen tak od fyzických osob z domácností), pokud je co do povahy a složení podobný odpadu z domácností.</w:t>
      </w:r>
    </w:p>
    <w:p w14:paraId="53FC61A2"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51</w:t>
      </w:r>
      <w:r w:rsidRPr="003730B5">
        <w:rPr>
          <w:rFonts w:ascii="Times New Roman" w:hAnsi="Times New Roman"/>
          <w:color w:val="auto"/>
          <w:sz w:val="24"/>
        </w:rPr>
        <w:tab/>
      </w:r>
      <w:r w:rsidRPr="003730B5">
        <w:rPr>
          <w:rFonts w:ascii="Times New Roman" w:hAnsi="Times New Roman"/>
          <w:color w:val="auto"/>
          <w:sz w:val="24"/>
        </w:rPr>
        <w:tab/>
        <w:t>Letecká hromadná pravidelná doprava cestujících a jejich zavazadel.</w:t>
      </w:r>
    </w:p>
    <w:p w14:paraId="143A617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Jelikož mezinárodní letecká doprava je dle § 70 osvobozena od daně nárokem na odpočet daně, jedná se v tomto případě pouze o změnu sazby u pravidelné hromadné letecké dopravy u vnitrostátních letů.</w:t>
      </w:r>
    </w:p>
    <w:p w14:paraId="1EB8DA82" w14:textId="77777777" w:rsidR="00133AC8" w:rsidRPr="003730B5" w:rsidRDefault="00133AC8" w:rsidP="00133AC8">
      <w:pPr>
        <w:pStyle w:val="Dvodovzprva"/>
        <w:widowControl w:val="0"/>
        <w:ind w:left="1418" w:hanging="1418"/>
        <w:rPr>
          <w:rFonts w:ascii="Times New Roman" w:hAnsi="Times New Roman"/>
          <w:color w:val="auto"/>
          <w:sz w:val="24"/>
        </w:rPr>
      </w:pPr>
      <w:r w:rsidRPr="003730B5">
        <w:rPr>
          <w:rFonts w:ascii="Times New Roman" w:hAnsi="Times New Roman"/>
          <w:color w:val="auto"/>
          <w:sz w:val="24"/>
        </w:rPr>
        <w:t>90</w:t>
      </w:r>
      <w:r w:rsidRPr="003730B5">
        <w:rPr>
          <w:rFonts w:ascii="Times New Roman" w:hAnsi="Times New Roman"/>
          <w:color w:val="auto"/>
          <w:sz w:val="24"/>
        </w:rPr>
        <w:tab/>
        <w:t>Služby autorů a výkonných umělců, pokud se nejedná o poskytnutí oprávnění k výkonu práva dílo nebo umělecký výkon užít a mimo služby nezávislých novinářů, nezávislých modelů a modelek.</w:t>
      </w:r>
    </w:p>
    <w:p w14:paraId="34A37861" w14:textId="77777777" w:rsidR="00133AC8" w:rsidRPr="003730B5" w:rsidRDefault="00133AC8" w:rsidP="00133AC8">
      <w:pPr>
        <w:pStyle w:val="Dvodovzprva"/>
        <w:widowControl w:val="0"/>
        <w:ind w:left="1418"/>
        <w:rPr>
          <w:rFonts w:ascii="Times New Roman" w:hAnsi="Times New Roman"/>
          <w:color w:val="auto"/>
          <w:sz w:val="24"/>
        </w:rPr>
      </w:pPr>
      <w:r w:rsidRPr="003730B5">
        <w:rPr>
          <w:rFonts w:ascii="Times New Roman" w:hAnsi="Times New Roman"/>
          <w:color w:val="auto"/>
          <w:sz w:val="24"/>
        </w:rPr>
        <w:t>Tyto služby nemají charakter sociálního ani zdravotního charakteru, z tohoto důvodu se navrhuje jejich vyjmutí ze snížené sazby daně.</w:t>
      </w:r>
    </w:p>
    <w:p w14:paraId="7E4E0231"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Dále se jedná o níže uvedené položky, které byly zařazeny do snížené sazby z důvodů, které již pominuly (příkladně povinnost vést elektronickou evidenci tržeb, podpora vybraných služeb souvisejících s opatřeními proti onemocnění COVID-19).</w:t>
      </w:r>
    </w:p>
    <w:p w14:paraId="11B713A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81.21.10</w:t>
      </w:r>
      <w:r w:rsidRPr="003730B5">
        <w:rPr>
          <w:rFonts w:ascii="Times New Roman" w:hAnsi="Times New Roman"/>
          <w:color w:val="auto"/>
          <w:sz w:val="24"/>
        </w:rPr>
        <w:tab/>
        <w:t>Služby čištění vnitřních prostor prováděné v domácnostech.</w:t>
      </w:r>
    </w:p>
    <w:p w14:paraId="3779BF44"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81.22.11</w:t>
      </w:r>
      <w:r w:rsidRPr="003730B5">
        <w:rPr>
          <w:rFonts w:ascii="Times New Roman" w:hAnsi="Times New Roman"/>
          <w:color w:val="auto"/>
          <w:sz w:val="24"/>
        </w:rPr>
        <w:tab/>
        <w:t>Služby mytí oken prováděné v domácnostech.</w:t>
      </w:r>
    </w:p>
    <w:p w14:paraId="54AB6620"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95.23</w:t>
      </w:r>
      <w:r w:rsidRPr="003730B5">
        <w:rPr>
          <w:rFonts w:ascii="Times New Roman" w:hAnsi="Times New Roman"/>
          <w:color w:val="auto"/>
          <w:sz w:val="24"/>
        </w:rPr>
        <w:tab/>
      </w:r>
      <w:r w:rsidRPr="003730B5">
        <w:rPr>
          <w:rFonts w:ascii="Times New Roman" w:hAnsi="Times New Roman"/>
          <w:color w:val="auto"/>
          <w:sz w:val="24"/>
        </w:rPr>
        <w:tab/>
        <w:t>Opravy obuvi a kožených výrobků.</w:t>
      </w:r>
    </w:p>
    <w:p w14:paraId="4E79ABF8"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95.29.11</w:t>
      </w:r>
      <w:r w:rsidRPr="003730B5">
        <w:rPr>
          <w:rFonts w:ascii="Times New Roman" w:hAnsi="Times New Roman"/>
          <w:color w:val="auto"/>
          <w:sz w:val="24"/>
        </w:rPr>
        <w:tab/>
        <w:t>Opravy a úpravy oděvů a textilních výrobků.</w:t>
      </w:r>
    </w:p>
    <w:p w14:paraId="2CC73AD6"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95.29.12</w:t>
      </w:r>
      <w:r w:rsidRPr="003730B5">
        <w:rPr>
          <w:rFonts w:ascii="Times New Roman" w:hAnsi="Times New Roman"/>
          <w:color w:val="auto"/>
          <w:sz w:val="24"/>
        </w:rPr>
        <w:tab/>
        <w:t>Opravy jízdních kol.</w:t>
      </w:r>
    </w:p>
    <w:p w14:paraId="7228F33D"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96.02</w:t>
      </w:r>
      <w:r w:rsidRPr="003730B5">
        <w:rPr>
          <w:rFonts w:ascii="Times New Roman" w:hAnsi="Times New Roman"/>
          <w:color w:val="auto"/>
          <w:sz w:val="24"/>
        </w:rPr>
        <w:tab/>
      </w:r>
      <w:r w:rsidRPr="003730B5">
        <w:rPr>
          <w:rFonts w:ascii="Times New Roman" w:hAnsi="Times New Roman"/>
          <w:color w:val="auto"/>
          <w:sz w:val="24"/>
        </w:rPr>
        <w:tab/>
        <w:t>Kadeřnické a holičské služby.</w:t>
      </w:r>
    </w:p>
    <w:p w14:paraId="280860A6" w14:textId="77777777" w:rsidR="00133AC8" w:rsidRPr="003730B5" w:rsidRDefault="00133AC8" w:rsidP="00133AC8">
      <w:pPr>
        <w:pStyle w:val="Dvodovzprva"/>
        <w:widowControl w:val="0"/>
        <w:spacing w:before="240"/>
        <w:outlineLvl w:val="9"/>
        <w:rPr>
          <w:rFonts w:ascii="Times New Roman" w:hAnsi="Times New Roman"/>
          <w:color w:val="auto"/>
          <w:sz w:val="24"/>
          <w:u w:val="single"/>
        </w:rPr>
      </w:pPr>
      <w:r w:rsidRPr="003730B5">
        <w:rPr>
          <w:rFonts w:ascii="Times New Roman" w:hAnsi="Times New Roman"/>
          <w:color w:val="auto"/>
          <w:sz w:val="24"/>
          <w:u w:val="single"/>
        </w:rPr>
        <w:t>Ve snížené sazbě daně zůstávají tyto položky:</w:t>
      </w:r>
    </w:p>
    <w:p w14:paraId="647092F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36.00.2</w:t>
      </w:r>
      <w:r w:rsidRPr="003730B5">
        <w:rPr>
          <w:rFonts w:ascii="Times New Roman" w:hAnsi="Times New Roman"/>
          <w:color w:val="auto"/>
          <w:sz w:val="24"/>
        </w:rPr>
        <w:tab/>
        <w:t>Úprava a rozvod vody prostřednictvím sítí.</w:t>
      </w:r>
    </w:p>
    <w:p w14:paraId="4DC25B87" w14:textId="77777777" w:rsidR="00133AC8" w:rsidRPr="003730B5" w:rsidRDefault="00133AC8" w:rsidP="00133AC8">
      <w:pPr>
        <w:pStyle w:val="Dvodovzprva"/>
        <w:widowControl w:val="0"/>
        <w:ind w:left="1418" w:hanging="1418"/>
        <w:outlineLvl w:val="9"/>
        <w:rPr>
          <w:rFonts w:ascii="Times New Roman" w:hAnsi="Times New Roman"/>
          <w:color w:val="auto"/>
          <w:sz w:val="24"/>
        </w:rPr>
      </w:pPr>
      <w:r w:rsidRPr="003730B5">
        <w:rPr>
          <w:rFonts w:ascii="Times New Roman" w:hAnsi="Times New Roman"/>
          <w:color w:val="auto"/>
          <w:sz w:val="24"/>
        </w:rPr>
        <w:t>37</w:t>
      </w:r>
      <w:r w:rsidRPr="003730B5">
        <w:rPr>
          <w:rFonts w:ascii="Times New Roman" w:hAnsi="Times New Roman"/>
          <w:color w:val="auto"/>
          <w:sz w:val="24"/>
        </w:rPr>
        <w:tab/>
        <w:t>Odvádění a čištění odpadních vod včetně ostatních služeb souvisejících s těmito činnostmi.</w:t>
      </w:r>
    </w:p>
    <w:p w14:paraId="343E2F6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50</w:t>
      </w:r>
      <w:r w:rsidRPr="003730B5">
        <w:rPr>
          <w:rFonts w:ascii="Times New Roman" w:hAnsi="Times New Roman"/>
          <w:color w:val="auto"/>
          <w:sz w:val="24"/>
        </w:rPr>
        <w:tab/>
      </w:r>
      <w:r w:rsidRPr="003730B5">
        <w:rPr>
          <w:rFonts w:ascii="Times New Roman" w:hAnsi="Times New Roman"/>
          <w:color w:val="auto"/>
          <w:sz w:val="24"/>
        </w:rPr>
        <w:tab/>
        <w:t>Vodní pravidelná hromadná doprava osob a jejich zavazadel.</w:t>
      </w:r>
    </w:p>
    <w:p w14:paraId="50AE12D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55</w:t>
      </w:r>
      <w:r w:rsidRPr="003730B5">
        <w:rPr>
          <w:rFonts w:ascii="Times New Roman" w:hAnsi="Times New Roman"/>
          <w:color w:val="auto"/>
          <w:sz w:val="24"/>
        </w:rPr>
        <w:tab/>
      </w:r>
      <w:r w:rsidRPr="003730B5">
        <w:rPr>
          <w:rFonts w:ascii="Times New Roman" w:hAnsi="Times New Roman"/>
          <w:color w:val="auto"/>
          <w:sz w:val="24"/>
        </w:rPr>
        <w:tab/>
        <w:t>Ubytovací služby.</w:t>
      </w:r>
    </w:p>
    <w:p w14:paraId="4116467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59.14, 90, 91,</w:t>
      </w:r>
      <w:r w:rsidRPr="003730B5">
        <w:rPr>
          <w:rFonts w:ascii="Times New Roman" w:hAnsi="Times New Roman"/>
          <w:color w:val="auto"/>
          <w:sz w:val="24"/>
        </w:rPr>
        <w:tab/>
        <w:t>Poskytnutí oprávnění ke vstupu na představení, do divadel, do cirkusů,</w:t>
      </w:r>
    </w:p>
    <w:p w14:paraId="0E9ABE3E" w14:textId="77777777" w:rsidR="00133AC8" w:rsidRPr="003730B5" w:rsidRDefault="00133AC8" w:rsidP="00133AC8">
      <w:pPr>
        <w:pStyle w:val="Dvodovzprva"/>
        <w:widowControl w:val="0"/>
        <w:ind w:left="1418" w:hanging="1418"/>
        <w:outlineLvl w:val="9"/>
        <w:rPr>
          <w:rFonts w:ascii="Times New Roman" w:hAnsi="Times New Roman"/>
          <w:color w:val="auto"/>
          <w:sz w:val="24"/>
        </w:rPr>
      </w:pPr>
      <w:r w:rsidRPr="003730B5">
        <w:rPr>
          <w:rFonts w:ascii="Times New Roman" w:hAnsi="Times New Roman"/>
          <w:color w:val="auto"/>
          <w:sz w:val="24"/>
        </w:rPr>
        <w:t>93</w:t>
      </w:r>
      <w:r w:rsidRPr="003730B5">
        <w:rPr>
          <w:rFonts w:ascii="Times New Roman" w:hAnsi="Times New Roman"/>
          <w:color w:val="auto"/>
          <w:sz w:val="24"/>
        </w:rPr>
        <w:tab/>
        <w:t>do zábavních parků, na koncerty, do muzeí, do zoologických zahrad, do kin, na výstavy a na podobné kulturní události nebo do podobných kulturních zařízení; poskytnutí oprávnění ke vstupu do botanických zahrad, přírodních rezervací a národních parků.</w:t>
      </w:r>
    </w:p>
    <w:p w14:paraId="61811707" w14:textId="77777777" w:rsidR="00133AC8" w:rsidRPr="003730B5" w:rsidRDefault="00133AC8" w:rsidP="00133AC8">
      <w:pPr>
        <w:pStyle w:val="Dvodovzprva"/>
        <w:widowControl w:val="0"/>
        <w:ind w:left="1418" w:hanging="1418"/>
        <w:outlineLvl w:val="9"/>
        <w:rPr>
          <w:rFonts w:ascii="Times New Roman" w:hAnsi="Times New Roman"/>
          <w:color w:val="auto"/>
          <w:sz w:val="24"/>
        </w:rPr>
      </w:pPr>
      <w:r w:rsidRPr="003730B5">
        <w:rPr>
          <w:rFonts w:ascii="Times New Roman" w:hAnsi="Times New Roman"/>
          <w:color w:val="auto"/>
          <w:sz w:val="24"/>
        </w:rPr>
        <w:t>77, 85, 91</w:t>
      </w:r>
      <w:r w:rsidRPr="003730B5">
        <w:rPr>
          <w:rFonts w:ascii="Times New Roman" w:hAnsi="Times New Roman"/>
          <w:color w:val="auto"/>
          <w:sz w:val="24"/>
        </w:rPr>
        <w:tab/>
        <w:t>Půjčování nebo nájem novin, časopisů, periodik, hudebnin a kartografických výrobků, na jejichž dodání se uplatňuje snížená sazba daně, pokud se jedná o veřejné knihovnické a informační nebo další služby poskytované podle knihovního zákona nebo obdobné služby poskytované podle jiného právního předpisu.</w:t>
      </w:r>
    </w:p>
    <w:p w14:paraId="305D64D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86</w:t>
      </w:r>
      <w:r w:rsidRPr="003730B5">
        <w:rPr>
          <w:rFonts w:ascii="Times New Roman" w:hAnsi="Times New Roman"/>
          <w:color w:val="auto"/>
          <w:sz w:val="24"/>
        </w:rPr>
        <w:tab/>
      </w:r>
      <w:r w:rsidRPr="003730B5">
        <w:rPr>
          <w:rFonts w:ascii="Times New Roman" w:hAnsi="Times New Roman"/>
          <w:color w:val="auto"/>
          <w:sz w:val="24"/>
        </w:rPr>
        <w:tab/>
        <w:t>Zdravotní péče.</w:t>
      </w:r>
    </w:p>
    <w:p w14:paraId="09F1C11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87</w:t>
      </w:r>
      <w:r w:rsidRPr="003730B5">
        <w:rPr>
          <w:rFonts w:ascii="Times New Roman" w:hAnsi="Times New Roman"/>
          <w:color w:val="auto"/>
          <w:sz w:val="24"/>
        </w:rPr>
        <w:tab/>
      </w:r>
      <w:r w:rsidRPr="003730B5">
        <w:rPr>
          <w:rFonts w:ascii="Times New Roman" w:hAnsi="Times New Roman"/>
          <w:color w:val="auto"/>
          <w:sz w:val="24"/>
        </w:rPr>
        <w:tab/>
        <w:t>Sociální péče.</w:t>
      </w:r>
    </w:p>
    <w:p w14:paraId="1A89E31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88.10, 88.91</w:t>
      </w:r>
      <w:r w:rsidRPr="003730B5">
        <w:rPr>
          <w:rFonts w:ascii="Times New Roman" w:hAnsi="Times New Roman"/>
          <w:color w:val="auto"/>
          <w:sz w:val="24"/>
        </w:rPr>
        <w:tab/>
        <w:t>Domácí péče o děti, staré, nemocné nebo zdravotně postižené občany.</w:t>
      </w:r>
    </w:p>
    <w:p w14:paraId="36DA426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93.11, 93.12, 93.13, 93.29.11 Poskytnutí oprávnění ke vstupu na sportovní události; použití krytých i nekrytých sportovních zařízení ke sportovním činnostem; služby související s provozem rekreačních parků a pláží.</w:t>
      </w:r>
    </w:p>
    <w:p w14:paraId="6E330B3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96.03</w:t>
      </w:r>
      <w:r w:rsidRPr="003730B5">
        <w:rPr>
          <w:rFonts w:ascii="Times New Roman" w:hAnsi="Times New Roman"/>
          <w:color w:val="auto"/>
          <w:sz w:val="24"/>
        </w:rPr>
        <w:tab/>
      </w:r>
      <w:r w:rsidRPr="003730B5">
        <w:rPr>
          <w:rFonts w:ascii="Times New Roman" w:hAnsi="Times New Roman"/>
          <w:color w:val="auto"/>
          <w:sz w:val="24"/>
        </w:rPr>
        <w:tab/>
        <w:t>Pohřební a související služby mimo pohřebních služeb pro zvířata.</w:t>
      </w:r>
    </w:p>
    <w:p w14:paraId="3743137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96.04</w:t>
      </w:r>
      <w:r w:rsidRPr="003730B5">
        <w:rPr>
          <w:rFonts w:ascii="Times New Roman" w:hAnsi="Times New Roman"/>
          <w:color w:val="auto"/>
          <w:sz w:val="24"/>
        </w:rPr>
        <w:tab/>
      </w:r>
      <w:r w:rsidRPr="003730B5">
        <w:rPr>
          <w:rFonts w:ascii="Times New Roman" w:hAnsi="Times New Roman"/>
          <w:color w:val="auto"/>
          <w:sz w:val="24"/>
        </w:rPr>
        <w:tab/>
        <w:t>Služby tureckých lázní, saun, parních lázní a solných jeskyní.</w:t>
      </w:r>
    </w:p>
    <w:p w14:paraId="234F13F3" w14:textId="77777777" w:rsidR="00133AC8" w:rsidRPr="003730B5" w:rsidRDefault="00133AC8" w:rsidP="00133AC8">
      <w:pPr>
        <w:pStyle w:val="Dvodovzprva"/>
        <w:widowControl w:val="0"/>
        <w:ind w:left="1418" w:hanging="1418"/>
        <w:outlineLvl w:val="9"/>
        <w:rPr>
          <w:rFonts w:ascii="Times New Roman" w:hAnsi="Times New Roman"/>
          <w:color w:val="auto"/>
          <w:sz w:val="24"/>
        </w:rPr>
      </w:pPr>
      <w:r w:rsidRPr="003730B5">
        <w:rPr>
          <w:rFonts w:ascii="Times New Roman" w:hAnsi="Times New Roman"/>
          <w:color w:val="auto"/>
          <w:sz w:val="24"/>
        </w:rPr>
        <w:t>56</w:t>
      </w:r>
      <w:r w:rsidRPr="003730B5">
        <w:rPr>
          <w:rFonts w:ascii="Times New Roman" w:hAnsi="Times New Roman"/>
          <w:color w:val="auto"/>
          <w:sz w:val="24"/>
        </w:rPr>
        <w:tab/>
        <w:t>Stravovací služby, s výjimkou podávání nápojů jiných než pitné vody; (služby) podávání pitné vody.</w:t>
      </w:r>
    </w:p>
    <w:p w14:paraId="2BBD28F2" w14:textId="77777777" w:rsidR="00133AC8" w:rsidRPr="003730B5" w:rsidRDefault="00133AC8" w:rsidP="00133AC8">
      <w:pPr>
        <w:pStyle w:val="Dvodovzprva"/>
        <w:widowControl w:val="0"/>
        <w:rPr>
          <w:rFonts w:ascii="Times New Roman" w:hAnsi="Times New Roman"/>
          <w:color w:val="auto"/>
          <w:sz w:val="24"/>
        </w:rPr>
      </w:pPr>
      <w:r w:rsidRPr="003730B5">
        <w:rPr>
          <w:rFonts w:ascii="Times New Roman" w:hAnsi="Times New Roman"/>
          <w:color w:val="auto"/>
          <w:sz w:val="24"/>
        </w:rPr>
        <w:t>V rámci stravovací služby se při dodání veškerých nápojů (a to jak alkoholických, tak i nealkoholických) uplatní základní sazba daně. Výjimkou je podávání pitné vody dodávané vodovodem (tzv. kohoutkové vody). Všechny nápoje podávané v rámci stravovací služby či služby podávání nápojů tak budou podléhat základní sazbě 21 %.</w:t>
      </w:r>
    </w:p>
    <w:p w14:paraId="12D89353" w14:textId="77777777" w:rsidR="00133AC8" w:rsidRPr="003730B5" w:rsidRDefault="00133AC8" w:rsidP="00133AC8">
      <w:pPr>
        <w:pStyle w:val="Dvodovzprva"/>
        <w:widowControl w:val="0"/>
        <w:ind w:left="1418" w:hanging="1418"/>
        <w:rPr>
          <w:rFonts w:ascii="Times New Roman" w:hAnsi="Times New Roman"/>
          <w:color w:val="auto"/>
          <w:sz w:val="24"/>
        </w:rPr>
      </w:pPr>
      <w:r w:rsidRPr="003730B5">
        <w:rPr>
          <w:rFonts w:ascii="Times New Roman" w:hAnsi="Times New Roman"/>
          <w:color w:val="auto"/>
          <w:sz w:val="24"/>
        </w:rPr>
        <w:t>49</w:t>
      </w:r>
      <w:r w:rsidRPr="003730B5">
        <w:rPr>
          <w:rFonts w:ascii="Times New Roman" w:hAnsi="Times New Roman"/>
          <w:color w:val="auto"/>
          <w:sz w:val="24"/>
        </w:rPr>
        <w:tab/>
        <w:t>Pozemní hromadná doprava osob a jejich zavazadel; osobní doprava lyžařskými vleky.</w:t>
      </w:r>
    </w:p>
    <w:p w14:paraId="19988E9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Věcnou změnou v oblasti osobní dopravy je rozšíření zdaňování sníženou sazbou daně na příležitostnou osobní silniční dopravu, jejíž vymezení vychází z § 2 odst. 11 zákona č. 111/1994 Sb., o silniční dopravě, ve znění pozdějších předpisů, čímž dochází v oblasti silniční dopravy k narovnání zdaňování pravidelné a nepravidelné přepravy osob (například autobusová přeprava žáků ze školy do divadla). Tato doprava doposud byla zatížena základní sazbou daně. Zdaňování této „zájezdové dopravy“ sníženou sazbou daně nicméně nemá vliv na uplatňování daně při použití zvláštního režimu pro cestovní službu podle § 89.</w:t>
      </w:r>
    </w:p>
    <w:p w14:paraId="0CA36D4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Snížené sazbě daně tak i nadále nebude podléhat poskytování služeb taxislužby, která je zákonem č. 111/1994 Sb., o silniční dopravě, ve znění pozdějších předpisů, vymezena jako osobní doprava pro cizí potřeby, kterou se zajišťuje přeprava osob včetně jejich zavazadel vozidly určenými k přepravě nejvýše 9 osob včetně řidiče a která není linkovou osobní dopravou, mezinárodní kyvadlovou dopravou nebo příležitostnou osobní silniční dopravou.</w:t>
      </w:r>
    </w:p>
    <w:p w14:paraId="74A52E7C" w14:textId="68CEA156"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návaznosti na tuto změnu je doplněno uplatňování snížené sazby daně i u zvláštní linkové dopravy vymezené v § 2 odst. 7 písm. b) zákona č. 111/1994 Sb., o silniční dopravě, ve znění pozdějších předpisů. Zvláštní linkovou dopravou se rozumí např. služby poskytnuté přepravcem určité vymezené množině příjemců (určené např. pro zaměstnance konkrétní firmy nebo firem) s vyloučením ostatních osob, která sice jsou poskytovány na určené trase dopravní cesty, přičemž cestující vystupují a nastupují na předem určených zastávkách, avšak dosud tyto </w:t>
      </w:r>
      <w:r w:rsidRPr="003730B5">
        <w:rPr>
          <w:rFonts w:ascii="Times New Roman" w:hAnsi="Times New Roman"/>
          <w:color w:val="auto"/>
          <w:sz w:val="24"/>
        </w:rPr>
        <w:lastRenderedPageBreak/>
        <w:t xml:space="preserve">služby nemohly být osvobozeny z důvodu neexistence předepsaným způsobem schválených jízdních řádů (viz např. rozsudek Krajského soudu v Českých Budějovicích spis. zn. 10 Af 42/2015 ze dne 28. </w:t>
      </w:r>
      <w:r w:rsidR="00820D28" w:rsidRPr="003730B5">
        <w:rPr>
          <w:rFonts w:ascii="Times New Roman" w:hAnsi="Times New Roman"/>
          <w:color w:val="auto"/>
          <w:sz w:val="24"/>
        </w:rPr>
        <w:t>6.</w:t>
      </w:r>
      <w:r w:rsidRPr="003730B5">
        <w:rPr>
          <w:rFonts w:ascii="Times New Roman" w:hAnsi="Times New Roman"/>
          <w:color w:val="auto"/>
          <w:sz w:val="24"/>
        </w:rPr>
        <w:t xml:space="preserve"> 2017).</w:t>
      </w:r>
    </w:p>
    <w:p w14:paraId="7FF5537D"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(Příloha č. 2a)</w:t>
      </w:r>
    </w:p>
    <w:p w14:paraId="0190D9C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důsledku zavedení jedné snížené sazby daně z přidané hodnoty ve výši 12 % dochází ke zrušení přílohy č. 2a, ve které byl vymezen seznam služeb podléhajících druhé snížené sazbě daně. Služby podléhající snížené sazbě daně se vymezují v příloze č. 2.</w:t>
      </w:r>
    </w:p>
    <w:p w14:paraId="2CFF420B"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(nadpis Přílohy č. 3)</w:t>
      </w:r>
    </w:p>
    <w:p w14:paraId="579573E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úprava souvisí se zrušením první snížené sazby daně ve výši 15 % a druhé snížené sazby daně ve výši 10 %, a zavedením jedné snížené sazby daně z přidané hodnoty ve výši 12 %.</w:t>
      </w:r>
    </w:p>
    <w:p w14:paraId="1B8CCE23" w14:textId="77777777" w:rsidR="00133AC8" w:rsidRPr="003730B5" w:rsidRDefault="00133AC8" w:rsidP="00133AC8">
      <w:pPr>
        <w:pStyle w:val="Dvodovzprvakbodu"/>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(Příloha č. 3 položka 01-05, 07-23, 25)</w:t>
      </w:r>
    </w:p>
    <w:p w14:paraId="03CCC2B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 důvodu existence jedné snížené sazby daně, na místo dvou sazeb daně, se upravuje rozsah položek v Příloze č. 3.</w:t>
      </w:r>
    </w:p>
    <w:p w14:paraId="6156FAE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snížit DPH u řady aktuálně citlivého zboží jako např. u potravin. Veškeré nápoje (alkoholické či nealkoholické) naopak podléhají nově základní sazbě daně. Výjimkou jsou tekuté mléčné výrobky zařazené do KN 04, u nichž se uplatní snížená sazba daně 12 % jako u potravin.</w:t>
      </w:r>
    </w:p>
    <w:p w14:paraId="60E4B65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Položky 0402, 0404, 1901, 2106 „Počáteční a pokračovací kojenecká výživa a potraviny pro malé děti“ a 0801, 1101 až 1106, 1201, 1204, 1206 až 1208, 1212, 1214, 2004, 2005 „Mlýnské výrobky, a to z obilovin, které jsou uvedeny pod kódy nomenklatury celního sazebníku v kapitole 10, z výrobků, které jsou uvedeny pod kódy nomenklatury celního sazebníku v kapitolách 8 a 12, z brambor, ze sušených luštěnin čísla 0713, ze sága nebo z kořenů nebo hlíz čísla 0714 nebo z výrobků kapitoly 8. Směsi těchto mlýnských výrobků“, dále položky 1107 až 1109, 1903, 3505 „Slad, škroby, pšeničný lepek a směsi těchto výrobků“ a 1806, 1901, 2004, 2005, 2103, 2106 „Upravené mlýnské výrobky a připravené směsi k přípravě potravin pro osoby s nesnášenlivostí lepku“ se nově pod tuto položku podřazují pod obecnou položku potraviny (tj. aplikuje se zde sazba daně 12 %), jelikož se ve všech uvedených případech obecně jedná o potraviny, tj. není tak nutné je výslovně uvádět do Přílohy č. 3.</w:t>
      </w:r>
    </w:p>
    <w:p w14:paraId="41338DC1"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(Příloha č. 3 položka 2201)</w:t>
      </w:r>
    </w:p>
    <w:p w14:paraId="71D20BC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Dochází k doplnění stávající definice pitné vody z důvodu právní jistoty, nejedná se o věcnou změnu. Nadále je tak studená i teplá voda dodávaná odběratelům vodovodem ve snížené sazbě daně.</w:t>
      </w:r>
    </w:p>
    <w:p w14:paraId="221A3233"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(Příloha č. 3 položka 0601, 0602)</w:t>
      </w:r>
    </w:p>
    <w:p w14:paraId="620499D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případě řezaných květin a dekorativního listoví se navrhuje uplatňovat základní sazbu daně.</w:t>
      </w:r>
    </w:p>
    <w:p w14:paraId="658E48E8"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(Příloha č. 3 položka 28-30)</w:t>
      </w:r>
    </w:p>
    <w:p w14:paraId="1E8FE5E4" w14:textId="3EC44471"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 důvodu sloučení první a druhé snížené sazby daně ve výši 10 % a 15 % do jedné společné snížené sazby daně ve výši 12 % je v příloze č. 3 vytvořena nová položka s kódem nomenklatury celního sazebníku 28-30, která obsahuje zboží, jehož slovní popis byl uveden k tomuto kódu v původní příloze č. 3 k zákonu o </w:t>
      </w:r>
      <w:r w:rsidR="002D4821" w:rsidRPr="003730B5">
        <w:rPr>
          <w:rFonts w:ascii="Times New Roman" w:hAnsi="Times New Roman"/>
          <w:color w:val="auto"/>
          <w:sz w:val="24"/>
        </w:rPr>
        <w:t xml:space="preserve">dani </w:t>
      </w:r>
      <w:r w:rsidR="00D03256" w:rsidRPr="003730B5">
        <w:rPr>
          <w:rFonts w:ascii="Times New Roman" w:hAnsi="Times New Roman"/>
          <w:color w:val="auto"/>
          <w:sz w:val="24"/>
        </w:rPr>
        <w:t>z </w:t>
      </w:r>
      <w:r w:rsidR="002D4821" w:rsidRPr="003730B5">
        <w:rPr>
          <w:rFonts w:ascii="Times New Roman" w:hAnsi="Times New Roman"/>
          <w:color w:val="auto"/>
          <w:sz w:val="24"/>
        </w:rPr>
        <w:t>přidané hodnoty</w:t>
      </w:r>
      <w:r w:rsidRPr="003730B5">
        <w:rPr>
          <w:rFonts w:ascii="Times New Roman" w:hAnsi="Times New Roman"/>
          <w:color w:val="auto"/>
          <w:sz w:val="24"/>
        </w:rPr>
        <w:t xml:space="preserve">, to znamená radiofarmaka, sorbit pro diabetiky, aspartam, sacharin a jeho soli, antibiotika a farmaceutické výrobky s tím, že zůstává zachována základní podmínka pro uplatnění snížené sazby daně u této kategorie zboží, že se musí jednat o prostředky určené jen pro zdravotní služby, prevenci nemocí a léčbu výhradně pro humánní lékařské účely. Do této nové položky je dále přiřazeno </w:t>
      </w:r>
      <w:r w:rsidRPr="003730B5">
        <w:rPr>
          <w:rFonts w:ascii="Times New Roman" w:hAnsi="Times New Roman"/>
          <w:color w:val="auto"/>
          <w:sz w:val="24"/>
        </w:rPr>
        <w:lastRenderedPageBreak/>
        <w:t>i zboží zařazené do číselných kódů nomenklatury celního sazebníku 2843-2846, 2852, 3002, 3003, 3004, 3006, které bylo zahrnuto v původní příloze č. 3a k zákonu o </w:t>
      </w:r>
      <w:r w:rsidR="002D4821" w:rsidRPr="003730B5">
        <w:rPr>
          <w:rFonts w:ascii="Times New Roman" w:hAnsi="Times New Roman"/>
          <w:color w:val="auto"/>
          <w:sz w:val="24"/>
        </w:rPr>
        <w:t xml:space="preserve">dani </w:t>
      </w:r>
      <w:r w:rsidR="00D03256" w:rsidRPr="003730B5">
        <w:rPr>
          <w:rFonts w:ascii="Times New Roman" w:hAnsi="Times New Roman"/>
          <w:color w:val="auto"/>
          <w:sz w:val="24"/>
        </w:rPr>
        <w:t>z </w:t>
      </w:r>
      <w:r w:rsidR="002D4821" w:rsidRPr="003730B5">
        <w:rPr>
          <w:rFonts w:ascii="Times New Roman" w:hAnsi="Times New Roman"/>
          <w:color w:val="auto"/>
          <w:sz w:val="24"/>
        </w:rPr>
        <w:t>přidané hodnoty</w:t>
      </w:r>
      <w:r w:rsidRPr="003730B5">
        <w:rPr>
          <w:rFonts w:ascii="Times New Roman" w:hAnsi="Times New Roman"/>
          <w:color w:val="auto"/>
          <w:sz w:val="24"/>
        </w:rPr>
        <w:t>. Jedná se o radiofarmaka, očkovací látky, léky, kontrastní prostředky pro rentgenová vyšetření, diagnostické reagencie určené k podávání pacientům a chemické antikoncepční přípravky na hormonálním základě s tím, že zůstává zachována výchozí podmínka pro uplatnění snížené sazby daně u této kategorie zboží, že se musí jednat o prostředky určené nejen pro zdravotní služby, ale taktéž i pro veterinární služby, dále pro prevenci nemocí a léčbu jak pro humánní lékařské účely, tak i pro veterinární lékařské účely.</w:t>
      </w:r>
    </w:p>
    <w:p w14:paraId="11732E1A"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(Příloha č. 3 položka 4902 90, 4904, 4905, 4911, 8523)</w:t>
      </w:r>
    </w:p>
    <w:p w14:paraId="0ABC5FD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Pod KN 4902 90 spadají noviny, časopisy a periodika vycházející maximálně třikrát týdně. Například časopis nebo jiné periodikum, které vychází jednou měsíčně tak bude ve snížené sazbě daně. Do snížené sazby daně tak nespadnou noviny nebo jiná periodika, která obvykle vychází denně nebo šestkrát týdně. Příloha (například televizní program) obsažená v novinách podléhající základní sazbě daně jako nedílná součást novin podléhá stejnému daňovému režimu jako plnění hlavní, tj. dodání novin.</w:t>
      </w:r>
    </w:p>
    <w:p w14:paraId="77B6282D"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(Příloha č. 3 položka 4401)</w:t>
      </w:r>
    </w:p>
    <w:p w14:paraId="22303B7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Cílem této změny sazby daně je sjednotit sazbu daně u všech paliv, neboť pouze palivové dříví mělo výjimku v podobě snížené sazby daně. Tento krok je také v souladu s cílem bodu 15) odst. 4 Směrnice Rady (EU) 2022/542 ze dne 5. dubna 2022, kterou se mění směrnice 2006/112/ES a (EU) 2020/285, pokud jde o sazby daně z přidané hodnoty, kde se předpokládá nemožnost uplatňovat snížení sazbě daně u palivového dřeva.</w:t>
      </w:r>
    </w:p>
    <w:p w14:paraId="2F65F41C"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(Příloha č. 3)</w:t>
      </w:r>
    </w:p>
    <w:p w14:paraId="7552B2A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Jedná se o legislativně technické úpravy spočívající v doplnění chybějící čárky a odstranění nadbytečného odkazu na poznámku pod čarou č. 72.</w:t>
      </w:r>
    </w:p>
    <w:p w14:paraId="009BD03D"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(Příloha č. 3)</w:t>
      </w:r>
    </w:p>
    <w:p w14:paraId="7490707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Navrhovaná úprava souvisí se zrušením první snížené sazby daně ve výši 15 % a druhé snížené sazby daně ve výši 10 %, a zavedením jedné snížené sazby daně z přidané hodnoty ve výši 12 %.</w:t>
      </w:r>
    </w:p>
    <w:p w14:paraId="6437DAA0"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(Příloha č. 3)</w:t>
      </w:r>
    </w:p>
    <w:p w14:paraId="4DCB1D7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Definice alkoholických nápojů se vypouští pro nadbytečnost, jelikož již tento pojem není používán.</w:t>
      </w:r>
    </w:p>
    <w:p w14:paraId="04373DCC"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(Příloha č. 3a)</w:t>
      </w:r>
    </w:p>
    <w:p w14:paraId="564A787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důsledku zavedení jedné snížené sazby daně z přidané hodnoty dochází ke zrušení přílohy č. 3a, ve které byl vymezen seznam zboží podléhajícího druhé snížené sazbě daně.</w:t>
      </w:r>
    </w:p>
    <w:p w14:paraId="01FCB119"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třicáté čtvrté – Změna zákona o zaměstnanosti</w:t>
      </w:r>
    </w:p>
    <w:p w14:paraId="5622B837" w14:textId="77777777" w:rsidR="00133AC8" w:rsidRPr="003730B5" w:rsidRDefault="00133AC8" w:rsidP="00133AC8">
      <w:pPr>
        <w:widowControl w:val="0"/>
        <w:spacing w:after="120"/>
        <w:rPr>
          <w:rFonts w:cs="Arial"/>
          <w:b/>
          <w:bCs/>
          <w:i/>
          <w:iCs/>
          <w:szCs w:val="28"/>
        </w:rPr>
      </w:pPr>
      <w:bookmarkStart w:id="12" w:name="_Hlk129078022"/>
      <w:r w:rsidRPr="003730B5">
        <w:rPr>
          <w:rFonts w:cs="Arial"/>
          <w:b/>
          <w:bCs/>
          <w:i/>
          <w:iCs/>
          <w:szCs w:val="28"/>
        </w:rPr>
        <w:t>Zrušení odsouvání podpůrčí doby a v návaznosti na to zrušení institutu kompenzace</w:t>
      </w:r>
    </w:p>
    <w:p w14:paraId="0D01EF4D" w14:textId="77777777" w:rsidR="00133AC8" w:rsidRPr="003730B5" w:rsidRDefault="00133AC8" w:rsidP="00133AC8">
      <w:pPr>
        <w:widowControl w:val="0"/>
        <w:spacing w:after="120"/>
      </w:pPr>
      <w:r w:rsidRPr="003730B5">
        <w:rPr>
          <w:szCs w:val="24"/>
        </w:rPr>
        <w:t>Ministerstvo práce a sociálních věcí je podle zákona č. 2/1969 Sb., o zřízení ministerstev a jiných ústředních orgánů státní správy České republiky, ve znění pozdějších předpisů (tzv. kompetenční zákon), ústředním orgánem státní správy, do jehož kompetence z věcného hlediska patří také oblast zaměstnanosti a péče o občany, kteří potřebují zvláštní pomoc, oblast zprostředkování zaměstnání a také aktivní politiky zaměstnanosti. Zákon o zaměstnanosti</w:t>
      </w:r>
      <w:r w:rsidRPr="003730B5">
        <w:rPr>
          <w:color w:val="FF0000"/>
          <w:szCs w:val="24"/>
        </w:rPr>
        <w:t xml:space="preserve"> </w:t>
      </w:r>
      <w:r w:rsidRPr="003730B5">
        <w:rPr>
          <w:szCs w:val="24"/>
        </w:rPr>
        <w:t>upravuje zabezpečování státní politiky zaměstnanosti. Jednou z oblastí je také podpora v nezaměstnanosti.</w:t>
      </w:r>
    </w:p>
    <w:bookmarkEnd w:id="12"/>
    <w:p w14:paraId="1E4614DF" w14:textId="77777777" w:rsidR="00133AC8" w:rsidRPr="003730B5" w:rsidRDefault="00133AC8" w:rsidP="00133AC8">
      <w:pPr>
        <w:widowControl w:val="0"/>
        <w:spacing w:after="120"/>
        <w:rPr>
          <w:color w:val="000000"/>
          <w:szCs w:val="24"/>
        </w:rPr>
      </w:pPr>
      <w:r w:rsidRPr="003730B5">
        <w:rPr>
          <w:color w:val="000000"/>
          <w:szCs w:val="24"/>
        </w:rPr>
        <w:lastRenderedPageBreak/>
        <w:t xml:space="preserve">Podle stávající právní úpravy se podpora v nezaměstnanosti poskytne až po uplynutí doby, která se určí podle počtu násobků průměrného výdělku nebo měsíčního služebního příjmu, ze kterých byla odvozena minimální výše odstupného, odbytného nebo odchodného. </w:t>
      </w:r>
    </w:p>
    <w:p w14:paraId="019B75D3" w14:textId="77777777" w:rsidR="00133AC8" w:rsidRPr="003730B5" w:rsidRDefault="00133AC8" w:rsidP="00133AC8">
      <w:pPr>
        <w:widowControl w:val="0"/>
        <w:spacing w:after="120"/>
        <w:rPr>
          <w:color w:val="000000"/>
          <w:szCs w:val="24"/>
        </w:rPr>
      </w:pPr>
      <w:r w:rsidRPr="003730B5">
        <w:rPr>
          <w:bCs/>
          <w:szCs w:val="24"/>
        </w:rPr>
        <w:t xml:space="preserve">Kompenzaci poskytuje Úřad práce České republiky (dále jen „Úřad práce“) uchazeči </w:t>
      </w:r>
      <w:r w:rsidRPr="003730B5">
        <w:rPr>
          <w:bCs/>
          <w:szCs w:val="24"/>
        </w:rPr>
        <w:br/>
        <w:t xml:space="preserve">o zaměstnání, kterému vznikl nárok na podporu v nezaměstnanosti, ale odstupné mu nebylo vyplaceno po skončení pracovního nebo služebního poměru v nejbližším výplatním termínu anebo v den skončení zaměstnání, a to za dobu od zařazení do evidence uchazečů o zaměstnání do uplynutí doby, po kterou mělo odstupné v jeho minimální výši náležet. </w:t>
      </w:r>
      <w:r w:rsidRPr="003730B5">
        <w:rPr>
          <w:color w:val="000000"/>
          <w:szCs w:val="24"/>
        </w:rPr>
        <w:t>Výše kompenzace je stanovena jako násobek doby, za kterou náleží odstupné, a 65 % průměrného měsíčního čistého výdělku.</w:t>
      </w:r>
    </w:p>
    <w:p w14:paraId="4403C5B7" w14:textId="77777777" w:rsidR="00133AC8" w:rsidRPr="003730B5" w:rsidRDefault="00133AC8" w:rsidP="00133AC8">
      <w:pPr>
        <w:widowControl w:val="0"/>
        <w:spacing w:after="120"/>
        <w:rPr>
          <w:color w:val="000000"/>
          <w:szCs w:val="24"/>
        </w:rPr>
      </w:pPr>
      <w:r w:rsidRPr="003730B5">
        <w:rPr>
          <w:color w:val="000000"/>
          <w:szCs w:val="24"/>
        </w:rPr>
        <w:t xml:space="preserve">Navrhuje se zrušit odsunutí počátku běhu podpůrčí doby u uchazeče o zaměstnání, kterému vznikl nárok na podporu v nezaměstnanosti, ale z posledního zaměstnání mu bylo vyplaceno odstupné, odbytné nebo odchodné. Podle stávající právní úpravy se podpora v nezaměstnanosti poskytne až po uplynutí doby, která se určí podle počtu násobků průměrného výdělku nebo měsíčního služebního příjmu, ze kterých byla odvozena minimální výše odstupného, odbytného nebo odchodného. Navrhovaná změna směřuje k tomu, aby podpora v nezaměstnanosti byla uchazeči o zaměstnání poskytována od prvního dne bez ohledu na to, zda mu vznikl nárok na odstupné, a bez ohledu na to, zda odstupné bylo zaměstnavatelem vyplaceno či nikoliv. </w:t>
      </w:r>
    </w:p>
    <w:p w14:paraId="5FC4E1CF" w14:textId="77777777" w:rsidR="00133AC8" w:rsidRPr="003730B5" w:rsidRDefault="00133AC8" w:rsidP="00133AC8">
      <w:pPr>
        <w:widowControl w:val="0"/>
        <w:spacing w:after="120"/>
        <w:rPr>
          <w:color w:val="000000"/>
          <w:szCs w:val="24"/>
        </w:rPr>
      </w:pPr>
      <w:r w:rsidRPr="003730B5">
        <w:rPr>
          <w:color w:val="000000"/>
          <w:szCs w:val="24"/>
        </w:rPr>
        <w:t xml:space="preserve">Zrušením odsunutí počátku běhu podpůrčí doby u podpory v nezaměstnanosti bude institutu odstupného navrácen jeho původní smysl, a to, že se jedná o určitou finanční satisfakci zaměstnanci, který ztratil zaměstnání z organizačních důvodů bez svého zavinění.  </w:t>
      </w:r>
    </w:p>
    <w:p w14:paraId="1F17AFD2" w14:textId="77777777" w:rsidR="00133AC8" w:rsidRPr="003730B5" w:rsidRDefault="00133AC8" w:rsidP="00133AC8">
      <w:pPr>
        <w:widowControl w:val="0"/>
        <w:spacing w:after="120"/>
        <w:rPr>
          <w:color w:val="000000"/>
          <w:szCs w:val="24"/>
        </w:rPr>
      </w:pPr>
      <w:r w:rsidRPr="003730B5">
        <w:rPr>
          <w:color w:val="000000"/>
          <w:szCs w:val="24"/>
        </w:rPr>
        <w:t xml:space="preserve">V návaznosti na to se navrhuje zrušit institut tzv. </w:t>
      </w:r>
      <w:r w:rsidRPr="003730B5">
        <w:rPr>
          <w:i/>
          <w:color w:val="000000"/>
          <w:szCs w:val="24"/>
        </w:rPr>
        <w:t>kompenzace</w:t>
      </w:r>
      <w:r w:rsidRPr="003730B5">
        <w:rPr>
          <w:color w:val="000000"/>
          <w:szCs w:val="24"/>
        </w:rPr>
        <w:t xml:space="preserve">, který se v souvislosti s návrhem na zrušení odsouvání podpůrčí doby stane nadbytečným.  Kompenzaci poskytuje Úřad práce uchazeči o zaměstnání, kterému vznikl nárok na podporu </w:t>
      </w:r>
    </w:p>
    <w:p w14:paraId="6AC0DB29" w14:textId="77777777" w:rsidR="00133AC8" w:rsidRPr="003730B5" w:rsidRDefault="00133AC8" w:rsidP="00133AC8">
      <w:pPr>
        <w:widowControl w:val="0"/>
        <w:spacing w:after="120"/>
        <w:rPr>
          <w:color w:val="000000"/>
          <w:szCs w:val="24"/>
        </w:rPr>
      </w:pPr>
      <w:r w:rsidRPr="003730B5">
        <w:rPr>
          <w:color w:val="000000"/>
          <w:szCs w:val="24"/>
        </w:rPr>
        <w:t>v nezaměstnanosti, ale odstupné mu nebylo vyplaceno po skončení pracovního nebo služebního poměru v nejbližším výplatním termínu anebo v den skončení zaměstnání, a to za dobu od zařazení do evidence uchazečů o zaměstnání do uplynutí doby, po kterou mělo odstupné v jeho minimální výši náležet. Výše kompenzace je stanovena jako násobek doby, za kterou náleží odstupné, a 65 % průměrného měsíčního čistého výdělku. Na rozdíl od podpory v nezaměstnanosti kompenzace nemá maximální limit („strop“), nemá omezení pro opakované poskytnutí, a to ani v rámci shodného zaměstnavatele, a není stanovena povinnost uchazeče vrátit kompenzaci, pokud by byla vyplacena neprávem. V praxi Úřadu práce se výjimečně objevovaly i částky kompenzace přesahující 100 000 Kč.</w:t>
      </w:r>
    </w:p>
    <w:p w14:paraId="03A4A5DD" w14:textId="77777777" w:rsidR="00133AC8" w:rsidRPr="003730B5" w:rsidRDefault="00133AC8" w:rsidP="00133AC8">
      <w:pPr>
        <w:widowControl w:val="0"/>
        <w:spacing w:after="120"/>
        <w:rPr>
          <w:color w:val="000000"/>
          <w:szCs w:val="24"/>
        </w:rPr>
      </w:pPr>
      <w:r w:rsidRPr="003730B5">
        <w:rPr>
          <w:color w:val="000000"/>
          <w:szCs w:val="24"/>
        </w:rPr>
        <w:t xml:space="preserve">V souvislosti s institutem kompenzace lze poukázat na negativní jevy, k nimž v praxi dochází. Jedná se například o situace, kdy institutu kompenzace ryze účelově využijí osoby, kterým není po ukončení zaměstnání vyplaceno odstupné, a které využívají zařazení do evidence uchazečů o zaměstnání bez skutečného zájmu o zprostředkování zaměstnání. Po obdržení kompenzace tyto osoby často nastoupí do zaměstnání, které mají již předem dohodnuto, nástup do zaměstnání však odsunou až po vyplacení kompenzace. </w:t>
      </w:r>
    </w:p>
    <w:p w14:paraId="5E7BCD53" w14:textId="77777777" w:rsidR="00133AC8" w:rsidRPr="003730B5" w:rsidRDefault="00133AC8" w:rsidP="00133AC8">
      <w:pPr>
        <w:widowControl w:val="0"/>
        <w:spacing w:after="120"/>
        <w:rPr>
          <w:color w:val="000000"/>
          <w:szCs w:val="24"/>
        </w:rPr>
      </w:pPr>
      <w:r w:rsidRPr="003730B5">
        <w:rPr>
          <w:color w:val="000000"/>
          <w:szCs w:val="24"/>
        </w:rPr>
        <w:t xml:space="preserve">Ze strany těch zaměstnanců, se kterými zaměstnavatel rozvázal pracovní poměr se vznikem nároku na odstupné, které jim však nevyplatil, ale kteří bezprostředně po ukončení jednoho zaměstnání navážou nástupem do dalšího zaměstnání, je výplata kompenzace vnímána vůči nim jako nespravedlivá. Tyto osoby řeší uplatnění svého nároku na odstupné občanskoprávní cestou, na rozdíl od těch, kteří nepřejdou ihned do dalšího zaměstnání a využijí uspokojení svého nároku na odstupné v rámci institutu kompenzace, kterou pak vymáhá Úřad práce v rámci dalších administrativně náročných procesů. </w:t>
      </w:r>
    </w:p>
    <w:p w14:paraId="4E80D247" w14:textId="77777777" w:rsidR="00133AC8" w:rsidRPr="003730B5" w:rsidRDefault="00133AC8" w:rsidP="00133AC8">
      <w:pPr>
        <w:widowControl w:val="0"/>
        <w:spacing w:after="120"/>
        <w:rPr>
          <w:color w:val="000000"/>
          <w:szCs w:val="24"/>
        </w:rPr>
      </w:pPr>
      <w:r w:rsidRPr="003730B5">
        <w:rPr>
          <w:color w:val="000000"/>
          <w:szCs w:val="24"/>
        </w:rPr>
        <w:t xml:space="preserve">Institut kompenzace je nestandardním institutem, který vznikl nad rámec ochrany zaměstnanců </w:t>
      </w:r>
      <w:r w:rsidRPr="003730B5">
        <w:rPr>
          <w:color w:val="000000"/>
          <w:szCs w:val="24"/>
        </w:rPr>
        <w:lastRenderedPageBreak/>
        <w:t>při nevyplácení mzdy (včetně odstupného), což je pokryto zákonem č. 118/2000 Sb., o ochraně zaměstnanců při platební neschopnosti zaměstnavatele a o změně některých zákonů, ve znění pozdějších předpisů. Úřad práce zde nadbytečně a duplicitně vstupuje do soukromoprávního vztahu mezi zaměstnancem a zaměstnavatelem. Institut kompenzace byl zaveden od roku 2012 právě v souvislosti se zavedením odsouvání počátku běhu podpůrčí doby při výplatě odstupného. Navrhované řešení odstraní uvedené problémy a současně sníží administrativní zátěž Úřadu práce.</w:t>
      </w:r>
    </w:p>
    <w:p w14:paraId="3F0FC190" w14:textId="77777777" w:rsidR="00133AC8" w:rsidRPr="003730B5" w:rsidRDefault="00133AC8" w:rsidP="00133AC8">
      <w:pPr>
        <w:widowControl w:val="0"/>
        <w:spacing w:after="120"/>
        <w:rPr>
          <w:rFonts w:cs="Arial"/>
          <w:b/>
          <w:bCs/>
          <w:i/>
          <w:iCs/>
          <w:szCs w:val="28"/>
        </w:rPr>
      </w:pPr>
      <w:r w:rsidRPr="003730B5">
        <w:rPr>
          <w:rFonts w:cs="Arial"/>
          <w:b/>
          <w:bCs/>
          <w:i/>
          <w:iCs/>
          <w:szCs w:val="28"/>
        </w:rPr>
        <w:t xml:space="preserve">Zpřísnění podmínek pro poskytování podpory v nezaměstnanosti při opakovaném vedení v evidenci uchazečů o zaměstnání </w:t>
      </w:r>
    </w:p>
    <w:p w14:paraId="5A818DFF" w14:textId="2E960DCA" w:rsidR="00133AC8" w:rsidRPr="003730B5" w:rsidRDefault="00133AC8" w:rsidP="00133AC8">
      <w:pPr>
        <w:widowControl w:val="0"/>
        <w:spacing w:after="120"/>
      </w:pPr>
      <w:r w:rsidRPr="003730B5">
        <w:t>Podle ustanovení § 39 odst. 1 písm. a) zákona o zaměstnanosti má nárok na podporu v nezaměstnanosti uchazeč o zaměstnání, který získal v rozhodném období zaměstnáním nebo jinou výdělečnou činností dobu důchodového pojištění podle zákona č. 155/1995 Sb.,</w:t>
      </w:r>
      <w:r w:rsidR="00C75037" w:rsidRPr="003730B5">
        <w:t xml:space="preserve"> </w:t>
      </w:r>
      <w:r w:rsidR="00A42930" w:rsidRPr="003730B5">
        <w:rPr>
          <w:szCs w:val="24"/>
        </w:rPr>
        <w:t>o </w:t>
      </w:r>
      <w:r w:rsidR="00C75037" w:rsidRPr="003730B5">
        <w:rPr>
          <w:szCs w:val="24"/>
        </w:rPr>
        <w:t>důchodovém pojištění, ve znění pozdějších předpisů,</w:t>
      </w:r>
      <w:r w:rsidRPr="003730B5">
        <w:t xml:space="preserve"> v délce alespoň 12 měsíců; překrývají-li se doby důchodového pojištění, započítávají se jen jednou. Současně musí uchazeč o zaměstnání splnit podmínku, že ke dni, k němuž má být podpora v nezaměstnanosti přiznána, není poživatelem starobního důchodu. </w:t>
      </w:r>
    </w:p>
    <w:p w14:paraId="373163ED" w14:textId="77777777" w:rsidR="00133AC8" w:rsidRPr="003730B5" w:rsidRDefault="00133AC8" w:rsidP="00133AC8">
      <w:pPr>
        <w:widowControl w:val="0"/>
        <w:spacing w:after="120"/>
      </w:pPr>
      <w:r w:rsidRPr="003730B5">
        <w:t xml:space="preserve">Rozhodným obdobím pro posuzování nároků na podporu v nezaměstnanosti jsou poslední 2 roky před zařazením do evidence uchazečů o zaměstnání. </w:t>
      </w:r>
    </w:p>
    <w:p w14:paraId="7CD35156" w14:textId="32D55B58" w:rsidR="00133AC8" w:rsidRPr="003730B5" w:rsidRDefault="00133AC8" w:rsidP="00133AC8">
      <w:pPr>
        <w:widowControl w:val="0"/>
        <w:spacing w:after="120"/>
      </w:pPr>
      <w:r w:rsidRPr="003730B5">
        <w:t>Podle stávající právní úpravy má uchazeč o zaměstnání, kterému v posledních 2 letech před zařazením do evidence uchazečů o zaměstnání neuplynula celá podpůrčí doba a po uplynutí části podpůrčí doby získal zaměstnáním nebo jinou výdělečnou činností dobu důchodového pojištění podle zákona č. 155/1995 Sb.</w:t>
      </w:r>
      <w:r w:rsidR="00C75037" w:rsidRPr="003730B5">
        <w:t xml:space="preserve">, </w:t>
      </w:r>
      <w:r w:rsidR="00A42930" w:rsidRPr="003730B5">
        <w:rPr>
          <w:szCs w:val="24"/>
        </w:rPr>
        <w:t>o </w:t>
      </w:r>
      <w:r w:rsidR="00C75037" w:rsidRPr="003730B5">
        <w:rPr>
          <w:szCs w:val="24"/>
        </w:rPr>
        <w:t>důchodovém pojištění, ve znění pozdějších předpisů,</w:t>
      </w:r>
      <w:r w:rsidRPr="003730B5">
        <w:rPr>
          <w:rFonts w:ascii="Arial" w:hAnsi="Arial" w:cs="Arial"/>
          <w:sz w:val="20"/>
        </w:rPr>
        <w:t xml:space="preserve"> </w:t>
      </w:r>
      <w:r w:rsidRPr="003730B5">
        <w:t>v délce alespoň 3 měsíců, nárok na podporu v nezaměstnanosti po celou podpůrčí dobu. Jestliže získal zaměstnáním nebo jinou výdělečnou činností dobu důchodového pojištění v délce kratší než 3 měsíce, má uchazeč o zaměstnání nárok na podporu v nezaměstnanosti po zbývající část podpůrčí doby. Současně musí být splněna podmínka celkové doby předchozího zaměstnání podle § 39 odst. 1 písm. a) zákona o zaměstnanosti.</w:t>
      </w:r>
    </w:p>
    <w:p w14:paraId="51E45311" w14:textId="77777777" w:rsidR="00133AC8" w:rsidRPr="003730B5" w:rsidRDefault="00133AC8" w:rsidP="00133AC8">
      <w:pPr>
        <w:widowControl w:val="0"/>
        <w:spacing w:after="120"/>
      </w:pPr>
      <w:r w:rsidRPr="003730B5">
        <w:t xml:space="preserve">Uchazeč o zaměstnání, kterému v posledních 2 letech před zařazením do evidence uchazečů o zaměstnání uplynula celá podpůrčí doba, má nárok na podporu v nezaměstnanosti, pokud po uplynutí této podpůrčí doby získal zaměstnáním nebo jinou výdělečnou činností dobu důchodového pojištění v délce alespoň 6 měsíců; tato doba se nevyžaduje v případech, kdy uchazeč o zaměstnání skončil zaměstnání nebo výdělečnou činnost ze zdravotních důvodů nebo skončil zaměstnání z důvodů uvedených v zákoně č. 262/2006 Sb., zákoník práce, ve znění pozdějších předpisů (dále jen „zákoník práce“), nebo proto, že zaměstnavatel porušil podstatnou povinnost vyplývající z právních předpisů, kolektivní smlouvy nebo sjednaných pracovních podmínek. Současně musí být splněna podmínka celkové doby předchozího zaměstnání podle§ 39 odst. 1 písm. a) zákona o zaměstnanosti. </w:t>
      </w:r>
    </w:p>
    <w:p w14:paraId="3F5392B6" w14:textId="77777777" w:rsidR="00133AC8" w:rsidRPr="003730B5" w:rsidRDefault="00133AC8" w:rsidP="00133AC8">
      <w:pPr>
        <w:widowControl w:val="0"/>
        <w:spacing w:after="120"/>
      </w:pPr>
      <w:r w:rsidRPr="003730B5">
        <w:t>Do doby 6 měsíců důchodového pojištění se nezapočítává doba důchodového pojištění získaná zaměstnáním nebo jinou výdělečnou činností v době vedení v evidenci uchazečů o zaměstnání podle § 25 odst. 1 a 3 zákona o zaměstnanosti a krátkodobým zaměstnáním.</w:t>
      </w:r>
    </w:p>
    <w:p w14:paraId="04301A4D" w14:textId="0A828B34" w:rsidR="00133AC8" w:rsidRPr="003730B5" w:rsidRDefault="00133AC8" w:rsidP="00133AC8">
      <w:pPr>
        <w:widowControl w:val="0"/>
        <w:spacing w:after="120"/>
      </w:pPr>
      <w:r w:rsidRPr="003730B5">
        <w:t xml:space="preserve">Jako další opatření k zefektivnění výplaty podpory v nezaměstnanosti je proto navrženo zpřísnění podmínek znemožňující spekulativní ukončování evidence a opětovný vstup do evidence uchazečů o zaměstnání za účelem vyplácení podpory v nezaměstnanosti. V případě uchazeče o zaměstnání s nevyčerpanou podpůrčí dobou v opakované evidenci se pro vznik nároku na podporu v nezaměstnanosti navrhuje zvýšit potřebnou délku doby důchodového pojištění </w:t>
      </w:r>
      <w:r w:rsidR="00D03256" w:rsidRPr="003730B5">
        <w:t>z </w:t>
      </w:r>
      <w:r w:rsidRPr="003730B5">
        <w:t xml:space="preserve">3 na 6 měsíců. Pokud uchazeč o zaměstnání získá zaměstnáním nebo jinou výdělečnou činností dobu důchodového pojištění v délce alespoň 6 měsíců, vnikne mu nárok </w:t>
      </w:r>
      <w:r w:rsidRPr="003730B5">
        <w:lastRenderedPageBreak/>
        <w:t xml:space="preserve">na podporu v nezaměstnanosti po celou podpůrčí dobu. Při získání doby důchodového pojištění v délce kratší než 6 měsíců bude mít uchazeč o zaměstnání nárok na podporu v nezaměstnanosti pouze po zbývající část podpůrčí doby.  </w:t>
      </w:r>
    </w:p>
    <w:p w14:paraId="446DA8B4" w14:textId="77777777" w:rsidR="00133AC8" w:rsidRPr="003730B5" w:rsidRDefault="00133AC8" w:rsidP="00133AC8">
      <w:pPr>
        <w:widowControl w:val="0"/>
        <w:spacing w:after="120"/>
      </w:pPr>
      <w:r w:rsidRPr="003730B5">
        <w:t xml:space="preserve">U uchazeče o zaměstnání s vyčerpanou podpůrčí dobou v opakované evidenci se pro vznik nároku na podporu v nezaměstnanosti u vyčerpané podpůrčí doby navrhuje zvýšit délku doby důchodového pojištění z 6 na 9 měsíců. Pro přiznání podpory v nezaměstnanosti bude muset uchazeč o zaměstnání odpracovat alespoň 9 měsíců. Jestliže nezíská dobu důchodového pojištění v délce alespoň 9 měsíců, nevznikne uchazeči o zaměstnání nárok na podporu v nezaměstnanosti. </w:t>
      </w:r>
    </w:p>
    <w:p w14:paraId="3DEDEC17" w14:textId="77777777" w:rsidR="00133AC8" w:rsidRPr="003730B5" w:rsidRDefault="00133AC8" w:rsidP="00133AC8">
      <w:pPr>
        <w:widowControl w:val="0"/>
        <w:spacing w:after="120"/>
      </w:pPr>
      <w:r w:rsidRPr="003730B5">
        <w:t xml:space="preserve">V praxi Úřadu práce se vyskytují případy spekulativního ukončování evidence uchazečů o zaměstnání a nástupu do krátkodobých pracovněprávních vztahů za účelem opětovného poskytování podpory v nezaměstnanosti, ke kterému dochází v navazujících evidencích. Nejsou ojedinělé případy, kdy uchazeči o zaměstnání vyčerpají podpůrčí dobu, po kterou je jim vyplácena podpora v nezaměstnanosti téměř v celém rozsahu, přičemž jim zbývá nedočerpaných pouze několik dní (stačí pouhý jeden den nevyčerpání), poté nastoupí do krátkodobého zaměstnání a po jeho ukončení opětovně vstupují do evidence uchazečů o zaměstnání se záměrem čerpání podpory v nezaměstnanosti, aniž by vynaložili snahu ve výkonu pracovní činnosti pokračovat v nově nalezeném zaměstnání bez nutnosti evidence na Úřadu práce. Vyskytují se též případy bezdůvodného a dobrovolného ukončování zaměstnání, ve kterém by ale zaměstnanec mohl i nadále pracovat, a současně i zaměstnavatel projevuje zájem o setrvání tohoto zaměstnance, nicméně z důvodu čerpání podpory v nezaměstnanosti dochází ke skončení pracovněprávního vztahu. Tento vzorec nežádoucího jednání některé osoby považují za zcela legitimní. Dochází však k nadbytečné finanční zátěži záchranného sociálního systému financovaného z veřejných rozpočtů, ačkoliv nelze opominout fakt, že i tyto osoby svými zákonnými odvody do systému přispěly. </w:t>
      </w:r>
    </w:p>
    <w:p w14:paraId="6B86FB01" w14:textId="77777777" w:rsidR="00133AC8" w:rsidRPr="003730B5" w:rsidRDefault="00133AC8" w:rsidP="00133AC8">
      <w:pPr>
        <w:widowControl w:val="0"/>
        <w:spacing w:after="120"/>
      </w:pPr>
      <w:r w:rsidRPr="003730B5">
        <w:t xml:space="preserve">Navrhovanou právní úpravou dojde k prodloužení doby důchodového pojištění potřebné pro vznik nároku na podporu v nezaměstnanosti v případech, kdy v poslední evidenci uchazečů o zaměstnání v rozhodném období nedošlo k vyčerpání celé podpůrčí doby, ale též pro případy, kdy uchazeč o zaměstnání celou podpůrčí dobu vyčerpal. Podpora v nezaměstnanosti má sloužit k překlenutí nepříznivé životní situace související se ztrátou zaměstnání a příjmu z tohoto zaměstnání. S ohledem na primární účel podpory v nezaměstnanosti není přijatelné tolerovat takové jednání, při kterém dochází ke spekulativnímu ukončování vedení v evidenci uchazečů o zaměstnání a následnému vstupu do této evidence z důvodu čerpání podpory v nezaměstnanosti. </w:t>
      </w:r>
    </w:p>
    <w:p w14:paraId="34584E99" w14:textId="77777777" w:rsidR="00133AC8" w:rsidRPr="003730B5" w:rsidRDefault="00133AC8" w:rsidP="00133AC8">
      <w:pPr>
        <w:widowControl w:val="0"/>
        <w:spacing w:after="120"/>
      </w:pPr>
      <w:r w:rsidRPr="003730B5">
        <w:t xml:space="preserve">Cílem předkládaného návrhu zákona je u případů opakovaného vedení v evidenci uchazečů o zaměstnání v rozhodném období znesnadnit zneužívání systému podpory v nezaměstnanosti osobami, které jsou schopné pracovat a mohou se tak řádně zapojit na trh práce. Vedlejší a neméně důležitý přínos tohoto opatření spočívá ve zvýšení motivace zaměstnanců vykonávat pracovní činnost zakládající povinnost odvádět důchodové pojištění po delší časové období, což pozitivně ovlivní též do budoucna splnění podmínky získání potřebné odpracované doby pro odchod do starobního důchodu, a to i s ohledem na záměr zvýšení věku pro odchod do penze. Přetrvávající nedostatek volné pracovní síly na českém trhu práce přispívá k ekonomické aktivitě osob a k získání potřebné doby důchodového pojištění, a proto prodloužení délky doby důchodového pojištění nepředstavuje zásadní překážku pro vznik nároku na podporu v nezaměstnanosti v případě opakovaných evidencí.  </w:t>
      </w:r>
    </w:p>
    <w:p w14:paraId="3ACC1987" w14:textId="6365A1ED" w:rsidR="00133AC8" w:rsidRPr="003730B5" w:rsidRDefault="00133AC8" w:rsidP="00133AC8">
      <w:pPr>
        <w:widowControl w:val="0"/>
        <w:spacing w:after="120"/>
        <w:outlineLvl w:val="2"/>
        <w:rPr>
          <w:b/>
        </w:rPr>
      </w:pPr>
      <w:r w:rsidRPr="003730B5">
        <w:rPr>
          <w:b/>
        </w:rPr>
        <w:t>K čl. </w:t>
      </w:r>
      <w:r w:rsidR="002C6370" w:rsidRPr="003730B5">
        <w:rPr>
          <w:b/>
        </w:rPr>
        <w:t>LVI</w:t>
      </w:r>
    </w:p>
    <w:p w14:paraId="42FC10A2" w14:textId="77777777" w:rsidR="00133AC8" w:rsidRPr="003730B5" w:rsidRDefault="00133AC8" w:rsidP="00133AC8">
      <w:pPr>
        <w:pStyle w:val="Dvodovzprvakbodu"/>
        <w:keepNext w:val="0"/>
        <w:widowControl w:val="0"/>
        <w:numPr>
          <w:ilvl w:val="0"/>
          <w:numId w:val="81"/>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44a, 44b a poznámky pod čarou č. 73 a 74)</w:t>
      </w:r>
    </w:p>
    <w:p w14:paraId="5B16E05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Zrušuje se institut odsunutí počátku běhu podpůrčí doby u podpory v nezaměstnanosti, pokud uchazeči o zaměstnání vznikl nárok na odstupné, odbytné nebo odchodné. Zároveň se zrušuje související úprava tzv. kompenzace, na kterou vzniklo uchazeči o zaměstnání právo v případě, že mu vznikl nárok na odstupné, odbytné nebo odchodné, ale toto nebylo zaměstnavatelem vyplaceno.</w:t>
      </w:r>
    </w:p>
    <w:p w14:paraId="17A9E42B"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2 a 3 (§ 48)</w:t>
      </w:r>
    </w:p>
    <w:p w14:paraId="6BA308A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Prodlužuje se doba potřebná pro vznik nároku na podporu v nezaměstnanosti při opakovaném vedení v evidenci u uchazeče o zaměstnání, jemuž ještě neuplynula celá podpůrčí doba, ze 3 na 6 měsíců.</w:t>
      </w:r>
    </w:p>
    <w:p w14:paraId="6890EADA" w14:textId="77777777" w:rsidR="00133AC8" w:rsidRPr="003730B5" w:rsidRDefault="00133AC8" w:rsidP="00133AC8">
      <w:pPr>
        <w:pStyle w:val="Dvodovzprvakbodu"/>
        <w:keepNext w:val="0"/>
        <w:widowControl w:val="0"/>
        <w:numPr>
          <w:ilvl w:val="0"/>
          <w:numId w:val="8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49 odst. 1 a 2)</w:t>
      </w:r>
    </w:p>
    <w:p w14:paraId="1A8E9FEA" w14:textId="4D230FCC"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Prodlužuje se doba potřebná pro vznik nároku na podporu v nezaměstnanosti při opakovaném vedení v evidenci u uchazeče o zaměstnání, jemuž již uplynula celá podpůrčí doba, </w:t>
      </w:r>
      <w:r w:rsidR="00D03256" w:rsidRPr="003730B5">
        <w:rPr>
          <w:rFonts w:ascii="Times New Roman" w:hAnsi="Times New Roman"/>
          <w:color w:val="auto"/>
          <w:sz w:val="24"/>
        </w:rPr>
        <w:t>z </w:t>
      </w:r>
      <w:r w:rsidRPr="003730B5">
        <w:rPr>
          <w:rFonts w:ascii="Times New Roman" w:hAnsi="Times New Roman"/>
          <w:color w:val="auto"/>
          <w:sz w:val="24"/>
        </w:rPr>
        <w:t>6 na 9 měsíců.</w:t>
      </w:r>
    </w:p>
    <w:p w14:paraId="6C998B01" w14:textId="2A3CDC51" w:rsidR="00133AC8" w:rsidRPr="003730B5" w:rsidRDefault="00133AC8" w:rsidP="00133AC8">
      <w:pPr>
        <w:widowControl w:val="0"/>
        <w:spacing w:before="240" w:after="120"/>
        <w:outlineLvl w:val="2"/>
        <w:rPr>
          <w:b/>
        </w:rPr>
      </w:pPr>
      <w:r w:rsidRPr="003730B5">
        <w:rPr>
          <w:b/>
        </w:rPr>
        <w:t>K čl. </w:t>
      </w:r>
      <w:r w:rsidR="002C6370" w:rsidRPr="003730B5">
        <w:rPr>
          <w:b/>
        </w:rPr>
        <w:t>LVII</w:t>
      </w:r>
      <w:r w:rsidRPr="003730B5">
        <w:rPr>
          <w:b/>
        </w:rPr>
        <w:t xml:space="preserve"> (Přechodn</w:t>
      </w:r>
      <w:r w:rsidR="002C6370" w:rsidRPr="003730B5">
        <w:rPr>
          <w:b/>
        </w:rPr>
        <w:t>é</w:t>
      </w:r>
      <w:r w:rsidRPr="003730B5">
        <w:rPr>
          <w:b/>
        </w:rPr>
        <w:t xml:space="preserve"> ustanovení)</w:t>
      </w:r>
    </w:p>
    <w:p w14:paraId="59768BA4" w14:textId="77777777" w:rsidR="00133AC8" w:rsidRPr="003730B5" w:rsidRDefault="00133AC8" w:rsidP="00133AC8">
      <w:pPr>
        <w:widowControl w:val="0"/>
        <w:spacing w:before="120"/>
      </w:pPr>
      <w:r w:rsidRPr="003730B5">
        <w:t>Řízení o podpoře v nezaměstnanosti a řízení o poskytnutí kompenzace pravomocně neskončená přede dnem účinnosti tohoto zákona se dokončí podle dosavadních právních předpisů.</w:t>
      </w:r>
    </w:p>
    <w:p w14:paraId="33D7EA2C" w14:textId="77777777" w:rsidR="00133AC8" w:rsidRPr="003730B5" w:rsidRDefault="00133AC8" w:rsidP="00133AC8">
      <w:pPr>
        <w:keepNext/>
        <w:widowControl w:val="0"/>
        <w:spacing w:before="240" w:after="120"/>
        <w:outlineLvl w:val="1"/>
        <w:rPr>
          <w:b/>
          <w:sz w:val="28"/>
        </w:rPr>
      </w:pPr>
      <w:r w:rsidRPr="003730B5">
        <w:rPr>
          <w:b/>
          <w:sz w:val="28"/>
        </w:rPr>
        <w:t>K části třicáté páté – Změna zákona o správních poplatcích</w:t>
      </w:r>
    </w:p>
    <w:p w14:paraId="7D3F5A6B" w14:textId="26C31467" w:rsidR="00133AC8" w:rsidRPr="003730B5" w:rsidRDefault="00133AC8" w:rsidP="00133AC8">
      <w:pPr>
        <w:keepNext/>
        <w:widowControl w:val="0"/>
        <w:spacing w:after="120"/>
        <w:outlineLvl w:val="2"/>
        <w:rPr>
          <w:b/>
        </w:rPr>
      </w:pPr>
      <w:r w:rsidRPr="003730B5">
        <w:rPr>
          <w:b/>
        </w:rPr>
        <w:t>K čl. </w:t>
      </w:r>
      <w:r w:rsidR="002C6370" w:rsidRPr="003730B5">
        <w:rPr>
          <w:b/>
        </w:rPr>
        <w:t>LVIII</w:t>
      </w:r>
    </w:p>
    <w:p w14:paraId="027CC32B" w14:textId="77777777" w:rsidR="00133AC8" w:rsidRPr="003730B5" w:rsidRDefault="00133AC8" w:rsidP="00133AC8">
      <w:pPr>
        <w:pStyle w:val="Dvodovzprvakbodu"/>
        <w:keepNext w:val="0"/>
        <w:widowControl w:val="0"/>
        <w:numPr>
          <w:ilvl w:val="0"/>
          <w:numId w:val="56"/>
        </w:numPr>
        <w:outlineLvl w:val="3"/>
        <w:rPr>
          <w:rFonts w:ascii="Times New Roman" w:hAnsi="Times New Roman"/>
          <w:color w:val="auto"/>
          <w:sz w:val="24"/>
          <w:szCs w:val="24"/>
        </w:rPr>
      </w:pPr>
      <w:r w:rsidRPr="003730B5">
        <w:rPr>
          <w:rFonts w:ascii="Times New Roman" w:hAnsi="Times New Roman"/>
          <w:color w:val="auto"/>
          <w:sz w:val="24"/>
          <w:szCs w:val="24"/>
        </w:rPr>
        <w:t>(§ 6 odst. 8)</w:t>
      </w:r>
    </w:p>
    <w:p w14:paraId="07580BB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Dochází k vypuštění možnosti platby peněžitého plnění kolkovými známkami podle daňového řádu. V podrobnostech lze odkázat na odůvodnění novely daňového řádu.</w:t>
      </w:r>
    </w:p>
    <w:p w14:paraId="57C501DB" w14:textId="77777777" w:rsidR="00133AC8" w:rsidRPr="003730B5" w:rsidRDefault="00133AC8" w:rsidP="00133AC8">
      <w:pPr>
        <w:pStyle w:val="Dvodovzprvakbodu"/>
        <w:keepNext w:val="0"/>
        <w:widowControl w:val="0"/>
        <w:numPr>
          <w:ilvl w:val="0"/>
          <w:numId w:val="56"/>
        </w:numPr>
        <w:outlineLvl w:val="3"/>
        <w:rPr>
          <w:rFonts w:ascii="Times New Roman" w:hAnsi="Times New Roman"/>
          <w:color w:val="auto"/>
          <w:sz w:val="24"/>
          <w:szCs w:val="24"/>
        </w:rPr>
      </w:pPr>
      <w:r w:rsidRPr="003730B5">
        <w:rPr>
          <w:rFonts w:ascii="Times New Roman" w:hAnsi="Times New Roman"/>
          <w:color w:val="auto"/>
          <w:sz w:val="24"/>
          <w:szCs w:val="24"/>
        </w:rPr>
        <w:t>(§ 7 odst. 5)</w:t>
      </w:r>
    </w:p>
    <w:p w14:paraId="3BE511C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Dochází k vypuštění možnosti platby peněžitého plnění kolkovými známkami podle daňového řádu. V podrobnostech lze odkázat na odůvodnění novely daňového řádu.</w:t>
      </w:r>
    </w:p>
    <w:p w14:paraId="5DE6F68C" w14:textId="77777777" w:rsidR="00133AC8" w:rsidRPr="003730B5" w:rsidRDefault="00133AC8" w:rsidP="00133AC8">
      <w:pPr>
        <w:pStyle w:val="Dvodovzprvakbodu"/>
        <w:keepNext w:val="0"/>
        <w:widowControl w:val="0"/>
        <w:numPr>
          <w:ilvl w:val="0"/>
          <w:numId w:val="56"/>
        </w:numPr>
        <w:outlineLvl w:val="3"/>
        <w:rPr>
          <w:rFonts w:ascii="Times New Roman" w:hAnsi="Times New Roman"/>
          <w:color w:val="auto"/>
          <w:sz w:val="24"/>
          <w:szCs w:val="24"/>
        </w:rPr>
      </w:pPr>
      <w:r w:rsidRPr="003730B5">
        <w:rPr>
          <w:rFonts w:ascii="Times New Roman" w:hAnsi="Times New Roman"/>
          <w:color w:val="auto"/>
          <w:sz w:val="24"/>
          <w:szCs w:val="24"/>
        </w:rPr>
        <w:t>(Příloha - Položka 35)</w:t>
      </w:r>
    </w:p>
    <w:p w14:paraId="008D461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Současná právní úprava správních poplatků vybíraných v řízeních o povolení zvláštního užívání pozemních komunikací nadměrnými vozidly se neměnila již desítky let. Ve stávající podobě je obsažena v zákoně o správních poplatcích ode dne nabytí jeho účinnosti. </w:t>
      </w:r>
    </w:p>
    <w:p w14:paraId="46C74D3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Této právní úpravě lze přitom vytknout několik skutečností. Jednak přílišnou složitost, která činí jak pro žadatele, tak pro silniční správní úřady kalkulaci správné výše poplatků nepřiměřeně komplikovanou. Je tak poměrně paradoxní, když jednou s nejsložitějších otázek ve vedeném správním řízení je problematika úhrady správního poplatku ve správné výši. Dalším nedostatkem stávající právní úpravy je znevýhodnění povolování mezinárodních přeprav, které může být v prostředí vnitřního trhu Evropské unie nadále složitě obhajitelné. Není ani vhodné, aby výše správního poplatku odrážela rozsah poškození pozemní komunikace - spíš by měla odpovídat složitosti vedeného řízení a s tím spojené pracnosti vykonávané agendy. Za nedostatek stávající právní úpravy lze též považovat skutečnost, že váže povinnost úhrady správního poplatku na vydání příslušného povolení, a to přesto, že správní orgány jsou zatíženy vyřizováním všech žádostí, i těch, jimž není nakonec vyhověno. Jak bylo uvedeno výše, stávající právní úprava stanoví též určité parametry pro rozhodování, které by se měly spíše stanovit zákonem o pozemních komunikacích. </w:t>
      </w:r>
    </w:p>
    <w:p w14:paraId="66E9A41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S ohledem na výše uvedené skutečnosti je navrhováno zavést toliko 4 sazby správních poplatků, jejichž výše bude odvislá od objektivních kritérií spjatých s pracností vyřízení příslušných žádostí.</w:t>
      </w:r>
    </w:p>
    <w:p w14:paraId="2C494114" w14:textId="6172FFCE" w:rsidR="00133AC8" w:rsidRPr="003730B5" w:rsidRDefault="00133AC8" w:rsidP="00133AC8">
      <w:pPr>
        <w:widowControl w:val="0"/>
        <w:spacing w:before="240" w:after="120"/>
        <w:outlineLvl w:val="2"/>
        <w:rPr>
          <w:b/>
        </w:rPr>
      </w:pPr>
      <w:r w:rsidRPr="003730B5">
        <w:rPr>
          <w:b/>
        </w:rPr>
        <w:t>K čl. </w:t>
      </w:r>
      <w:r w:rsidR="002C6370" w:rsidRPr="003730B5">
        <w:rPr>
          <w:b/>
        </w:rPr>
        <w:t xml:space="preserve">LIX </w:t>
      </w:r>
      <w:r w:rsidRPr="003730B5">
        <w:rPr>
          <w:b/>
        </w:rPr>
        <w:t>(Přechodná ustanovení)</w:t>
      </w:r>
    </w:p>
    <w:p w14:paraId="1152689F" w14:textId="0F7C8D89"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Stanovují se přechodná ustanovení v souvislosti s vypuštěním možnosti platby peněžitého plnění kolkovými známkami podle daňového řádu. V pod</w:t>
      </w:r>
      <w:r w:rsidR="006203CD" w:rsidRPr="003730B5">
        <w:rPr>
          <w:rFonts w:ascii="Times New Roman" w:hAnsi="Times New Roman"/>
          <w:color w:val="auto"/>
          <w:sz w:val="24"/>
        </w:rPr>
        <w:t>r</w:t>
      </w:r>
      <w:r w:rsidRPr="003730B5">
        <w:rPr>
          <w:rFonts w:ascii="Times New Roman" w:hAnsi="Times New Roman"/>
          <w:color w:val="auto"/>
          <w:sz w:val="24"/>
        </w:rPr>
        <w:t>obnostech lze odkázat na odůvodnění novely daňového řádu.</w:t>
      </w:r>
    </w:p>
    <w:p w14:paraId="218452C3" w14:textId="77777777" w:rsidR="00133AC8" w:rsidRPr="003730B5" w:rsidRDefault="00133AC8" w:rsidP="00133AC8">
      <w:pPr>
        <w:widowControl w:val="0"/>
        <w:spacing w:before="240" w:after="120"/>
        <w:outlineLvl w:val="1"/>
        <w:rPr>
          <w:b/>
          <w:sz w:val="28"/>
        </w:rPr>
      </w:pPr>
      <w:r w:rsidRPr="003730B5">
        <w:rPr>
          <w:b/>
          <w:sz w:val="28"/>
        </w:rPr>
        <w:t>K části třicáté šesté – Změna zákona o veřejných výzkumných institucích</w:t>
      </w:r>
    </w:p>
    <w:p w14:paraId="6C67C2C0" w14:textId="43EDA3E7" w:rsidR="00133AC8" w:rsidRPr="003730B5" w:rsidRDefault="00133AC8" w:rsidP="00133AC8">
      <w:pPr>
        <w:widowControl w:val="0"/>
        <w:spacing w:after="120"/>
        <w:outlineLvl w:val="2"/>
        <w:rPr>
          <w:b/>
        </w:rPr>
      </w:pPr>
      <w:r w:rsidRPr="003730B5">
        <w:rPr>
          <w:b/>
        </w:rPr>
        <w:t>K čl. </w:t>
      </w:r>
      <w:r w:rsidR="002C6370" w:rsidRPr="003730B5">
        <w:rPr>
          <w:b/>
        </w:rPr>
        <w:t>LX</w:t>
      </w:r>
    </w:p>
    <w:p w14:paraId="63A73DA1" w14:textId="77777777" w:rsidR="00133AC8" w:rsidRPr="003730B5" w:rsidRDefault="00133AC8" w:rsidP="00133AC8">
      <w:pPr>
        <w:pStyle w:val="Dvodovzprvakbodu"/>
        <w:keepNext w:val="0"/>
        <w:widowControl w:val="0"/>
        <w:numPr>
          <w:ilvl w:val="0"/>
          <w:numId w:val="67"/>
        </w:numPr>
        <w:outlineLvl w:val="3"/>
        <w:rPr>
          <w:rFonts w:ascii="Times New Roman" w:hAnsi="Times New Roman"/>
          <w:color w:val="auto"/>
          <w:sz w:val="24"/>
          <w:szCs w:val="24"/>
        </w:rPr>
      </w:pPr>
      <w:r w:rsidRPr="003730B5">
        <w:rPr>
          <w:rFonts w:ascii="Times New Roman" w:hAnsi="Times New Roman"/>
          <w:color w:val="auto"/>
          <w:sz w:val="24"/>
          <w:szCs w:val="24"/>
        </w:rPr>
        <w:t>(§ 27 odst. 1 věta první)</w:t>
      </w:r>
    </w:p>
    <w:p w14:paraId="21F42953" w14:textId="5521F101"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rámci konsolidace veřejných rozpočtů se snižuje povinný příděl do sociálního fondu veřejných výzkumných institucí </w:t>
      </w:r>
      <w:r w:rsidR="00A42930" w:rsidRPr="003730B5">
        <w:rPr>
          <w:rFonts w:ascii="Times New Roman" w:hAnsi="Times New Roman"/>
          <w:color w:val="auto"/>
          <w:sz w:val="24"/>
        </w:rPr>
        <w:t>z </w:t>
      </w:r>
      <w:r w:rsidRPr="003730B5">
        <w:rPr>
          <w:rFonts w:ascii="Times New Roman" w:hAnsi="Times New Roman"/>
          <w:color w:val="auto"/>
          <w:sz w:val="24"/>
        </w:rPr>
        <w:t>2 % na 1 % z ročního objemu mezd, jejich náhrad a odměn za pracovní pohotovost, obdobně jako je navrhováno v případě fondu kulturních a sociálních potřeb tvořeného podle rozpočtových pravidel. Budou tedy platit shodná pravidla pro tvorbu těchto fondů u subjektů veřejné sféry.</w:t>
      </w:r>
    </w:p>
    <w:p w14:paraId="2EE214D8" w14:textId="77777777" w:rsidR="00133AC8" w:rsidRPr="003730B5" w:rsidRDefault="00133AC8" w:rsidP="00133AC8">
      <w:pPr>
        <w:pStyle w:val="Dvodovzprvakbodu"/>
        <w:keepNext w:val="0"/>
        <w:widowControl w:val="0"/>
        <w:numPr>
          <w:ilvl w:val="0"/>
          <w:numId w:val="67"/>
        </w:numPr>
        <w:outlineLvl w:val="3"/>
        <w:rPr>
          <w:rFonts w:ascii="Times New Roman" w:hAnsi="Times New Roman"/>
          <w:color w:val="auto"/>
          <w:sz w:val="24"/>
          <w:szCs w:val="24"/>
        </w:rPr>
      </w:pPr>
      <w:r w:rsidRPr="003730B5">
        <w:rPr>
          <w:rFonts w:ascii="Times New Roman" w:hAnsi="Times New Roman"/>
          <w:color w:val="auto"/>
          <w:sz w:val="24"/>
          <w:szCs w:val="24"/>
        </w:rPr>
        <w:t>(§ 27 odst. 1 věta druhá)</w:t>
      </w:r>
    </w:p>
    <w:p w14:paraId="3246651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Nejméně 50 % z povinného přídělu do sociálního fondu musí být využito na příspěvky na produkty spoření na stáří zaměstnanců. Jde o příspěvky na produkty spoření na stáří, které jsou osvobozeny od daně z příjmů fyzických osob podle dosavadního § 6 odst. 9 písm. p) zákona o daních z příjmů. Jedná se o obdobné pravidlo, jako je navrhováno v případě fondu kulturních a sociálních potřeb tvořeného podle rozpočtových pravidel.</w:t>
      </w:r>
    </w:p>
    <w:p w14:paraId="51A09C76" w14:textId="77777777" w:rsidR="00133AC8" w:rsidRPr="003730B5" w:rsidRDefault="00133AC8" w:rsidP="00133AC8">
      <w:pPr>
        <w:pStyle w:val="Dvodovzprvakbodu"/>
        <w:keepNext w:val="0"/>
        <w:widowControl w:val="0"/>
        <w:numPr>
          <w:ilvl w:val="0"/>
          <w:numId w:val="67"/>
        </w:numPr>
        <w:outlineLvl w:val="3"/>
        <w:rPr>
          <w:rFonts w:ascii="Times New Roman" w:hAnsi="Times New Roman"/>
          <w:color w:val="auto"/>
          <w:sz w:val="24"/>
          <w:szCs w:val="24"/>
        </w:rPr>
      </w:pPr>
      <w:r w:rsidRPr="003730B5">
        <w:rPr>
          <w:rFonts w:ascii="Times New Roman" w:hAnsi="Times New Roman"/>
          <w:color w:val="auto"/>
          <w:sz w:val="24"/>
          <w:szCs w:val="24"/>
        </w:rPr>
        <w:t>(§ 27 odst. 1 věta třetí)</w:t>
      </w:r>
    </w:p>
    <w:p w14:paraId="199F3FC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formulační změna z důvodu toho, že v důsledku vložení věty druhé by slova „Jeho užití“ nenavazovala na předchozí text.</w:t>
      </w:r>
    </w:p>
    <w:p w14:paraId="0D5F424A" w14:textId="111ABE19" w:rsidR="00133AC8" w:rsidRPr="003730B5" w:rsidRDefault="00133AC8" w:rsidP="00133AC8">
      <w:pPr>
        <w:widowControl w:val="0"/>
        <w:spacing w:before="240" w:after="120"/>
        <w:outlineLvl w:val="2"/>
        <w:rPr>
          <w:b/>
        </w:rPr>
      </w:pPr>
      <w:r w:rsidRPr="003730B5">
        <w:rPr>
          <w:b/>
        </w:rPr>
        <w:t>K čl. </w:t>
      </w:r>
      <w:r w:rsidR="002C6370" w:rsidRPr="003730B5">
        <w:rPr>
          <w:b/>
        </w:rPr>
        <w:t xml:space="preserve">LXI </w:t>
      </w:r>
      <w:r w:rsidRPr="003730B5">
        <w:rPr>
          <w:b/>
        </w:rPr>
        <w:t>(Přechodn</w:t>
      </w:r>
      <w:r w:rsidR="002C6370" w:rsidRPr="003730B5">
        <w:rPr>
          <w:b/>
        </w:rPr>
        <w:t>é</w:t>
      </w:r>
      <w:r w:rsidRPr="003730B5">
        <w:rPr>
          <w:b/>
        </w:rPr>
        <w:t xml:space="preserve"> ustanovení)</w:t>
      </w:r>
    </w:p>
    <w:p w14:paraId="1A7EC7C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Peníze, které byly alokovány v sociálním fondu přede dnem nabytí účinnosti tohoto zákona, se použijí podle navrhované právní úpravy.</w:t>
      </w:r>
    </w:p>
    <w:p w14:paraId="0CC40926" w14:textId="77777777" w:rsidR="00133AC8" w:rsidRPr="003730B5" w:rsidRDefault="00133AC8" w:rsidP="00133AC8">
      <w:pPr>
        <w:widowControl w:val="0"/>
        <w:spacing w:before="240" w:after="120"/>
        <w:outlineLvl w:val="1"/>
        <w:rPr>
          <w:b/>
          <w:sz w:val="28"/>
        </w:rPr>
      </w:pPr>
      <w:r w:rsidRPr="003730B5">
        <w:rPr>
          <w:b/>
          <w:sz w:val="28"/>
        </w:rPr>
        <w:t>K části třicáté sedmé – Změna insolvenčního zákona</w:t>
      </w:r>
    </w:p>
    <w:p w14:paraId="579FAC14" w14:textId="77777777" w:rsidR="00133AC8" w:rsidRPr="003730B5" w:rsidRDefault="00133AC8" w:rsidP="00133AC8">
      <w:pPr>
        <w:pStyle w:val="Dvodovzprva"/>
        <w:widowControl w:val="0"/>
        <w:spacing w:before="0" w:after="120"/>
        <w:outlineLvl w:val="9"/>
        <w:rPr>
          <w:rFonts w:ascii="Times New Roman" w:hAnsi="Times New Roman"/>
          <w:color w:val="auto"/>
          <w:sz w:val="24"/>
        </w:rPr>
      </w:pPr>
      <w:r w:rsidRPr="003730B5">
        <w:rPr>
          <w:rFonts w:ascii="Times New Roman" w:hAnsi="Times New Roman"/>
          <w:color w:val="auto"/>
          <w:sz w:val="24"/>
        </w:rPr>
        <w:t>V rámci této části je řešen převod kompetence k vymáhání tzv. justičních pohledávek na orgány Celní správy České republiky. V podrobnostech lze odkázat na odůvodnění novely trestního řádu.</w:t>
      </w:r>
    </w:p>
    <w:p w14:paraId="23995ABA" w14:textId="19716FBC" w:rsidR="00133AC8" w:rsidRPr="003730B5" w:rsidRDefault="00133AC8" w:rsidP="00133AC8">
      <w:pPr>
        <w:widowControl w:val="0"/>
        <w:spacing w:after="120"/>
        <w:outlineLvl w:val="2"/>
        <w:rPr>
          <w:szCs w:val="24"/>
        </w:rPr>
      </w:pPr>
      <w:r w:rsidRPr="003730B5">
        <w:rPr>
          <w:b/>
        </w:rPr>
        <w:t>K čl. </w:t>
      </w:r>
      <w:r w:rsidR="002C6370" w:rsidRPr="003730B5">
        <w:rPr>
          <w:b/>
        </w:rPr>
        <w:t xml:space="preserve">LXII </w:t>
      </w:r>
      <w:r w:rsidRPr="003730B5">
        <w:rPr>
          <w:b/>
          <w:szCs w:val="24"/>
        </w:rPr>
        <w:t>(§ 418l)</w:t>
      </w:r>
    </w:p>
    <w:p w14:paraId="4D3A54C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souladu s obecnou částí důvodové zprávy se vypouští speciální ustanovení o příslušnosti k vybírání a vymáhání pokut uložených za přestupky podle insolvenčního zákona. Díky tomu se tedy uplatní obecná úprava, kdy vybírat tyto pokuty bude Ministerstvo spravedlnosti jakožto orgán, který tyto pokuty uložil, vymáhat je budou orgány Celní správy České republiky (viz obecná část důvodové zprávy).</w:t>
      </w:r>
    </w:p>
    <w:p w14:paraId="51D353DF" w14:textId="231D7723" w:rsidR="00133AC8" w:rsidRPr="003730B5" w:rsidRDefault="00133AC8" w:rsidP="00133AC8">
      <w:pPr>
        <w:widowControl w:val="0"/>
        <w:spacing w:before="240" w:after="120"/>
        <w:outlineLvl w:val="2"/>
        <w:rPr>
          <w:b/>
        </w:rPr>
      </w:pPr>
      <w:r w:rsidRPr="003730B5">
        <w:rPr>
          <w:b/>
        </w:rPr>
        <w:t>K čl. </w:t>
      </w:r>
      <w:r w:rsidR="002C6370" w:rsidRPr="003730B5">
        <w:rPr>
          <w:b/>
        </w:rPr>
        <w:t xml:space="preserve">LXIII </w:t>
      </w:r>
      <w:r w:rsidRPr="003730B5">
        <w:rPr>
          <w:b/>
        </w:rPr>
        <w:t>(Přechodná ustanovení)</w:t>
      </w:r>
    </w:p>
    <w:p w14:paraId="33457C5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K vymáhání pokut podle insolvenčního zákona bude celní úřad příslušný ode dne nabytí účinnosti tohoto zákona v případě těch pohledávek, které vzniknou ode dne nabytí účinnosti </w:t>
      </w:r>
      <w:r w:rsidRPr="003730B5">
        <w:rPr>
          <w:rFonts w:ascii="Times New Roman" w:hAnsi="Times New Roman"/>
          <w:color w:val="auto"/>
          <w:sz w:val="24"/>
        </w:rPr>
        <w:lastRenderedPageBreak/>
        <w:t>tohoto zákona.</w:t>
      </w:r>
    </w:p>
    <w:p w14:paraId="0BBFBF6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K vymáhání pokut, které vznikly přede dnem nabytí účinnosti tohoto zákona, nebyly však předány k vymáhání soudnímu exekutorovi nebo přihlášeny do veřejné dražby podle § 175 odst. 1 daňového řádu, bude celní úřad příslušný ode dne převzetí jejich vymáhání. Nebyla-li daňová exekuce pro takovou pohledávku ke dni nabytí účinnosti tohoto zákona nařízena vydáním exekučního příkazu, předá orgán, který je příslušný k jejímu vymáhání podle stávající právní úpravy, pohledávku k vymáhání Celní správě bez zbytečného odkladu, nejpozději do 30. 6. 2024. Byla-li ke dni nabytí účinnosti tohoto zákona pro pohledávku nařízena daňová exekuce vydáním exekučního příkazu, postupují orgány příslušné k jejímu vymáhání podle stávající právní úpravy k jejímu vymožení. Pohledávky, které tímto postupem nebudou zcela vymoženy, předá orgán příslušný k jejich vymáhání podle stávající právní úpravy k vymáhání celnímu úřadu do 31. 12. 2024. </w:t>
      </w:r>
    </w:p>
    <w:p w14:paraId="561F2CF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Příslušnost k vymáhání pohledávek, které vznikly přede dnem účinnosti tohoto zákona a byly předány k vymáhání soudnímu exekutorovi nebo přihlášeny do veřejné dražby podle § 175 odst. 1 daňového řádu, se z procesních důvodů nemění.</w:t>
      </w:r>
    </w:p>
    <w:p w14:paraId="050D9378" w14:textId="77777777" w:rsidR="00133AC8" w:rsidRPr="003730B5" w:rsidRDefault="00133AC8" w:rsidP="00133AC8">
      <w:pPr>
        <w:keepNext/>
        <w:widowControl w:val="0"/>
        <w:spacing w:before="240" w:after="120"/>
        <w:outlineLvl w:val="1"/>
        <w:rPr>
          <w:rFonts w:eastAsiaTheme="minorHAnsi"/>
          <w:szCs w:val="24"/>
          <w:lang w:eastAsia="en-US"/>
        </w:rPr>
      </w:pPr>
      <w:r w:rsidRPr="003730B5">
        <w:rPr>
          <w:b/>
          <w:sz w:val="28"/>
        </w:rPr>
        <w:t>K části třicáté osmé – Změna zákona o nemocenském pojištění</w:t>
      </w:r>
    </w:p>
    <w:p w14:paraId="74DF26DA" w14:textId="77777777" w:rsidR="00133AC8" w:rsidRPr="003730B5" w:rsidRDefault="00133AC8" w:rsidP="00133AC8">
      <w:pPr>
        <w:pStyle w:val="Dvodovzprva"/>
        <w:keepNext/>
        <w:widowControl w:val="0"/>
        <w:spacing w:after="120"/>
        <w:outlineLvl w:val="9"/>
        <w:rPr>
          <w:rFonts w:ascii="Times New Roman" w:hAnsi="Times New Roman"/>
          <w:b/>
          <w:i/>
          <w:color w:val="auto"/>
          <w:sz w:val="24"/>
        </w:rPr>
      </w:pPr>
      <w:r w:rsidRPr="003730B5">
        <w:rPr>
          <w:rFonts w:ascii="Times New Roman" w:hAnsi="Times New Roman"/>
          <w:b/>
          <w:i/>
          <w:color w:val="auto"/>
          <w:sz w:val="24"/>
        </w:rPr>
        <w:t>Změna principů týkající se vzniku účasti na nemocenském pojištění, a tím i placení pojistného na sociální zabezpečení u zaměstnanců pracujících na základě dohody o provedení práce</w:t>
      </w:r>
    </w:p>
    <w:p w14:paraId="2FE2653E" w14:textId="77777777" w:rsidR="00133AC8" w:rsidRPr="003730B5" w:rsidRDefault="00133AC8" w:rsidP="00133AC8">
      <w:pPr>
        <w:widowControl w:val="0"/>
        <w:spacing w:after="120"/>
      </w:pPr>
      <w:r w:rsidRPr="003730B5">
        <w:t xml:space="preserve">Podle platné právní úpravy zákona o nemocenském pojištění jsou nemocenského pojištění účastni i zaměstnanci činní na základě dohody o provedení práce, pokud jejich příjem přesáhne 10 000 Kč v měsíci. Pokud z dohod o provedení práce nevznikne účast na nemocenském pojištění, nejsou tyto dohody žádným způsobem evidovány. Příjem z dohod o provedení práce se stává mnohdy jediným zdrojem příjmů zaměstnanců. Tito zaměstnanci nejsou účastni pojištění, odpracovaná doba se jim nezhodnotí pro odchod do důchodu a nejsou sociálně zabezpečeni pojistnými dávkami. Zároveň fixně stanovená částka 10 000 Kč neodpovídá aktuálnímu ekonomickému vývoji. </w:t>
      </w:r>
    </w:p>
    <w:p w14:paraId="1B52D2AB" w14:textId="1227A2C9" w:rsidR="00133AC8" w:rsidRPr="003730B5" w:rsidRDefault="00133AC8" w:rsidP="00133AC8">
      <w:pPr>
        <w:widowControl w:val="0"/>
        <w:spacing w:after="120"/>
      </w:pPr>
      <w:r w:rsidRPr="003730B5">
        <w:t>Hlavním cílem navrhované úpravy je, aby se DPP namísto příležitostného zaměstnání nestávaly jediným a častým zdrojem příjmu zaměstnanců a aby se snížil objem mzdového plnění z DPP bez placení pojistného, který činil podle údajů Č</w:t>
      </w:r>
      <w:r w:rsidR="002D4821" w:rsidRPr="003730B5">
        <w:t>eského statistického úřadu</w:t>
      </w:r>
      <w:r w:rsidRPr="003730B5">
        <w:t xml:space="preserve"> v roce 2021 cca 54 mld. Kč. V souladu s programovým prohlášením vlády dojde oproti současnému stavu k navýšení limitu částky rozhodného příjmu pro vznik účasti na pojištění, které by však nemělo konkurovat čistému příjmu z minimální mzdy z pracovního poměru, ze které se platí odvody. Navrhuje se proto stanovení dvou limitů pro vznik účasti na pojištění zaměstnance (a tím i limitů pro placení pojistného na sociální zabezpečení). První limit bude stanoven pro DPP u jediného zaměstnavatele a druhý (vyšší) limit bude stanoven pro vznik účasti na pojištění při souběhu více DPP u více zaměstnavatelů. Při překročení limitů vznikne zaměstnanci účast na pojištění a musí být uhrazeno pojistné. K dosažení daného cíle a možnosti kontroly bude zavedena evidence všech DPP a příjmů z těchto DPP. Nově se měsíční limity navrhují jako dynamické (vázané na průměrnou mzdu) a budou vyšší než dosud, ale nemohou být tak vysoké, aby mohly být DPP jediným zdrojem příjmu zaměstnance. Tím bude zajištěna i lepší sociální ochrana zaměstnance.</w:t>
      </w:r>
    </w:p>
    <w:p w14:paraId="5368A71D" w14:textId="77777777" w:rsidR="00133AC8" w:rsidRPr="003730B5" w:rsidRDefault="00133AC8" w:rsidP="00133AC8">
      <w:pPr>
        <w:widowControl w:val="0"/>
        <w:spacing w:after="120"/>
      </w:pPr>
      <w:r w:rsidRPr="003730B5">
        <w:t xml:space="preserve">Dosavadní jediný fixní rozhodný příjem pro vznik účasti na nemocenském pojištění stanovený pro každého zaměstnance nezávisle na příjmech z DPP, vykonávaných v kalendářním měsíci u dalších zaměstnavatelů, se doplní dalším druhým vyšším rozhodným příjmem tak, aby úprava lépe odpovídala současným společenským potřebám, tj. aby byla zajištěna lepší sociální ochrana zaměstnanců činných na základě DPP, zejména těch, jejichž jediným zaměstnáním je </w:t>
      </w:r>
      <w:r w:rsidRPr="003730B5">
        <w:lastRenderedPageBreak/>
        <w:t>právě jedna nebo více DPP a aby nebylo možno dosáhnout standardního stabilního příjmu kombinací více DPP bez účasti na pojištění u více zaměstnavatelů.</w:t>
      </w:r>
    </w:p>
    <w:p w14:paraId="70DFD7D4" w14:textId="77777777" w:rsidR="00133AC8" w:rsidRPr="003730B5" w:rsidRDefault="00133AC8" w:rsidP="00133AC8">
      <w:pPr>
        <w:widowControl w:val="0"/>
        <w:spacing w:after="120"/>
      </w:pPr>
      <w:r w:rsidRPr="003730B5">
        <w:t xml:space="preserve">Hodnoty rozhodných příjmů již nebudou vyjádřeny konstantní částkou, ale bude se jednat o dynamické ukazatele, které budou odpovídat aktuální ekonomické situaci. Nově budou stanoveny dvě hodnoty částky rozhodného příjmu, které se budou odvíjet od průměrné mzdy podle § 23b odst. 4 zákona o pojistném na sociální zabezpečení. </w:t>
      </w:r>
    </w:p>
    <w:p w14:paraId="5667C71E" w14:textId="1EF9D804" w:rsidR="00133AC8" w:rsidRPr="003730B5" w:rsidRDefault="00133AC8" w:rsidP="00133AC8">
      <w:pPr>
        <w:widowControl w:val="0"/>
        <w:spacing w:after="120"/>
      </w:pPr>
      <w:r w:rsidRPr="003730B5">
        <w:t>První hodnota částky rozhodného příjmu pro DPP se bude používat pro součet příjmů z DPP u jednoho zaměstnavatele. Bude se postupovat jako dosud podle § 7a odst</w:t>
      </w:r>
      <w:r w:rsidR="002D4821" w:rsidRPr="003730B5">
        <w:t>.</w:t>
      </w:r>
      <w:r w:rsidRPr="003730B5">
        <w:t xml:space="preserve"> 2 a 3 </w:t>
      </w:r>
      <w:r w:rsidR="002D4821" w:rsidRPr="003730B5">
        <w:t xml:space="preserve">zákona </w:t>
      </w:r>
      <w:r w:rsidR="00D03256" w:rsidRPr="003730B5">
        <w:t>o </w:t>
      </w:r>
      <w:r w:rsidR="002D4821" w:rsidRPr="003730B5">
        <w:t>nemocenském pojištění</w:t>
      </w:r>
      <w:r w:rsidRPr="003730B5">
        <w:t xml:space="preserve">. </w:t>
      </w:r>
    </w:p>
    <w:p w14:paraId="664EA156" w14:textId="77777777" w:rsidR="00133AC8" w:rsidRPr="003730B5" w:rsidRDefault="00133AC8" w:rsidP="00133AC8">
      <w:pPr>
        <w:widowControl w:val="0"/>
        <w:spacing w:after="120"/>
      </w:pPr>
      <w:r w:rsidRPr="003730B5">
        <w:t>Bude-li tento zaměstnanec pracovat u jednoho zaměstnavatele na základě dvou a více DPP, bude se zúčtovaný příjem ze všech těchto DPP v kalendářním měsíci sčítat pro účely vyhodnocení, zda bylo dosaženo částky nižšího rozhodného příjmu (v rámci jednoho kalendářního měsíce i DPP navazující, které se nepřekrývají). Pokud této částky dosáhne, bude účasten pojištění z každé DPP, která v kalendářním měsíci trvala. Nová výše rozhodného příjmu zajistí určité zvýšení oproti současnému limitu částky rozhodného příjmu pro vznik účasti na pojištění. Avšak tato nová výše nebude konkurovat minimální mzdě z pracovního poměru, ze které se platí odvody, tzn. bude se jednat o zvýšení spíše menší. Při vazbě na tento ukazatel bude docházet k automatické úpravě hodnoty rozhodného příjmu pro účast na pojištění, a to obdobně jako se postupuje v případech ustanovení rozhodného příjmu pro zaměstnání malého rozsahu podle § 6 odst. 2 zákona o nemocenském pojištění).</w:t>
      </w:r>
    </w:p>
    <w:p w14:paraId="71905F78" w14:textId="77777777" w:rsidR="00133AC8" w:rsidRPr="003730B5" w:rsidRDefault="00133AC8" w:rsidP="00133AC8">
      <w:pPr>
        <w:widowControl w:val="0"/>
        <w:spacing w:after="120"/>
      </w:pPr>
      <w:r w:rsidRPr="003730B5">
        <w:t>Současně bude zavedena druhá, vyšší hodnota částky rozhodného příjmu pro účast na pojištění. Tento druhý limit cílí na omezení objemu mzdového plnění z DPP bez účasti na pojištění v kalendářním měsíci pro příjmy zaměstnance od všech jeho zaměstnavatelů za účelem prevence neúměrné kumulace DPP u jedné osoby a tím dosažení jeho sociální ochrany. Tento limit bude stejně jako limit první odvozen od průměrné mzdy podle § 23b odst. 4 zákona o pojistném na sociální zabezpečení. I při vazbě na tento ukazatel bude docházet k automatické valorizaci hodnoty vyššího rozhodného příjmu pro účast na pojištění, a to obdobně jako se postupuje v případech ustanovení rozhodného příjmu pro zaměstnání malého rozsahu podle § 6 odst. 2 zákona o nemocenském pojištění.</w:t>
      </w:r>
    </w:p>
    <w:p w14:paraId="4AAB68C4" w14:textId="580F2333" w:rsidR="00133AC8" w:rsidRPr="003730B5" w:rsidRDefault="00133AC8" w:rsidP="00133AC8">
      <w:pPr>
        <w:widowControl w:val="0"/>
        <w:spacing w:after="120"/>
      </w:pPr>
      <w:r w:rsidRPr="003730B5">
        <w:t xml:space="preserve">Bude-li při součtu zúčtovaných příjmů ze všech zaměstnání zaměstnance na základě DPP dosaženo alespoň rozhodného příjmu stanoveného sdělením </w:t>
      </w:r>
      <w:r w:rsidR="000E1BD6" w:rsidRPr="003730B5">
        <w:t xml:space="preserve">Ministerstva práce </w:t>
      </w:r>
      <w:r w:rsidR="00D03256" w:rsidRPr="003730B5">
        <w:t>a </w:t>
      </w:r>
      <w:r w:rsidR="000E1BD6" w:rsidRPr="003730B5">
        <w:t>sociálních věcí</w:t>
      </w:r>
      <w:r w:rsidRPr="003730B5">
        <w:t>, vznikne zaměstnanci účast na pojištění ze všech těchto zaměstnání a bude odvedeno pojistné ze všech těchto zaměstnání u všech zaměstnavatelů.</w:t>
      </w:r>
    </w:p>
    <w:p w14:paraId="2CDF0FE1" w14:textId="77777777" w:rsidR="00133AC8" w:rsidRPr="003730B5" w:rsidRDefault="00133AC8" w:rsidP="00133AC8">
      <w:pPr>
        <w:widowControl w:val="0"/>
        <w:spacing w:after="120"/>
      </w:pPr>
      <w:r w:rsidRPr="003730B5">
        <w:t>Měsíční hodnoty částky rozhodného příjmu nemohou být tak vysoké, aby mohly být DPP hlavním zdrojem příjmu zaměstnance. Úprava cílí na to, aby DPP sloužily jako doplňkový zdroj příjmů.</w:t>
      </w:r>
    </w:p>
    <w:p w14:paraId="0470FB11" w14:textId="57C63EF5" w:rsidR="00133AC8" w:rsidRPr="003730B5" w:rsidRDefault="00133AC8" w:rsidP="00133AC8">
      <w:pPr>
        <w:widowControl w:val="0"/>
        <w:spacing w:after="120"/>
      </w:pPr>
      <w:r w:rsidRPr="003730B5">
        <w:t>Podle nově navrhované právní úpravy bude platit, že zaměstnavatel, který nebyl povinen se přihlásit do registru zaměstnavatelů, protože nezaměstnává žádného zaměstnance účastného nemocenského pojištění, se musí přihlásit do evidence zaměstnavatelů, který vede Č</w:t>
      </w:r>
      <w:r w:rsidR="00705719" w:rsidRPr="003730B5">
        <w:t>SSZ</w:t>
      </w:r>
      <w:r w:rsidRPr="003730B5">
        <w:t xml:space="preserve"> v rámci svých registrů podle zákona o nemocenském pojištění, a to ve lhůtě do 8 kalendářních dnů ode dne nástupu zaměstnance do zaměstnání vykonávaném na základě DPP, i kdyby se předpokládalo, že z tohoto zaměstnání nebude zaměstnanec účasten nemocenského pojištění.</w:t>
      </w:r>
    </w:p>
    <w:p w14:paraId="7D5C63DC" w14:textId="5AA268FB" w:rsidR="00133AC8" w:rsidRPr="003730B5" w:rsidRDefault="00133AC8" w:rsidP="00133AC8">
      <w:pPr>
        <w:keepNext/>
        <w:widowControl w:val="0"/>
        <w:spacing w:after="120"/>
        <w:outlineLvl w:val="2"/>
        <w:rPr>
          <w:b/>
        </w:rPr>
      </w:pPr>
      <w:r w:rsidRPr="003730B5">
        <w:rPr>
          <w:b/>
        </w:rPr>
        <w:t>K čl. </w:t>
      </w:r>
      <w:r w:rsidR="002C6370" w:rsidRPr="003730B5">
        <w:rPr>
          <w:b/>
        </w:rPr>
        <w:t>LXIV</w:t>
      </w:r>
    </w:p>
    <w:p w14:paraId="5C6FE0F6" w14:textId="77777777" w:rsidR="00133AC8" w:rsidRPr="003730B5" w:rsidRDefault="00133AC8" w:rsidP="00133AC8">
      <w:pPr>
        <w:pStyle w:val="Dvodovzprvakbodu"/>
        <w:numPr>
          <w:ilvl w:val="0"/>
          <w:numId w:val="79"/>
        </w:numPr>
        <w:outlineLvl w:val="3"/>
        <w:rPr>
          <w:rFonts w:ascii="Times New Roman" w:hAnsi="Times New Roman"/>
          <w:color w:val="auto"/>
          <w:sz w:val="24"/>
          <w:szCs w:val="24"/>
        </w:rPr>
      </w:pPr>
      <w:r w:rsidRPr="003730B5">
        <w:rPr>
          <w:rFonts w:ascii="Times New Roman" w:hAnsi="Times New Roman"/>
          <w:color w:val="auto"/>
          <w:sz w:val="24"/>
          <w:szCs w:val="24"/>
        </w:rPr>
        <w:t>(§ 3 písm. e), § 18 odst. 2, § 19 odst. 9, § 97 odst. 4)</w:t>
      </w:r>
    </w:p>
    <w:p w14:paraId="4B1628E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zákoně o nemocenském pojištění se provádí legislativně-technická úprava v těch ustanoveních, v nichž se odvolává na vyměřovací základ zaměstnance, který se v zákoně </w:t>
      </w:r>
      <w:r w:rsidRPr="003730B5">
        <w:rPr>
          <w:rFonts w:ascii="Times New Roman" w:hAnsi="Times New Roman"/>
          <w:color w:val="auto"/>
          <w:sz w:val="24"/>
        </w:rPr>
        <w:lastRenderedPageBreak/>
        <w:t>o pojistném na sociální zabezpečení a příspěvku na státní politiku zaměstnanosti stanovuje pro pojistné. Podle dosavadní právní úpravy se u zaměstnance stanovuje vyměřovací základ jen pro pojistné na důchodové pojištění. Po zavedení placení pojistného na nemocenském pojištění i zaměstnancem se bude vyměřovací základ zaměstnance stanovovat i pro nemocenské pojištění.</w:t>
      </w:r>
    </w:p>
    <w:p w14:paraId="2C2B7F68" w14:textId="53246858"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w:t>
      </w:r>
      <w:r w:rsidR="00807A79" w:rsidRPr="003730B5">
        <w:rPr>
          <w:rFonts w:ascii="Times New Roman" w:hAnsi="Times New Roman"/>
          <w:color w:val="auto"/>
          <w:sz w:val="24"/>
          <w:szCs w:val="24"/>
        </w:rPr>
        <w:t xml:space="preserve">nadpis nad </w:t>
      </w:r>
      <w:r w:rsidRPr="003730B5">
        <w:rPr>
          <w:rFonts w:ascii="Times New Roman" w:hAnsi="Times New Roman"/>
          <w:color w:val="auto"/>
          <w:sz w:val="24"/>
          <w:szCs w:val="24"/>
        </w:rPr>
        <w:t>§ 7a)</w:t>
      </w:r>
    </w:p>
    <w:p w14:paraId="1BC384B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Zavádí se skupinový nadpis pro ustanovení § 7a až 7d upravující účasti na nemocenském pojištění, jde-li o zaměstnance činné na základy dohody o provedení práce.</w:t>
      </w:r>
    </w:p>
    <w:p w14:paraId="36C6077D"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7a)</w:t>
      </w:r>
    </w:p>
    <w:p w14:paraId="661A1F0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Dosavadní jediný fixní rozhodný příjem pro vznik účasti na nemocenském pojištění stanovený pro každého zaměstnance nezávisle na příjmech z DPP, vykonávaných v kalendářním měsíci u dalších zaměstnavatelů, se doplní dalším druhým vyšším rozhodným příjmem tak, aby úprava lépe odpovídala současným společenským potřebám, tj. aby byla zajištěna lepší sociální ochrana zaměstnanců činných na základě DPP, zejména těch, jejichž jediným zaměstnáním je právě jedna nebo více DPP a aby nebylo možno dosáhnout standardního stabilního příjmu kombinací více DPP bez účasti na pojištění u více zaměstnavatelů.</w:t>
      </w:r>
    </w:p>
    <w:p w14:paraId="13260AF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Hodnoty rozhodných příjmů již nebudou vyjádřeny konstantní částkou, ale bude se jednat o dynamické ukazatele, které budou odpovídat aktuální ekonomické situaci. Nově budou stanoveny dvě hodnoty částky rozhodného příjmu, které se budou odvíjet od průměrné mzdy podle § 23b odst. 4 zákona o pojistném na sociální zabezpečení. </w:t>
      </w:r>
    </w:p>
    <w:p w14:paraId="358080E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První hodnota částky rozhodného příjmu pro DPP se bude používat pro součet příjmů z DPP u jednoho zaměstnavatele. </w:t>
      </w:r>
    </w:p>
    <w:p w14:paraId="1DDCD99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Bude-li tento zaměstnanec pracovat na základě dvou a více DPP, bude se zúčtovaný příjem ze všech těchto DPP v kal. měsíci sčítat pro účely vyhodnocení, zda bylo dosaženo částky nižšího rozhodného příjmu (v rámci jednoho kalendářního měsíce i DPP navazující, které se nepřekrývají). Pokud této částky dosáhne, bude účasten pojištění z každé DPP, která v kalendářním měsíci trvala. Nová výše rozhodného příjmu zajistí určité zvýšení oproti současnému limitu částky rozhodného příjmu pro vznik účasti na pojištění. Avšak tato nová výše nebude konkurovat minimální mzdě z pracovního poměru, ze které se platí odvody, tzn. bude se jednat o zvýšení spíše menší. Při vazbě na tento ukazatel bude docházet k automatické valorizaci hodnoty rozhodného příjmu pro účast na pojištění obdobně, jako se postupuje v případech ustanovení rozhodného příjmu pro zaměstnání malého rozsahu podle § 6 odst. 2 zákona o nemocenském pojištění).</w:t>
      </w:r>
    </w:p>
    <w:p w14:paraId="3C94ED0B" w14:textId="6BC5217E"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xml:space="preserve"> (§ 7b až </w:t>
      </w:r>
      <w:r w:rsidR="0065097F" w:rsidRPr="003730B5">
        <w:rPr>
          <w:rFonts w:ascii="Times New Roman" w:hAnsi="Times New Roman"/>
          <w:color w:val="auto"/>
          <w:sz w:val="24"/>
          <w:szCs w:val="24"/>
        </w:rPr>
        <w:t xml:space="preserve">§ </w:t>
      </w:r>
      <w:r w:rsidRPr="003730B5">
        <w:rPr>
          <w:rFonts w:ascii="Times New Roman" w:hAnsi="Times New Roman"/>
          <w:color w:val="auto"/>
          <w:sz w:val="24"/>
          <w:szCs w:val="24"/>
        </w:rPr>
        <w:t>7d)</w:t>
      </w:r>
    </w:p>
    <w:p w14:paraId="3856A1C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Upravují se nové podmínky, za kterých vzniká zaměstnanci účast na pojištění u zaměstnance činného na základě DPP. </w:t>
      </w:r>
    </w:p>
    <w:p w14:paraId="6E882C0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U jednoho zaměstnavatele v případě DPP bude rozhodný příjem nově 25 % průměrné mzdy namísto fixních 10 000 Kč i v případě jedné DPP a také i v případě více DPP.</w:t>
      </w:r>
    </w:p>
    <w:p w14:paraId="790DC3E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Bude-li tento zaměstnanec u tohoto zaměstnavatele pracovat na základě dvou a více DPP, bude se zúčtovaný příjem ze všech těchto DPP v kalendářním měsíci sčítat pro účely vyhodnocení, zda bylo dosaženo částky rozhodného příjmu. Nová výše rozhodného příjmu má zajistit určité zvýšení oproti současnému limitu částky rozhodného příjmu pro vznik účasti na pojištění a jeho růst s růstem průměrné mzdy, avšak tato nová výše nebude konkurovat minimální mzdě z pracovního poměru, ze které se platí odvody. Změna tedy nastává pouze ve stanovení rozhodného příjmu, který bude automaticky valorizován.</w:t>
      </w:r>
    </w:p>
    <w:p w14:paraId="2020AFE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Současně bude stanovena další nová podmínka v případech, kdy zaměstnanec pracuje souběžně u více zaměstnavatelů ve více zaměstnáních na základě DPP, nebo na sebe takové DPP v rámci jednoho kalendářního měsíce navazují. Tento druhý limit cílí na snížení objemu mzdového plnění z DPP bez účasti na pojištění v kalendářním měsíci pro příjmy zaměstnance od všech jeho zaměstnavatelů za účelem prevence neúměrné kumulace DPP u jedné osoby a tím i ke zvýšení sociální ochrany zaměstnanců pracujících na DPP. Pokud bude součet všech zúčtovaných příjmů zaměstnance u všech jeho zaměstnavatelů u zaměstnání vykonávaných na základě DPP překročen, vznikne zaměstnanci účast na pojištění ze všech těchto zaměstnání a bude odvedeno pojistné.</w:t>
      </w:r>
    </w:p>
    <w:p w14:paraId="21094C6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I nadále jako při současné platné právní úpravě bude docházet k tzv. „přesouvání příjmů“ v případech, kdy bude zaměstnanci zúčtován příjem po skončení doby zaměstnání. Takto zúčtovaný příjem se posune do posledního měsíce, kdy zaměstnání trvalo.</w:t>
      </w:r>
    </w:p>
    <w:p w14:paraId="7CC494DB" w14:textId="6031CBAF"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Podle nově navrhované právní úpravy platí, že zaměstnavatel, který nebyl povinen se přihlásit do registru zaměstnavatelů, protože nezaměstnává žádného zaměstnance účastného nemocenského pojištění, se musí přihlásit do evidence zaměstnavatelů, který vede </w:t>
      </w:r>
      <w:r w:rsidR="00705719" w:rsidRPr="003730B5">
        <w:rPr>
          <w:rFonts w:ascii="Times New Roman" w:hAnsi="Times New Roman"/>
          <w:color w:val="auto"/>
          <w:sz w:val="24"/>
        </w:rPr>
        <w:t>ČSSZ</w:t>
      </w:r>
      <w:r w:rsidRPr="003730B5">
        <w:rPr>
          <w:rFonts w:ascii="Times New Roman" w:hAnsi="Times New Roman"/>
          <w:color w:val="auto"/>
          <w:sz w:val="24"/>
        </w:rPr>
        <w:t xml:space="preserve"> v rámci svých registrů podle zákona o nemocenském pojištění, a to ve lhůtě do 8 kalendářních dnů ode dne nástupu zaměstnance do zaměstnání vykonávaném na základě DPP, i kdyby se předpokládalo, že z tohoto zaměstnání nebude zaměstnanec účasten nemocenského pojištění. </w:t>
      </w:r>
    </w:p>
    <w:p w14:paraId="1C8F916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Zaměstnavatel je povinen předat zaměstnanci, s nímž uzavřel DPP, nejpozději v den nástupu písemnou informaci o povinnosti zaměstnance sdělovat zaměstnavateli uzavření nebo trvání dalších DPP alespoň s jedním dalším zaměstnavatelem (i bývalým v rámci jednoho kalendářního měsíce), včetně upozornění na důsledky nedodržení této oznamovací povinnosti. Zaměstnavatel tak učiní prokazatelným způsobem. </w:t>
      </w:r>
    </w:p>
    <w:p w14:paraId="4ACA731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Zaměstnavatel má povinnost vést ve své evidenci potvrzení o tom, že informační povinnost vůči zaměstnanci splnil. </w:t>
      </w:r>
    </w:p>
    <w:p w14:paraId="53ADFC3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Lze předpokládat, že si většina zaměstnanců nebude přesně vědoma, jaké důsledky pro ně bude mít nedodržení oznamovací povinnosti a s tím související skutečnost, že se mohou stát plátci pojistného a to i za zaměstnavatele. Je tak důležité stanovit zaměstnavatelům povinnost předat potřebné informace zaměstnancům činným na základě DPP. </w:t>
      </w:r>
    </w:p>
    <w:p w14:paraId="54B0BE8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Zaměstnanec činný na základě dohody o provedení práce je povinen prokazatelným způsobem sdělit každému svému zaměstnavateli (i bývalému), u něhož je činný na základě dohody o provedení práce, že je nebo byl zaměstnán na základě dohody o provedení práce i u alespoň jednoho dalšího zaměstnavatele v rámci jednoho kalendářního měsíce. Sdělení lze učinit písemně i v elektronické podobě zasláním na elektronickou adresu určenou zaměstnavatelem nebo do datové schránky určené zaměstnavatelem. </w:t>
      </w:r>
    </w:p>
    <w:p w14:paraId="1B8A8CB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Tímto sdělením dává zaměstnanec na vědomí, že mu může vzniknout povinnost hradit pojistné. Sdělení bude volnou formou, ale budou stanoveny minimální údaje, které musí obsahovat.</w:t>
      </w:r>
    </w:p>
    <w:p w14:paraId="2D447D5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Sdělení je zaměstnanec povinen učinit nejpozději v den nástupu do zaměstnání, a to vůči všem zaměstnavatelům (i bývalým, kterým dosud oznámení nedal). </w:t>
      </w:r>
    </w:p>
    <w:p w14:paraId="3788D23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Zaměstnanec oznamuje nástup na novou DPP vždy všem svým zaměstnavatelům, u kterých svou oznamovací povinnost dosud nesplnil. Oznámení vůči zaměstnavateli zaměstnanec činí jen jednou, ne při každé nové uzavřené DPP. </w:t>
      </w:r>
    </w:p>
    <w:p w14:paraId="16F6360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Sdělení musí obsahovat tyto údaje: identifikační údaje zaměstnance a zaměstnavatele, vůči kterému je oznámení činěno, datum nástupu do nového zaměstnání na základě DPP, datum předání oznámení, datum převzetí oznámení. </w:t>
      </w:r>
    </w:p>
    <w:p w14:paraId="7E8318B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 xml:space="preserve">Současně je zaměstnavatel povinen prokazatelně potvrdit zaměstnanci převzetí jeho oznámení o výkonu dalšího zaměstnání na základě DPP.  </w:t>
      </w:r>
    </w:p>
    <w:p w14:paraId="0657CF1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Podle nové právní úpravy bude zaměstnanec předávat všem svým zaměstnavatelům prokazatelným způsobem informace o dalších zaměstnáních na základě DPP z toho důvodu, aby bylo zřejmé, kdo v případě vzniku účasti na pojištění bude plátcem pojistného na sociální zabezpečení. Pokud zaměstnanec informace všem svým zaměstnavatelům nepředá, bude při překročení limitu podle 1. zásady bodu 2 plátcem pojistného na sociální zabezpečení. Pokud je prokazatelně předá, budou plátci pojistného jeho zaměstnavatelé. Z výše uvedených důvodů -by si ohledem na vlastní ochranu měl zaměstnanec uchovávat kopii předaného dokladu či potvrzení od svých zaměstnavatelů o tom, že zaměstnanec zaměstnavateli tyto údaje prokazatelně poskytl pro případ, že by došlo k dosažení rozhodného příjmu a vzniku účasti na pojištění a následné povinnosti odvést pojistné. Pokud zaměstnanec zaměstnavateli prokazatelně neoznámí, že pracuje nebo v rámci jednoho měsíce pracoval ve více zaměstnáních na základě DPP, bude hradit i to pojistné, které jinak hradí zaměstnavatel. </w:t>
      </w:r>
    </w:p>
    <w:p w14:paraId="71B17302" w14:textId="745842F1"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Tuto oznamovací povinnost bude zaměstnanec mít nejen při vzniku nového zaměstnání na základě DPP, ale i v případě, že v průběhu takového zaměstnání nastoupí do dalšího zaměstnání (uzavře další DPP) u jiného zaměstnavatele. Tuto oznamovací povinnost bude mít zaměstnanec i zpětně vůči svému bývalému zaměstnavateli, pokud v rámci jednoho kalendářního měsíce bude pracovat na více DPP (např. Zaměstnanci skončí DPP u zaměstnavatele A 5. </w:t>
      </w:r>
      <w:r w:rsidR="00820D28" w:rsidRPr="003730B5">
        <w:rPr>
          <w:rFonts w:ascii="Times New Roman" w:hAnsi="Times New Roman"/>
          <w:color w:val="auto"/>
          <w:sz w:val="24"/>
        </w:rPr>
        <w:t>5.</w:t>
      </w:r>
      <w:r w:rsidRPr="003730B5">
        <w:rPr>
          <w:rFonts w:ascii="Times New Roman" w:hAnsi="Times New Roman"/>
          <w:color w:val="auto"/>
          <w:sz w:val="24"/>
        </w:rPr>
        <w:t xml:space="preserve">, do té doby neměl oznamovací povinnost, nikde jinde nepracoval. Od 15. </w:t>
      </w:r>
      <w:r w:rsidR="00820D28" w:rsidRPr="003730B5">
        <w:rPr>
          <w:rFonts w:ascii="Times New Roman" w:hAnsi="Times New Roman"/>
          <w:color w:val="auto"/>
          <w:sz w:val="24"/>
        </w:rPr>
        <w:t xml:space="preserve">5. </w:t>
      </w:r>
      <w:r w:rsidRPr="003730B5">
        <w:rPr>
          <w:rFonts w:ascii="Times New Roman" w:hAnsi="Times New Roman"/>
          <w:color w:val="auto"/>
          <w:sz w:val="24"/>
        </w:rPr>
        <w:t xml:space="preserve">nastoupí zaměstnanec na DPP u zaměstnavatele B. Oznamovací povinnost musí zaměstnanec splnit 15. </w:t>
      </w:r>
      <w:r w:rsidR="00820D28" w:rsidRPr="003730B5">
        <w:rPr>
          <w:rFonts w:ascii="Times New Roman" w:hAnsi="Times New Roman"/>
          <w:color w:val="auto"/>
          <w:sz w:val="24"/>
        </w:rPr>
        <w:t xml:space="preserve">5. </w:t>
      </w:r>
      <w:r w:rsidRPr="003730B5">
        <w:rPr>
          <w:rFonts w:ascii="Times New Roman" w:hAnsi="Times New Roman"/>
          <w:color w:val="auto"/>
          <w:sz w:val="24"/>
        </w:rPr>
        <w:t xml:space="preserve">vůči zaměstnavateli B i vůči bývalému zaměstnavateli A.) </w:t>
      </w:r>
    </w:p>
    <w:p w14:paraId="3F960E0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Ačkoli se zaměstnavateli umožňuje využít nové služby k poskytnutí relevantní informace zaměstnavateli zaměstnance o jeho dalších zaměstnáních na základě DPP přímo u ČSSZ, povinnost oznámit zaměstnavateli všechna svá souběžná i bývalá zaměstnání na základě DPP je zaměstnanci stanovena s ohledem na skutečnost, že zaměstnanec je jediný, který v okamžiku svého nástupu do zaměstnání na základě DPP jako jediný má relevantní informace o všech souběžných a bývalých zaměstnáních na základě DPP. Z evidencí ČSSZ lze údaje získat teprve poté, kdy všichni zaměstnavatelé splní svou ohlašovací povinnost, která je limitována osmidenní lhůtou. Pokud by zaměstnavatel splnil svou povinnost na konci lhůty, anebo opomenul splnit svou povinnost, další zaměstnavatelé by neměli včas k dispozici relevantní informace potřebné pro správné vyhodnocení jejich budoucího postavení v souvislosti s povinností hradit pojistné na sociální zabezpečení při dosažení rozhodného příjmu podle 1. zásady bod 2. </w:t>
      </w:r>
    </w:p>
    <w:p w14:paraId="7AA44D5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Cílem je rozložit odpovědnost za úhradu pojistného na sociální zabezpečení při překročení rozhodného příjmu podle 1. zásady bod 2 mezi zaměstnavatele a zaměstnance, protože v některých případech zaměstnanci nebo zaměstnavatelé usilují o zúčtování takové výše příjmu, která nezaloží účast na nemocenském pojištění. Je zřejmé, že např. zaměstnanec nebude moci ovlivnit nepřekročení vyššího limitu v souhrnu všech zúčtovaných příjmů (mj. pokud zaměstnanec vyhoví požadavku zaměstnavatele, aby pracoval podle potřeby, která by se mohla zvýšit např. tím, že kmenoví zaměstnanci budou v dočasné pracovní neschopnosti). Obdobně pro zaměstnavatele musí být alespoň v určité míře předvídatelná pravděpodobnost, zda se stane plátcem pojistného, a proto je pro něj důležité mít k dispozici alespoň informaci o tom, zda zaměstnanec již pracuje nebo v měsíci pracoval u jiného zaměstnavatele na základě DPP.</w:t>
      </w:r>
    </w:p>
    <w:p w14:paraId="0C383B62"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5 a 6 (§ 85)</w:t>
      </w:r>
    </w:p>
    <w:p w14:paraId="644ACF6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souvislosti s rozšířením údajů vedených v registrech ČSSZ i o údaje o zaměstnancích činných na základě dohod o provedení práce, které jim nezaloží účast na nemocenském pojištění, upravují se v tomto směru i úkoly ČSSZ.</w:t>
      </w:r>
    </w:p>
    <w:p w14:paraId="25029F98"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lastRenderedPageBreak/>
        <w:t>K bodům 7, 8 a 16 (§ 93 odst. 1 a § 122 odst. 3)</w:t>
      </w:r>
    </w:p>
    <w:p w14:paraId="70B15E8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Doplňuje se, že v Registru pojištěnců jsou evidováni též zaměstnanci činní na základě dohody o provedení práce, kterým dosud nevznikla účast na pojištění.</w:t>
      </w:r>
    </w:p>
    <w:p w14:paraId="5F83AEB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Doplňuje se, že v Registru zaměstnavatelů jsou evidováni též zaměstnavatelé, kteří zaměstnávají zaměstnance činné na základě dohody o provedení práce, kterým dosud nevznikla účast na pojištění. Zaměstnavatel, který nezaměstnává žádného zaměstnance účastného nemocenského pojištění, je povinen přihlásit se nejpozději do 8 kalendářních dnů od svého vzniku, tj. kdy zaměstnal prvního zaměstnance činného na základě DPP, na předepsaném tiskopisu do registru zaměstnavatelů.</w:t>
      </w:r>
    </w:p>
    <w:p w14:paraId="59D193BE" w14:textId="790D0265"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Podle nově navrhované právní úpravy platí, že zaměstnavatel, který nebyl povinen se přihlásit do registru zaměstnavatelů, protože nezaměstnává žádného zaměstnance účastného nemocenského pojištění, se musí přihlásit do evidence zaměstnavatelů, který vede </w:t>
      </w:r>
      <w:r w:rsidR="00705719" w:rsidRPr="003730B5">
        <w:rPr>
          <w:rFonts w:ascii="Times New Roman" w:hAnsi="Times New Roman"/>
          <w:color w:val="auto"/>
          <w:sz w:val="24"/>
        </w:rPr>
        <w:t>ČSSZ</w:t>
      </w:r>
      <w:r w:rsidRPr="003730B5">
        <w:rPr>
          <w:rFonts w:ascii="Times New Roman" w:hAnsi="Times New Roman"/>
          <w:color w:val="auto"/>
          <w:sz w:val="24"/>
        </w:rPr>
        <w:t xml:space="preserve"> rámci svých registrů podle zákona o nemocenském pojištění, a to ve lhůtě do 8 kalendářních dnů ode dne nástupu zaměstnance do zaměstnání vykonávaném na základě DPP, i kdyby se předpokládalo, že z tohoto zaměstnání nebude zaměstnanec účasten nemocenského pojištění. </w:t>
      </w:r>
    </w:p>
    <w:p w14:paraId="581DB8E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Tyto změny zákona o nemocenském pojištění jsou navrženy v souvislosti s novými povinnostmi pro zaměstnavatele, které se týkají rozšíření evidence ČSSZ o zaměstnance činné na základě dohody o provedení práce bez ohledu na skutečnost, zda jim vznikla či nevznikla účast na pojištění a povinnosti přihlásit se do registru zaměstnavatelů, pokud takové zaměstnance zaměstnávají. V této souvislosti se rozšiřuje registr pojištěnců a registr zaměstnavatelů, jejichž správcem je ČSSZ.</w:t>
      </w:r>
    </w:p>
    <w:p w14:paraId="074AC6A4"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9 a 10 (§ 94 odst. 1)</w:t>
      </w:r>
    </w:p>
    <w:p w14:paraId="5AB343D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Zaměstnavatel je povinen oznamovat nástup do zaměstnání u všech zaměstnanců činných na základě DPP. Nástup do zaměstnání oznamují i u těch zaměstnanců, kteří nejsou účastni nemocenského pojištění. </w:t>
      </w:r>
    </w:p>
    <w:p w14:paraId="2A3D724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Zaměstnavatel je povinen oznámit okresní správě sociálního zabezpečení v elektronické podobě na elektronickou adresu určenou touto správou na předepsaném tiskopisu den nástupu do zaměstnání každého zaměstnance činného na základě dohody o provedení práce, a to ve lhůtě do 8 kalendářních dnů ode dne nástupu do zaměstnání a dále je povinen nahlásit den skončení zaměstnání zaměstnance činného na základě dohody o provedení práce, a to ve lhůtě do 8 kalendářních dnů od skončení zaměstnání i v případě, že mu po celou dobu ode dne nástupu do skončení zaměstnání nevznikla účast na pojištění.</w:t>
      </w:r>
    </w:p>
    <w:p w14:paraId="1256075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U nepojištěného zaměstnance činného na základě dohody o provedení práce, u kterého zaměstnavatel již oznámil den nástupu do zaměstnání, se při vzniku účasti na pojištění ohlašovací povinnost považuje za splněnou.</w:t>
      </w:r>
    </w:p>
    <w:p w14:paraId="0963ECD2" w14:textId="0321DDCC" w:rsidR="00133AC8" w:rsidRPr="003730B5" w:rsidRDefault="00133AC8" w:rsidP="00705719">
      <w:pPr>
        <w:pStyle w:val="Dvodovzprva"/>
        <w:widowControl w:val="0"/>
        <w:tabs>
          <w:tab w:val="left" w:pos="6237"/>
        </w:tabs>
        <w:outlineLvl w:val="9"/>
        <w:rPr>
          <w:rFonts w:ascii="Times New Roman" w:hAnsi="Times New Roman"/>
          <w:color w:val="auto"/>
          <w:sz w:val="24"/>
        </w:rPr>
      </w:pPr>
      <w:r w:rsidRPr="003730B5">
        <w:rPr>
          <w:rFonts w:ascii="Times New Roman" w:hAnsi="Times New Roman"/>
          <w:color w:val="auto"/>
          <w:sz w:val="24"/>
        </w:rPr>
        <w:t xml:space="preserve">Podle nově navrhované právní úpravy platí, že zaměstnavatel je povinen oznámit nástup zaměstnance zaměstnaného na základě dohody o provedení práce, do evidence zaměstnanců, kterým nevznikla účast na nemocenském pojištění, kterou vede </w:t>
      </w:r>
      <w:r w:rsidR="00705719" w:rsidRPr="003730B5">
        <w:rPr>
          <w:rFonts w:ascii="Times New Roman" w:hAnsi="Times New Roman"/>
          <w:color w:val="auto"/>
          <w:sz w:val="24"/>
        </w:rPr>
        <w:t>ČSSZ</w:t>
      </w:r>
      <w:r w:rsidRPr="003730B5">
        <w:rPr>
          <w:rFonts w:ascii="Times New Roman" w:hAnsi="Times New Roman"/>
          <w:color w:val="auto"/>
          <w:sz w:val="24"/>
        </w:rPr>
        <w:t xml:space="preserve"> v rámci svých registrů podle zákona o nemocenském pojištění, a to ve lhůtě do 8 kalendářních dnů ode dne nástupu takového zaměstnance do zaměstnání. To platí pro všechny případy, kdy k nástupu takového zaměstnance do zaměstnání dojde v den nabytí účinnosti zákona, či v den pozdější.</w:t>
      </w:r>
    </w:p>
    <w:p w14:paraId="5980FCD2"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11 a 12  (§ 95 odst. 1 písm. k) a odst. 4)</w:t>
      </w:r>
    </w:p>
    <w:p w14:paraId="446FD78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Zaměstnavatel má povinnost vést ve své evidenci potvrzení o tom, že informační povinnost vůči zaměstnanci splnil. Pokud zaměstnavatel tuto informační povinnost vůči zaměstnanci nesplní, bude vždy při vzniku účasti na pojištění povinen uhradit pojistné on, nikdy ne </w:t>
      </w:r>
      <w:r w:rsidRPr="003730B5">
        <w:rPr>
          <w:rFonts w:ascii="Times New Roman" w:hAnsi="Times New Roman"/>
          <w:color w:val="auto"/>
          <w:sz w:val="24"/>
        </w:rPr>
        <w:lastRenderedPageBreak/>
        <w:t>zaměstnanec.</w:t>
      </w:r>
    </w:p>
    <w:p w14:paraId="11AC750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Lze předpokládat, že si většina zaměstnanců nebude přesně vědoma, jaké důsledky pro ně bude mít nedodržení oznamovací povinnosti a s tím související skutečnost, že se mohou stát plátci pojistného a to i za zaměstnavatele. Je tak důležité stanovit zaměstnavatelům povinnost předat potřebné informace zaměstnancům činným na základě DPP.</w:t>
      </w:r>
    </w:p>
    <w:p w14:paraId="2012EB6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Zaměstnavatel, který zaměstnává zaměstnance činné na základě dohody o provedení práce, přičemž tito zaměstnanci jsou činní na základě dohody o provedení práce i u jiných zaměstnavatelů nebo v rámci jednoho kalendářního měsíce byli činní na základě DPP u jiných zaměstnavatelů, je povinen vést ve své evidenci oznámení, jehož prostřednictvím zaměstnanec zaměstnavateli sdělil, že je nebo byl činný na základě další DPP u jiného zaměstnavatele a údaj o tom, že zaměstnanci potvrdil převzetí tohoto oznámení. </w:t>
      </w:r>
    </w:p>
    <w:p w14:paraId="10DDC86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Uvedené oznámení a potvrzení vede zaměstnavatel ve své evidenci po dobu 10 let následujících po roce, kterého se týkají.</w:t>
      </w:r>
    </w:p>
    <w:p w14:paraId="275DE62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Podle nové právní úpravy se evidují všechna zaměstnání zaměstnanců zaměstnaných na základě DPP, bez ohledu na skutečnost, zda jim (ne)vznikla účast na pojištění. Rovněž se mění podmínky pro vznik účasti na pojištění u zaměstnanců činných na základě DPP. Byly nově stanoveny dvě výše rozhodného příjmu pro vznik účasti na nemocenském pojištění. Druhá výše vychází ze zúčtovaných příjmů od všech zaměstnavatelů zaměstnanci, kteří ho zaměstnávají na základě DPP. </w:t>
      </w:r>
    </w:p>
    <w:p w14:paraId="5853D5C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Zaměstnanec tím, že zaměstnavateli bude oznamovat výkon dalšího zaměstnání na základě DPP u jiného zaměstnavatele, upozorňuje zaměstnavatele dopředu na možnost, že zaměstnavateli vznikne povinnost odvést pojistné ze zúčtovaného příjmu, neboť úhrn příjmů z DPP vykonávaných u všech zaměstnavatelů v kalendářním měsíci založí při překročení rozhodné částky účast na pojištění, a proto bude muset být dodatečně za takový měsíc odvedeno pojistné ze zúčtovaného příjmu všemi zaměstnavateli. </w:t>
      </w:r>
    </w:p>
    <w:p w14:paraId="233D7BE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Pokud zaměstnanec tuto povinnost prokazatelně splní, ukládá se zaměstnavateli vést tyto údaje ve svých evidencích pro případ rozhodování ve sporu o ustanovení plátce pojistného mezi zaměstnavatelem a zaměstnancem. Je nutné zaměstnavateli uložit tuto povinnost evidence oznámení a potvrzení zejména z toho důvodu, kdy zaměstnanec nebude schopen své potvrzení, které obdržel od zaměstnavatele, doložit. </w:t>
      </w:r>
    </w:p>
    <w:p w14:paraId="08C623E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Obdobně i zaměstnanec bude uchovávat kopii předaného dokladu či potvrzení zaměstnavatele o tom, že zaměstnanec zaměstnavateli tyto údaje prokazatelně poskytl pro případ, kdy by došlo k dosažení rozhodného příjmu a vzniku účasti na pojištění a následné povinnosti odvést pojistné. Pokud zaměstnanec všem svým zaměstnavatelům prokazatelně neoznámí, že souběžně pracuje ve více zaměstnáních na základě DPP, bude hradit i to pojistné, které obvykle hradí zaměstnavatel ze všech svých zaměstnání.</w:t>
      </w:r>
    </w:p>
    <w:p w14:paraId="345B50F8"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13 a 14 (§ 116 odst. 3 a 12)</w:t>
      </w:r>
    </w:p>
    <w:p w14:paraId="2E3E18F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ČSSZ sděluje zaměstnavatelům na jejich žádost datum vzniku všech souběžných zaměstnání jejich zaměstnance činného na základě DPP, který je u ostatních zaměstnavatelů činný na základě DPP. Žádost zaměstnavatel podává v elektronické podobě způsobem stanoveným ČSSZ. ČSSZ sděluje tyto údaje v elektronické podobě způsobem umožňujícím dálkový přístup.</w:t>
      </w:r>
    </w:p>
    <w:p w14:paraId="1F5020D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Vzhledem k tomu, že podle nové právní úpravy nebude účast zaměstnance činného na základě DPP záviset pouze na výši příjmu zúčtovanému zaměstnanci v rámci jednoho zaměstnavatele, ale bude se nově posuzovat vznik účasti na pojištění po součtu všech příjmů zúčtovaných zaměstnanci v kal. měsíci u všech souběžných zaměstnavatelů, umožňuje se zaměstnavateli zaměstnance využít nové služby k poskytnutí relevantní informace o jeho souběžných </w:t>
      </w:r>
      <w:r w:rsidRPr="003730B5">
        <w:rPr>
          <w:rFonts w:ascii="Times New Roman" w:hAnsi="Times New Roman"/>
          <w:color w:val="auto"/>
          <w:sz w:val="24"/>
        </w:rPr>
        <w:lastRenderedPageBreak/>
        <w:t>zaměstnáních na základě DPP. Ačkoli zaměstnanec má povinnost oznámit zaměstnavateli všechna svá souběžná zaměstnání na základě DPP, umožňuje se zaměstnavateli si tyto skutečnosti ověřit přímo u ČSSZ. Údaj bude pro zaměstnavatele dostupný teprve poté, až ostatní zaměstnavatelé oznámí nástup totožného zaměstnance do zaměstnání na základě DPP.</w:t>
      </w:r>
    </w:p>
    <w:p w14:paraId="60085D33" w14:textId="77777777" w:rsidR="00133AC8" w:rsidRPr="003730B5" w:rsidRDefault="00133AC8" w:rsidP="00133AC8">
      <w:pPr>
        <w:pStyle w:val="Dvodovzprvakbodu"/>
        <w:keepNext w:val="0"/>
        <w:widowControl w:val="0"/>
        <w:numPr>
          <w:ilvl w:val="0"/>
          <w:numId w:val="77"/>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120 odst. 1)</w:t>
      </w:r>
    </w:p>
    <w:p w14:paraId="3BEC54D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souvislosti s rozšířením údajů vedených v registrech ČSSZ i o údaje o zaměstnancích činných na základě dohod o provedení práce, které jim nezaloží účast na nemocenském pojištění, je třeba v tomto smyslu doplnit i § 120 týkající se údajů shromažďovaných orgány nemocenského pojištění.</w:t>
      </w:r>
    </w:p>
    <w:p w14:paraId="74801B8A"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17 až 19 (§ 131 odst. 1 písm. h), t) a u) a odst. 2)</w:t>
      </w:r>
    </w:p>
    <w:p w14:paraId="71AD6FF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Porušení povinnosti zaměstnavatele </w:t>
      </w:r>
    </w:p>
    <w:p w14:paraId="25AE7503" w14:textId="77777777" w:rsidR="00133AC8" w:rsidRPr="003730B5" w:rsidRDefault="00133AC8" w:rsidP="00133AC8">
      <w:pPr>
        <w:pStyle w:val="Dvodovzprva"/>
        <w:widowControl w:val="0"/>
        <w:ind w:left="567" w:hanging="425"/>
        <w:outlineLvl w:val="9"/>
        <w:rPr>
          <w:rFonts w:ascii="Times New Roman" w:hAnsi="Times New Roman"/>
          <w:color w:val="auto"/>
          <w:sz w:val="24"/>
        </w:rPr>
      </w:pPr>
      <w:r w:rsidRPr="003730B5">
        <w:rPr>
          <w:rFonts w:ascii="Times New Roman" w:hAnsi="Times New Roman"/>
          <w:color w:val="auto"/>
          <w:sz w:val="24"/>
        </w:rPr>
        <w:t>-</w:t>
      </w:r>
      <w:r w:rsidRPr="003730B5">
        <w:rPr>
          <w:rFonts w:ascii="Times New Roman" w:hAnsi="Times New Roman"/>
          <w:color w:val="auto"/>
          <w:sz w:val="24"/>
        </w:rPr>
        <w:tab/>
        <w:t xml:space="preserve">oznámit nástup zaměstnance činného na základě DPP do zaměstnání již je v § 131 odst. 1 písm. f), </w:t>
      </w:r>
    </w:p>
    <w:p w14:paraId="30CBB2CE" w14:textId="77777777" w:rsidR="00133AC8" w:rsidRPr="003730B5" w:rsidRDefault="00133AC8" w:rsidP="00133AC8">
      <w:pPr>
        <w:pStyle w:val="Dvodovzprva"/>
        <w:widowControl w:val="0"/>
        <w:ind w:left="567" w:hanging="425"/>
        <w:outlineLvl w:val="9"/>
        <w:rPr>
          <w:rFonts w:ascii="Times New Roman" w:hAnsi="Times New Roman"/>
          <w:color w:val="auto"/>
          <w:sz w:val="24"/>
        </w:rPr>
      </w:pPr>
      <w:r w:rsidRPr="003730B5">
        <w:rPr>
          <w:rFonts w:ascii="Times New Roman" w:hAnsi="Times New Roman"/>
          <w:color w:val="auto"/>
          <w:sz w:val="24"/>
        </w:rPr>
        <w:t>-</w:t>
      </w:r>
      <w:r w:rsidRPr="003730B5">
        <w:rPr>
          <w:rFonts w:ascii="Times New Roman" w:hAnsi="Times New Roman"/>
          <w:color w:val="auto"/>
          <w:sz w:val="24"/>
        </w:rPr>
        <w:tab/>
        <w:t>předat zaměstnanci, s nímž uzavřel DPP, písemnou informaci o povinnosti zaměstnance sdělovat zaměstnavateli uzavření nebo trvání dalších DPP alespoň s jedním dalším zaměstnavatelem (i bývalým v rámci jednoho kalendářního měsíce)</w:t>
      </w:r>
    </w:p>
    <w:p w14:paraId="119763F4" w14:textId="77777777" w:rsidR="00133AC8" w:rsidRPr="003730B5" w:rsidRDefault="00133AC8" w:rsidP="00133AC8">
      <w:pPr>
        <w:pStyle w:val="Dvodovzprva"/>
        <w:widowControl w:val="0"/>
        <w:ind w:left="567" w:hanging="425"/>
        <w:outlineLvl w:val="9"/>
        <w:rPr>
          <w:rFonts w:ascii="Times New Roman" w:hAnsi="Times New Roman"/>
          <w:color w:val="auto"/>
          <w:sz w:val="24"/>
        </w:rPr>
      </w:pPr>
      <w:r w:rsidRPr="003730B5">
        <w:rPr>
          <w:rFonts w:ascii="Times New Roman" w:hAnsi="Times New Roman"/>
          <w:color w:val="auto"/>
          <w:sz w:val="24"/>
        </w:rPr>
        <w:t>-</w:t>
      </w:r>
      <w:r w:rsidRPr="003730B5">
        <w:rPr>
          <w:rFonts w:ascii="Times New Roman" w:hAnsi="Times New Roman"/>
          <w:color w:val="auto"/>
          <w:sz w:val="24"/>
        </w:rPr>
        <w:tab/>
        <w:t>vést ve svých evidencích oznámení poskytnuté zaměstnancem o skutečnosti, že zaměstnanec vykonává nebo vykonával další zaměstnání na základě DPP a údaj o tom, že zaměstnanci potvrdil převzetí tohoto oznámení</w:t>
      </w:r>
    </w:p>
    <w:p w14:paraId="77E2365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se považuje za přestupek, za který lze zaměstnavateli uložit pokutu až do výše 50 000 Kč. </w:t>
      </w:r>
    </w:p>
    <w:p w14:paraId="3C4AC7D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Vzhledem k tomu, že se zakládají zaměstnavatelům nové povinnosti, je třeba stanovit i přiměřenou sankci v případě porušení těchto povinností. Pokuta v max. výši 50 000 Kč, je odpovídající danému porušení.</w:t>
      </w:r>
    </w:p>
    <w:p w14:paraId="1BE1A494" w14:textId="54CFF724" w:rsidR="00133AC8" w:rsidRPr="003730B5" w:rsidRDefault="00133AC8" w:rsidP="00133AC8">
      <w:pPr>
        <w:widowControl w:val="0"/>
        <w:spacing w:before="240" w:after="120"/>
        <w:outlineLvl w:val="2"/>
        <w:rPr>
          <w:b/>
        </w:rPr>
      </w:pPr>
      <w:r w:rsidRPr="003730B5">
        <w:rPr>
          <w:b/>
        </w:rPr>
        <w:t>K čl. </w:t>
      </w:r>
      <w:r w:rsidR="002C6370" w:rsidRPr="003730B5">
        <w:rPr>
          <w:b/>
        </w:rPr>
        <w:t xml:space="preserve">LXV </w:t>
      </w:r>
      <w:r w:rsidRPr="003730B5">
        <w:rPr>
          <w:b/>
        </w:rPr>
        <w:t>(Přechodná ustanovení)</w:t>
      </w:r>
    </w:p>
    <w:p w14:paraId="2470D1F9" w14:textId="77777777" w:rsidR="0065097F" w:rsidRPr="003730B5" w:rsidRDefault="0065097F" w:rsidP="00133AC8">
      <w:pPr>
        <w:pStyle w:val="Dvodovzprva"/>
        <w:widowControl w:val="0"/>
        <w:outlineLvl w:val="9"/>
        <w:rPr>
          <w:rFonts w:ascii="Times New Roman" w:hAnsi="Times New Roman"/>
          <w:color w:val="auto"/>
          <w:sz w:val="24"/>
          <w:u w:val="single"/>
        </w:rPr>
      </w:pPr>
      <w:r w:rsidRPr="003730B5">
        <w:rPr>
          <w:rFonts w:ascii="Times New Roman" w:hAnsi="Times New Roman"/>
          <w:color w:val="auto"/>
          <w:sz w:val="24"/>
          <w:u w:val="single"/>
        </w:rPr>
        <w:t>K bodu 1</w:t>
      </w:r>
    </w:p>
    <w:p w14:paraId="7CE6A05A" w14:textId="12DF87FE"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Pokud DPP trvala před účinností zákona a trvá i za účinnosti tohoto zákona, oznamovací povinnost musí zaměstnavatel vůči svým zaměstnancům činným na základě DPP splnit ve lhůtě do 15 dnů ode dne nabytí účinnosti zákona.</w:t>
      </w:r>
    </w:p>
    <w:p w14:paraId="47D08D0C" w14:textId="3EAAE43C" w:rsidR="0065097F" w:rsidRPr="003730B5" w:rsidRDefault="0065097F" w:rsidP="00A24C00">
      <w:pPr>
        <w:pStyle w:val="Dvodovzprva"/>
        <w:widowControl w:val="0"/>
        <w:outlineLvl w:val="9"/>
        <w:rPr>
          <w:rFonts w:ascii="Times New Roman" w:hAnsi="Times New Roman"/>
          <w:color w:val="auto"/>
          <w:sz w:val="24"/>
          <w:u w:val="single"/>
        </w:rPr>
      </w:pPr>
      <w:r w:rsidRPr="003730B5">
        <w:rPr>
          <w:rFonts w:ascii="Times New Roman" w:hAnsi="Times New Roman"/>
          <w:color w:val="auto"/>
          <w:sz w:val="24"/>
          <w:u w:val="single"/>
        </w:rPr>
        <w:t>K bodu 2</w:t>
      </w:r>
    </w:p>
    <w:p w14:paraId="179AD30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Pokud DPP trvala před účinností zákona a trvá i za účinnosti tohoto zákona, oznamovací povinnost musí zaměstnanec vůči zaměstnavateli splnit do 7 dnů ode dne, kdy mu zaměstnavatel oznámil jeho povinnosti podle bodu 1.</w:t>
      </w:r>
    </w:p>
    <w:p w14:paraId="299E939A"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b w:val="0"/>
          <w:color w:val="auto"/>
          <w:sz w:val="24"/>
          <w:szCs w:val="24"/>
          <w:u w:val="single"/>
        </w:rPr>
      </w:pPr>
      <w:r w:rsidRPr="003730B5">
        <w:rPr>
          <w:rFonts w:ascii="Times New Roman" w:hAnsi="Times New Roman"/>
          <w:b w:val="0"/>
          <w:color w:val="auto"/>
          <w:sz w:val="24"/>
          <w:szCs w:val="24"/>
          <w:u w:val="single"/>
        </w:rPr>
        <w:t>K bodům 3 a 4</w:t>
      </w:r>
    </w:p>
    <w:p w14:paraId="43914F8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Pokud přecházejí DPP, které trvaly před účinností zákona, do doby za účinnosti tohoto zákona, oznámí zaměstnavatel nepojištěné zaměstnance činné na základě DPP, jakož se i přihlásí do registru zaměstnavatelů (pokud v něm není) ve lhůtě 30 dnů ode dne nabytí účinnosti zákona.</w:t>
      </w:r>
    </w:p>
    <w:p w14:paraId="38A53DBF" w14:textId="77777777" w:rsidR="00133AC8" w:rsidRPr="003730B5" w:rsidRDefault="00133AC8" w:rsidP="00133AC8">
      <w:pPr>
        <w:widowControl w:val="0"/>
        <w:spacing w:before="240" w:after="120"/>
        <w:outlineLvl w:val="1"/>
        <w:rPr>
          <w:b/>
          <w:sz w:val="28"/>
        </w:rPr>
      </w:pPr>
      <w:r w:rsidRPr="003730B5">
        <w:rPr>
          <w:b/>
          <w:sz w:val="28"/>
        </w:rPr>
        <w:t>K části třicáté deváté – Změna zákona o insolvenčních správcích</w:t>
      </w:r>
    </w:p>
    <w:p w14:paraId="363E8F58" w14:textId="77777777" w:rsidR="00133AC8" w:rsidRPr="003730B5" w:rsidRDefault="00133AC8" w:rsidP="00133AC8">
      <w:pPr>
        <w:pStyle w:val="Dvodovzprva"/>
        <w:widowControl w:val="0"/>
        <w:spacing w:before="0" w:after="120"/>
        <w:outlineLvl w:val="9"/>
        <w:rPr>
          <w:rFonts w:ascii="Times New Roman" w:hAnsi="Times New Roman"/>
          <w:color w:val="auto"/>
          <w:sz w:val="24"/>
        </w:rPr>
      </w:pPr>
      <w:r w:rsidRPr="003730B5">
        <w:rPr>
          <w:rFonts w:ascii="Times New Roman" w:hAnsi="Times New Roman"/>
          <w:color w:val="auto"/>
          <w:sz w:val="24"/>
        </w:rPr>
        <w:t>V rámci této části je řešen převod kompetence k vymáhání tzv. justičních pohledávek na orgány Celní správy České republiky. V podrobnostech lze odkázat na odůvodnění novely trestního řádu.</w:t>
      </w:r>
    </w:p>
    <w:p w14:paraId="190DFD56" w14:textId="2C6DCA97" w:rsidR="00133AC8" w:rsidRPr="003730B5" w:rsidRDefault="00133AC8" w:rsidP="00133AC8">
      <w:pPr>
        <w:widowControl w:val="0"/>
        <w:spacing w:after="120"/>
        <w:outlineLvl w:val="2"/>
        <w:rPr>
          <w:szCs w:val="24"/>
        </w:rPr>
      </w:pPr>
      <w:r w:rsidRPr="003730B5">
        <w:rPr>
          <w:b/>
        </w:rPr>
        <w:t>K čl. </w:t>
      </w:r>
      <w:r w:rsidR="002C6370" w:rsidRPr="003730B5">
        <w:rPr>
          <w:b/>
        </w:rPr>
        <w:t xml:space="preserve">LXVI </w:t>
      </w:r>
      <w:r w:rsidRPr="003730B5">
        <w:rPr>
          <w:b/>
          <w:szCs w:val="24"/>
        </w:rPr>
        <w:t>(§ 36c)</w:t>
      </w:r>
    </w:p>
    <w:p w14:paraId="48BC81F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 xml:space="preserve">V souladu s obecnou částí důvodové zprávy se vypouští speciální ustanovení o příslušnosti k vybírání a vymáhání pokut uložených za přestupky podle zákona o insolvenčních správcích. Díky tomu se tedy uplatní obecná úprava, kdy vybírat tyto pokuty bude Ministerstvo spravedlnosti jakožto orgán, který tyto pokuty uložil, vymáhat je budou orgány Celní správy České republiky (viz obecná část důvodové zprávy).  </w:t>
      </w:r>
    </w:p>
    <w:p w14:paraId="02D2C3A4" w14:textId="6CB6C757" w:rsidR="00133AC8" w:rsidRPr="003730B5" w:rsidRDefault="00133AC8" w:rsidP="00133AC8">
      <w:pPr>
        <w:widowControl w:val="0"/>
        <w:spacing w:before="240" w:after="120"/>
        <w:outlineLvl w:val="2"/>
        <w:rPr>
          <w:b/>
        </w:rPr>
      </w:pPr>
      <w:r w:rsidRPr="003730B5">
        <w:rPr>
          <w:b/>
        </w:rPr>
        <w:t>K čl. </w:t>
      </w:r>
      <w:r w:rsidR="002C6370" w:rsidRPr="003730B5">
        <w:rPr>
          <w:b/>
        </w:rPr>
        <w:t xml:space="preserve">LXVII </w:t>
      </w:r>
      <w:r w:rsidRPr="003730B5">
        <w:rPr>
          <w:b/>
        </w:rPr>
        <w:t>(Přechodná ustanovení)</w:t>
      </w:r>
    </w:p>
    <w:p w14:paraId="6AA8150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K vymáhání pokut podle zákona o insolvenčních správcích bude celní úřad příslušný ode dne nabytí účinnosti tohoto zákona v případě těch pohledávek, které vzniknou ode dne nabytí účinnosti tohoto zákona.</w:t>
      </w:r>
    </w:p>
    <w:p w14:paraId="4D3CE04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K vymáhání pokut, které vznikly přede dnem nabytí účinnosti tohoto zákona, nebyly však předány k vymáhání soudnímu exekutorovi nebo přihlášeny do veřejné dražby podle § 175 odst. 1 daňového řádu, bude celní úřad příslušný ode dne převzetí jejich vymáhání. Nebyla-li daňová exekuce pro takovou pohledávku ke dni nabytí účinnosti tohoto zákona nařízena vydáním exekučního příkazu, předá orgán, který je příslušný k jejímu vymáhání podle stávající právní úpravy, pohledávku k vymáhání celnímu úřadu bez zbytečného odkladu, nejpozději do 30. 6. 2024. Byla-li ke dni nabytí účinnosti tohoto zákona pro pohledávku nařízena daňová exekuce vydáním exekučního příkazu, postupují orgány příslušné k jejímu vymáhání podle stávající právní úpravy k jejímu vymožení. Pohledávky, které tímto postupem nebudou zcela vymoženy, předá orgán příslušný k jejich vymáhání podle stávající právní úpravy k vymáhání celnímu úřadu do 31. 12. 2024. </w:t>
      </w:r>
    </w:p>
    <w:p w14:paraId="3374EFF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Příslušnost k vymáhání pohledávek, které vznikly přede dnem účinnosti tohoto zákona a byly předány k vymáhání soudnímu exekutorovi nebo přihlášeny do veřejné dražby podle § 175 odst. 1 daňového řádu, se z procesních důvodů nemění.</w:t>
      </w:r>
    </w:p>
    <w:p w14:paraId="2827A1D7"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čtyřicáté – Změna zákona o stabilizaci veřejných rozpočtů (část čtyřicátá pátá až čtyřicátá sedmá)</w:t>
      </w:r>
    </w:p>
    <w:p w14:paraId="13788249" w14:textId="53FF6B67" w:rsidR="00133AC8" w:rsidRPr="003730B5" w:rsidRDefault="00133AC8" w:rsidP="00133AC8">
      <w:pPr>
        <w:widowControl w:val="0"/>
        <w:spacing w:after="120"/>
        <w:outlineLvl w:val="2"/>
        <w:rPr>
          <w:b/>
        </w:rPr>
      </w:pPr>
      <w:r w:rsidRPr="003730B5">
        <w:rPr>
          <w:b/>
        </w:rPr>
        <w:t>K čl. </w:t>
      </w:r>
      <w:r w:rsidR="002C6370" w:rsidRPr="003730B5">
        <w:rPr>
          <w:b/>
        </w:rPr>
        <w:t>LXVIII</w:t>
      </w:r>
    </w:p>
    <w:p w14:paraId="112AE172" w14:textId="77777777" w:rsidR="00133AC8" w:rsidRPr="003730B5" w:rsidRDefault="00133AC8" w:rsidP="00133AC8">
      <w:pPr>
        <w:pStyle w:val="Dvodovzprvakbodu"/>
        <w:widowControl w:val="0"/>
        <w:numPr>
          <w:ilvl w:val="0"/>
          <w:numId w:val="88"/>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(část čtyřicátá pátá čl. LXXII § 2 odst. 1 písm. e) až g))</w:t>
      </w:r>
    </w:p>
    <w:p w14:paraId="35178B5C" w14:textId="77777777" w:rsidR="00133AC8" w:rsidRPr="003730B5" w:rsidRDefault="00133AC8" w:rsidP="00133AC8">
      <w:pPr>
        <w:widowControl w:val="0"/>
        <w:numPr>
          <w:ilvl w:val="0"/>
          <w:numId w:val="21"/>
        </w:numPr>
        <w:tabs>
          <w:tab w:val="num" w:pos="360"/>
        </w:tabs>
        <w:spacing w:before="120"/>
        <w:rPr>
          <w:u w:val="single"/>
        </w:rPr>
      </w:pPr>
      <w:r w:rsidRPr="003730B5">
        <w:rPr>
          <w:u w:val="single"/>
        </w:rPr>
        <w:t>K písmeni e)</w:t>
      </w:r>
    </w:p>
    <w:p w14:paraId="634A240F" w14:textId="77777777" w:rsidR="00133AC8" w:rsidRPr="003730B5" w:rsidRDefault="00133AC8" w:rsidP="00133AC8">
      <w:pPr>
        <w:widowControl w:val="0"/>
        <w:numPr>
          <w:ilvl w:val="0"/>
          <w:numId w:val="21"/>
        </w:numPr>
        <w:tabs>
          <w:tab w:val="num" w:pos="360"/>
        </w:tabs>
        <w:spacing w:before="120"/>
      </w:pPr>
      <w:r w:rsidRPr="003730B5">
        <w:t>Navrhovaná změna souvisí se zrušením osvobození plynu určeného k použití, nabízeného k prodeji nebo použitého v metalurgických procesech nebo k mineralogickým postupům od daně ze zemního plynu a některých dalších plynů. Vzhledem k tomu, že mineralogické postupy i metalurgické procesy jsou definovány mimo jiné i pomocí klasifikace NACE, nebude zakotvení této definice v části čtyřicáté páté zákona o stabilizaci veřejných rozpočtů nadále zapotřebí.</w:t>
      </w:r>
    </w:p>
    <w:p w14:paraId="2E5632E9" w14:textId="77777777" w:rsidR="00133AC8" w:rsidRPr="003730B5" w:rsidRDefault="00133AC8" w:rsidP="00133AC8">
      <w:pPr>
        <w:widowControl w:val="0"/>
        <w:numPr>
          <w:ilvl w:val="0"/>
          <w:numId w:val="21"/>
        </w:numPr>
        <w:tabs>
          <w:tab w:val="num" w:pos="360"/>
        </w:tabs>
        <w:spacing w:before="120"/>
        <w:rPr>
          <w:u w:val="single"/>
        </w:rPr>
      </w:pPr>
      <w:r w:rsidRPr="003730B5">
        <w:rPr>
          <w:u w:val="single"/>
        </w:rPr>
        <w:t>K písmeni f)</w:t>
      </w:r>
    </w:p>
    <w:p w14:paraId="3BEBD7DB" w14:textId="77777777" w:rsidR="00133AC8" w:rsidRPr="003730B5" w:rsidRDefault="00133AC8" w:rsidP="00133AC8">
      <w:pPr>
        <w:widowControl w:val="0"/>
        <w:numPr>
          <w:ilvl w:val="0"/>
          <w:numId w:val="21"/>
        </w:numPr>
        <w:tabs>
          <w:tab w:val="num" w:pos="360"/>
        </w:tabs>
        <w:spacing w:before="120"/>
      </w:pPr>
      <w:r w:rsidRPr="003730B5">
        <w:t>Navrhovaná změna souvisí se zrušením osvobození plynu určeného k použití, nabízeného k prodeji nebo použitého v metalurgických procesech od daně ze zemního plynu a některých dalších plynů. V důsledku této skutečnosti již nebude definice metalurgických procesů v zákoně zapotřebí.</w:t>
      </w:r>
    </w:p>
    <w:p w14:paraId="61C4C3C6" w14:textId="77777777" w:rsidR="00133AC8" w:rsidRPr="003730B5" w:rsidRDefault="00133AC8" w:rsidP="00133AC8">
      <w:pPr>
        <w:widowControl w:val="0"/>
        <w:numPr>
          <w:ilvl w:val="0"/>
          <w:numId w:val="21"/>
        </w:numPr>
        <w:tabs>
          <w:tab w:val="num" w:pos="360"/>
        </w:tabs>
        <w:spacing w:before="120"/>
        <w:rPr>
          <w:u w:val="single"/>
        </w:rPr>
      </w:pPr>
      <w:r w:rsidRPr="003730B5">
        <w:rPr>
          <w:u w:val="single"/>
        </w:rPr>
        <w:t>K písmeni g)</w:t>
      </w:r>
    </w:p>
    <w:p w14:paraId="54976D41" w14:textId="77777777" w:rsidR="00133AC8" w:rsidRPr="003730B5" w:rsidRDefault="00133AC8" w:rsidP="00133AC8">
      <w:pPr>
        <w:widowControl w:val="0"/>
        <w:numPr>
          <w:ilvl w:val="0"/>
          <w:numId w:val="21"/>
        </w:numPr>
        <w:tabs>
          <w:tab w:val="num" w:pos="360"/>
        </w:tabs>
        <w:spacing w:before="120"/>
      </w:pPr>
      <w:r w:rsidRPr="003730B5">
        <w:t xml:space="preserve">Navrhovaná změna souvisí se zrušením osvobození plynu určeného k použití, nabízeného k prodeji nebo použitého k mineralogickým postupům od daně ze zemního plynu a některých dalších plynů. V důsledku této skutečnosti již nebude definice mineralogických postupů </w:t>
      </w:r>
      <w:r w:rsidRPr="003730B5">
        <w:lastRenderedPageBreak/>
        <w:t>v zákoně zapotřebí.</w:t>
      </w:r>
    </w:p>
    <w:p w14:paraId="504726C9" w14:textId="77777777" w:rsidR="00133AC8" w:rsidRPr="003730B5" w:rsidRDefault="00133AC8" w:rsidP="00133AC8">
      <w:pPr>
        <w:widowControl w:val="0"/>
        <w:numPr>
          <w:ilvl w:val="0"/>
          <w:numId w:val="53"/>
        </w:numPr>
        <w:tabs>
          <w:tab w:val="left" w:pos="708"/>
        </w:tabs>
        <w:spacing w:before="120"/>
        <w:outlineLvl w:val="3"/>
        <w:rPr>
          <w:b/>
          <w:szCs w:val="24"/>
        </w:rPr>
      </w:pPr>
      <w:r w:rsidRPr="003730B5">
        <w:rPr>
          <w:b/>
          <w:szCs w:val="24"/>
        </w:rPr>
        <w:t> (část čtyřicátá pátá čl. LXXII § 8 odst. 1 písm. e) a f))</w:t>
      </w:r>
    </w:p>
    <w:p w14:paraId="54A7D47F" w14:textId="77777777" w:rsidR="00133AC8" w:rsidRPr="003730B5" w:rsidRDefault="00133AC8" w:rsidP="00133AC8">
      <w:pPr>
        <w:widowControl w:val="0"/>
        <w:numPr>
          <w:ilvl w:val="0"/>
          <w:numId w:val="21"/>
        </w:numPr>
        <w:tabs>
          <w:tab w:val="num" w:pos="360"/>
        </w:tabs>
        <w:spacing w:before="120"/>
      </w:pPr>
      <w:r w:rsidRPr="003730B5">
        <w:t>Navrhovanou změnou je zrušeno osvobození plynu určeného k použití, nabízeného k prodeji nebo použitého v metalurgických procesech nebo k mineralogickým postupům od daně ze zemního plynu a některých dalších plynů. Subjekty, které dosud předmětné plyny odebírají osvobozené od daně, tak budou od nabytí účinnosti zákona činit již s daní, která činí 30,60 Kč/MWh spalného tepla.</w:t>
      </w:r>
    </w:p>
    <w:p w14:paraId="458FE00E" w14:textId="77777777" w:rsidR="00133AC8" w:rsidRPr="003730B5" w:rsidRDefault="00133AC8" w:rsidP="00133AC8">
      <w:pPr>
        <w:widowControl w:val="0"/>
        <w:numPr>
          <w:ilvl w:val="0"/>
          <w:numId w:val="53"/>
        </w:numPr>
        <w:tabs>
          <w:tab w:val="left" w:pos="708"/>
        </w:tabs>
        <w:spacing w:before="120"/>
        <w:outlineLvl w:val="3"/>
        <w:rPr>
          <w:b/>
          <w:szCs w:val="24"/>
        </w:rPr>
      </w:pPr>
      <w:r w:rsidRPr="003730B5">
        <w:rPr>
          <w:b/>
          <w:szCs w:val="24"/>
        </w:rPr>
        <w:t> (část čtyřicátá pátá čl. LXXII § 8 odst. 2 a 3 a § 16 odst. 1)</w:t>
      </w:r>
    </w:p>
    <w:p w14:paraId="3B9363B6" w14:textId="77777777" w:rsidR="00133AC8" w:rsidRPr="003730B5" w:rsidRDefault="00133AC8" w:rsidP="00133AC8">
      <w:pPr>
        <w:widowControl w:val="0"/>
        <w:numPr>
          <w:ilvl w:val="0"/>
          <w:numId w:val="21"/>
        </w:numPr>
        <w:tabs>
          <w:tab w:val="num" w:pos="360"/>
        </w:tabs>
        <w:spacing w:before="120"/>
      </w:pPr>
      <w:r w:rsidRPr="003730B5">
        <w:t>Jedná se o legislativně-technickou změnu vyplývající ze zrušení dvou písmen v § 8 odst. 1 části čtyřicáté páté zákona o stabilizaci veřejných rozpočtů.</w:t>
      </w:r>
    </w:p>
    <w:p w14:paraId="206502CE" w14:textId="77777777" w:rsidR="00133AC8" w:rsidRPr="003730B5" w:rsidRDefault="00133AC8" w:rsidP="00133AC8">
      <w:pPr>
        <w:widowControl w:val="0"/>
        <w:numPr>
          <w:ilvl w:val="0"/>
          <w:numId w:val="53"/>
        </w:numPr>
        <w:tabs>
          <w:tab w:val="left" w:pos="708"/>
        </w:tabs>
        <w:spacing w:before="120"/>
        <w:outlineLvl w:val="3"/>
        <w:rPr>
          <w:b/>
          <w:szCs w:val="24"/>
        </w:rPr>
      </w:pPr>
      <w:r w:rsidRPr="003730B5">
        <w:rPr>
          <w:b/>
          <w:szCs w:val="24"/>
        </w:rPr>
        <w:t> (část čtyřicátá šestá čl. LXXIII § 2 odst. 1 se písm. e) až g))</w:t>
      </w:r>
    </w:p>
    <w:p w14:paraId="5E294976" w14:textId="77777777" w:rsidR="00133AC8" w:rsidRPr="003730B5" w:rsidRDefault="00133AC8" w:rsidP="00133AC8">
      <w:pPr>
        <w:widowControl w:val="0"/>
        <w:spacing w:before="120"/>
        <w:rPr>
          <w:u w:val="single"/>
        </w:rPr>
      </w:pPr>
      <w:r w:rsidRPr="003730B5">
        <w:rPr>
          <w:u w:val="single"/>
        </w:rPr>
        <w:t>K písmeni e)</w:t>
      </w:r>
    </w:p>
    <w:p w14:paraId="70F42FA5" w14:textId="77777777" w:rsidR="00133AC8" w:rsidRPr="003730B5" w:rsidRDefault="00133AC8" w:rsidP="00133AC8">
      <w:pPr>
        <w:widowControl w:val="0"/>
        <w:numPr>
          <w:ilvl w:val="0"/>
          <w:numId w:val="21"/>
        </w:numPr>
        <w:tabs>
          <w:tab w:val="num" w:pos="360"/>
        </w:tabs>
        <w:spacing w:before="120"/>
      </w:pPr>
      <w:r w:rsidRPr="003730B5">
        <w:t>Navrhovaná změna souvisí se zrušením osvobození pevných paliv určených k použití, nabízených k prodeji nebo použitých v metalurgických procesech nebo k mineralogickým postupům od daně z pevných paliv. Vzhledem k tomu, že mineralogické postupy i metalurgické procesy jsou definovány mimo jiné i pomocí klasifikace NACE, nebude zakotvení této definice v části čtyřicáté šesté zákona o stabilizaci veřejných rozpočtů nadále zapotřebí.</w:t>
      </w:r>
    </w:p>
    <w:p w14:paraId="62D4CFD7" w14:textId="77777777" w:rsidR="00133AC8" w:rsidRPr="003730B5" w:rsidRDefault="00133AC8" w:rsidP="00133AC8">
      <w:pPr>
        <w:keepNext/>
        <w:widowControl w:val="0"/>
        <w:spacing w:before="120"/>
        <w:rPr>
          <w:u w:val="single"/>
        </w:rPr>
      </w:pPr>
      <w:r w:rsidRPr="003730B5">
        <w:rPr>
          <w:u w:val="single"/>
        </w:rPr>
        <w:t>K písmeni f)</w:t>
      </w:r>
    </w:p>
    <w:p w14:paraId="19365189" w14:textId="77777777" w:rsidR="00133AC8" w:rsidRPr="003730B5" w:rsidRDefault="00133AC8" w:rsidP="00133AC8">
      <w:pPr>
        <w:widowControl w:val="0"/>
        <w:numPr>
          <w:ilvl w:val="0"/>
          <w:numId w:val="21"/>
        </w:numPr>
        <w:tabs>
          <w:tab w:val="num" w:pos="360"/>
        </w:tabs>
        <w:spacing w:before="120"/>
      </w:pPr>
      <w:r w:rsidRPr="003730B5">
        <w:t>Navrhovaná změna souvisí se zrušením osvobození pevných paliv určených k použití, nabízených k prodeji nebo použitých v metalurgických procesech od daně z pevných paliv. V důsledku této skutečnosti již nebude definice metalurgických procesů v zákoně zapotřebí.</w:t>
      </w:r>
    </w:p>
    <w:p w14:paraId="53E2B3DC" w14:textId="77777777" w:rsidR="00133AC8" w:rsidRPr="003730B5" w:rsidRDefault="00133AC8" w:rsidP="00133AC8">
      <w:pPr>
        <w:widowControl w:val="0"/>
        <w:numPr>
          <w:ilvl w:val="0"/>
          <w:numId w:val="21"/>
        </w:numPr>
        <w:tabs>
          <w:tab w:val="num" w:pos="360"/>
        </w:tabs>
        <w:spacing w:before="120"/>
        <w:rPr>
          <w:u w:val="single"/>
        </w:rPr>
      </w:pPr>
      <w:r w:rsidRPr="003730B5">
        <w:rPr>
          <w:u w:val="single"/>
        </w:rPr>
        <w:t>K písmeni g)</w:t>
      </w:r>
    </w:p>
    <w:p w14:paraId="3B1AD684" w14:textId="77777777" w:rsidR="00133AC8" w:rsidRPr="003730B5" w:rsidRDefault="00133AC8" w:rsidP="00133AC8">
      <w:pPr>
        <w:widowControl w:val="0"/>
        <w:numPr>
          <w:ilvl w:val="0"/>
          <w:numId w:val="21"/>
        </w:numPr>
        <w:tabs>
          <w:tab w:val="num" w:pos="360"/>
        </w:tabs>
        <w:spacing w:before="120"/>
      </w:pPr>
      <w:r w:rsidRPr="003730B5">
        <w:t>Navrhovaná změna souvisí se zrušením osvobození pevných paliv určených k použití, nabízených k prodeji nebo použitých k mineralogickým postupům od daně z pevných paliv. V důsledku této skutečnosti již nebude definice mineralogických postupů v zákoně zapotřebí.</w:t>
      </w:r>
    </w:p>
    <w:p w14:paraId="0FA44665" w14:textId="77777777" w:rsidR="00133AC8" w:rsidRPr="003730B5" w:rsidRDefault="00133AC8" w:rsidP="00133AC8">
      <w:pPr>
        <w:widowControl w:val="0"/>
        <w:numPr>
          <w:ilvl w:val="0"/>
          <w:numId w:val="53"/>
        </w:numPr>
        <w:tabs>
          <w:tab w:val="left" w:pos="708"/>
        </w:tabs>
        <w:spacing w:before="120"/>
        <w:outlineLvl w:val="3"/>
        <w:rPr>
          <w:b/>
          <w:szCs w:val="24"/>
        </w:rPr>
      </w:pPr>
      <w:r w:rsidRPr="003730B5">
        <w:rPr>
          <w:b/>
          <w:szCs w:val="24"/>
        </w:rPr>
        <w:t> (část čtyřicátá šestá čl. LXXIII § 8 odst. 1 písm. e) a f))</w:t>
      </w:r>
    </w:p>
    <w:p w14:paraId="2C2D4C43" w14:textId="77777777" w:rsidR="00133AC8" w:rsidRPr="003730B5" w:rsidRDefault="00133AC8" w:rsidP="00133AC8">
      <w:pPr>
        <w:widowControl w:val="0"/>
        <w:numPr>
          <w:ilvl w:val="0"/>
          <w:numId w:val="21"/>
        </w:numPr>
        <w:tabs>
          <w:tab w:val="num" w:pos="360"/>
        </w:tabs>
        <w:spacing w:before="120"/>
      </w:pPr>
      <w:r w:rsidRPr="003730B5">
        <w:t>Navrhovanou změnou je zrušeno osvobození pevných paliv určených k použití, nabízených k prodeji nebo použitých v metalurgických procesech nebo k mineralogickým postupům od daně z pevných paliv. Subjekty, které dosud předmětná pevná paliva odebírají osvobozená od daně, tak budou od nabytí účinnosti zákona činit s daní ve výši 8,50 Kč/GJ spalného tepla v původním vzorku.</w:t>
      </w:r>
    </w:p>
    <w:p w14:paraId="60D36953" w14:textId="77777777" w:rsidR="00133AC8" w:rsidRPr="003730B5" w:rsidRDefault="00133AC8" w:rsidP="00133AC8">
      <w:pPr>
        <w:widowControl w:val="0"/>
        <w:numPr>
          <w:ilvl w:val="0"/>
          <w:numId w:val="53"/>
        </w:numPr>
        <w:tabs>
          <w:tab w:val="left" w:pos="708"/>
        </w:tabs>
        <w:spacing w:before="120"/>
        <w:outlineLvl w:val="3"/>
        <w:rPr>
          <w:b/>
          <w:szCs w:val="24"/>
        </w:rPr>
      </w:pPr>
      <w:r w:rsidRPr="003730B5">
        <w:rPr>
          <w:b/>
          <w:szCs w:val="24"/>
        </w:rPr>
        <w:t> (část čtyřicátá sedmá čl. LXXIV § 2 odst. 1 písm. e) až g))</w:t>
      </w:r>
    </w:p>
    <w:p w14:paraId="297C7DD4" w14:textId="77777777" w:rsidR="00133AC8" w:rsidRPr="003730B5" w:rsidRDefault="00133AC8" w:rsidP="00133AC8">
      <w:pPr>
        <w:widowControl w:val="0"/>
        <w:numPr>
          <w:ilvl w:val="0"/>
          <w:numId w:val="21"/>
        </w:numPr>
        <w:tabs>
          <w:tab w:val="num" w:pos="360"/>
        </w:tabs>
        <w:spacing w:before="120"/>
        <w:rPr>
          <w:u w:val="single"/>
        </w:rPr>
      </w:pPr>
      <w:r w:rsidRPr="003730B5">
        <w:rPr>
          <w:u w:val="single"/>
        </w:rPr>
        <w:t>K písmeni e)</w:t>
      </w:r>
    </w:p>
    <w:p w14:paraId="27F3FE57" w14:textId="77777777" w:rsidR="00133AC8" w:rsidRPr="003730B5" w:rsidRDefault="00133AC8" w:rsidP="00133AC8">
      <w:pPr>
        <w:widowControl w:val="0"/>
        <w:numPr>
          <w:ilvl w:val="0"/>
          <w:numId w:val="21"/>
        </w:numPr>
        <w:tabs>
          <w:tab w:val="num" w:pos="360"/>
        </w:tabs>
        <w:spacing w:before="120"/>
      </w:pPr>
      <w:r w:rsidRPr="003730B5">
        <w:t xml:space="preserve">Navrhovaná změna souvisí se zrušením osvobození elektřiny určené k použití nebo použité při metalurgických procesech nebo k mineralogickým postupům od daně z elektřiny. Vzhledem k tomu, že mineralogické postupy i metalurgické procesy jsou definovány mimo jiné i pomocí klasifikace NACE, nebude zakotvení této definice v části čtyřicáté sedmé zákona o stabilizaci veřejných rozpočtů nadále zapotřebí.   </w:t>
      </w:r>
    </w:p>
    <w:p w14:paraId="56711EA7" w14:textId="77777777" w:rsidR="00133AC8" w:rsidRPr="003730B5" w:rsidRDefault="00133AC8" w:rsidP="00133AC8">
      <w:pPr>
        <w:widowControl w:val="0"/>
        <w:numPr>
          <w:ilvl w:val="0"/>
          <w:numId w:val="21"/>
        </w:numPr>
        <w:tabs>
          <w:tab w:val="num" w:pos="360"/>
        </w:tabs>
        <w:spacing w:before="120"/>
        <w:rPr>
          <w:u w:val="single"/>
        </w:rPr>
      </w:pPr>
      <w:r w:rsidRPr="003730B5">
        <w:rPr>
          <w:u w:val="single"/>
        </w:rPr>
        <w:t>K písmeni f)</w:t>
      </w:r>
    </w:p>
    <w:p w14:paraId="4CB1DEB5" w14:textId="77777777" w:rsidR="00133AC8" w:rsidRPr="003730B5" w:rsidRDefault="00133AC8" w:rsidP="00133AC8">
      <w:pPr>
        <w:widowControl w:val="0"/>
        <w:numPr>
          <w:ilvl w:val="0"/>
          <w:numId w:val="21"/>
        </w:numPr>
        <w:tabs>
          <w:tab w:val="num" w:pos="360"/>
        </w:tabs>
        <w:spacing w:before="120"/>
      </w:pPr>
      <w:r w:rsidRPr="003730B5">
        <w:t>Navrhovaná změna souvisí se zrušením osvobození elektřiny určené k použití nebo použité v metalurgických procesech od daně z elektřiny. V důsledku této skutečnosti již nebude definice metalurgických procesů v zákoně zapotřebí.</w:t>
      </w:r>
    </w:p>
    <w:p w14:paraId="5EB9B120" w14:textId="77777777" w:rsidR="00133AC8" w:rsidRPr="003730B5" w:rsidRDefault="00133AC8" w:rsidP="00133AC8">
      <w:pPr>
        <w:widowControl w:val="0"/>
        <w:numPr>
          <w:ilvl w:val="0"/>
          <w:numId w:val="21"/>
        </w:numPr>
        <w:tabs>
          <w:tab w:val="num" w:pos="360"/>
        </w:tabs>
        <w:spacing w:before="120"/>
        <w:rPr>
          <w:u w:val="single"/>
        </w:rPr>
      </w:pPr>
      <w:r w:rsidRPr="003730B5">
        <w:rPr>
          <w:u w:val="single"/>
        </w:rPr>
        <w:lastRenderedPageBreak/>
        <w:t>K písmeni g)</w:t>
      </w:r>
    </w:p>
    <w:p w14:paraId="14CCFDA2" w14:textId="77777777" w:rsidR="00133AC8" w:rsidRPr="003730B5" w:rsidRDefault="00133AC8" w:rsidP="00133AC8">
      <w:pPr>
        <w:widowControl w:val="0"/>
        <w:numPr>
          <w:ilvl w:val="0"/>
          <w:numId w:val="21"/>
        </w:numPr>
        <w:tabs>
          <w:tab w:val="num" w:pos="360"/>
        </w:tabs>
        <w:spacing w:before="120"/>
      </w:pPr>
      <w:r w:rsidRPr="003730B5">
        <w:t>Navrhovaná změna souvisí se zrušením osvobození elektřiny určené k použití nebo použité k mineralogickým postupům od daně z elektřiny. V důsledku této skutečnosti již nebude definice mineralogických postupů v zákoně zapotřebí.</w:t>
      </w:r>
    </w:p>
    <w:p w14:paraId="172ADDA3" w14:textId="77777777" w:rsidR="00133AC8" w:rsidRPr="003730B5" w:rsidRDefault="00133AC8" w:rsidP="00133AC8">
      <w:pPr>
        <w:widowControl w:val="0"/>
        <w:numPr>
          <w:ilvl w:val="0"/>
          <w:numId w:val="53"/>
        </w:numPr>
        <w:tabs>
          <w:tab w:val="left" w:pos="708"/>
        </w:tabs>
        <w:spacing w:before="120"/>
        <w:outlineLvl w:val="3"/>
        <w:rPr>
          <w:b/>
          <w:szCs w:val="24"/>
        </w:rPr>
      </w:pPr>
      <w:r w:rsidRPr="003730B5">
        <w:rPr>
          <w:b/>
          <w:szCs w:val="24"/>
        </w:rPr>
        <w:t> (část čtyřicátá sedmá čl. LXXIV § 8 odst. 2 písm. d))</w:t>
      </w:r>
    </w:p>
    <w:p w14:paraId="62856904" w14:textId="77777777" w:rsidR="00133AC8" w:rsidRPr="003730B5" w:rsidRDefault="00133AC8" w:rsidP="00133AC8">
      <w:pPr>
        <w:widowControl w:val="0"/>
        <w:numPr>
          <w:ilvl w:val="0"/>
          <w:numId w:val="21"/>
        </w:numPr>
        <w:tabs>
          <w:tab w:val="num" w:pos="360"/>
        </w:tabs>
        <w:spacing w:before="120"/>
      </w:pPr>
      <w:r w:rsidRPr="003730B5">
        <w:t>Jedná se o legislativně technickou změnu související s vypuštěním písmene f).</w:t>
      </w:r>
    </w:p>
    <w:p w14:paraId="331A9E23" w14:textId="77777777" w:rsidR="00133AC8" w:rsidRPr="003730B5" w:rsidRDefault="00133AC8" w:rsidP="00133AC8">
      <w:pPr>
        <w:widowControl w:val="0"/>
        <w:numPr>
          <w:ilvl w:val="0"/>
          <w:numId w:val="53"/>
        </w:numPr>
        <w:tabs>
          <w:tab w:val="left" w:pos="708"/>
        </w:tabs>
        <w:spacing w:before="120"/>
        <w:outlineLvl w:val="3"/>
        <w:rPr>
          <w:b/>
          <w:szCs w:val="24"/>
        </w:rPr>
      </w:pPr>
      <w:r w:rsidRPr="003730B5">
        <w:rPr>
          <w:b/>
          <w:szCs w:val="24"/>
        </w:rPr>
        <w:t> (část čtyřicátá sedmá čl. LXXIV § 8 odst. 2 písm. e))</w:t>
      </w:r>
    </w:p>
    <w:p w14:paraId="1F317CD5" w14:textId="77777777" w:rsidR="00133AC8" w:rsidRPr="003730B5" w:rsidRDefault="00133AC8" w:rsidP="00133AC8">
      <w:pPr>
        <w:widowControl w:val="0"/>
        <w:numPr>
          <w:ilvl w:val="0"/>
          <w:numId w:val="21"/>
        </w:numPr>
        <w:tabs>
          <w:tab w:val="num" w:pos="360"/>
        </w:tabs>
        <w:spacing w:before="120"/>
      </w:pPr>
      <w:r w:rsidRPr="003730B5">
        <w:t>Navrhovanou změnou je zrušeno osvobození elektřiny určené k použití nebo použité k metalurgickým procesům od daně z elektřiny. Subjekty, které dosud předmětnou elektřinu nabývají osvobozenou od daně, tak budou od nabytí účinnosti zákona činit s daní ve výši 28,30 Kč/MWh.</w:t>
      </w:r>
    </w:p>
    <w:p w14:paraId="488EC23B" w14:textId="77777777" w:rsidR="00133AC8" w:rsidRPr="003730B5" w:rsidRDefault="00133AC8" w:rsidP="00133AC8">
      <w:pPr>
        <w:widowControl w:val="0"/>
        <w:numPr>
          <w:ilvl w:val="0"/>
          <w:numId w:val="53"/>
        </w:numPr>
        <w:tabs>
          <w:tab w:val="left" w:pos="708"/>
        </w:tabs>
        <w:spacing w:before="120"/>
        <w:outlineLvl w:val="3"/>
        <w:rPr>
          <w:b/>
          <w:szCs w:val="24"/>
        </w:rPr>
      </w:pPr>
      <w:r w:rsidRPr="003730B5">
        <w:rPr>
          <w:b/>
          <w:szCs w:val="24"/>
        </w:rPr>
        <w:t> (část čtyřicátá sedmá čl. LXXIV § 8 odst. 2 písm. f))</w:t>
      </w:r>
    </w:p>
    <w:p w14:paraId="27BE3CE2" w14:textId="77777777" w:rsidR="00133AC8" w:rsidRPr="003730B5" w:rsidRDefault="00133AC8" w:rsidP="00133AC8">
      <w:pPr>
        <w:widowControl w:val="0"/>
        <w:numPr>
          <w:ilvl w:val="0"/>
          <w:numId w:val="21"/>
        </w:numPr>
        <w:tabs>
          <w:tab w:val="num" w:pos="360"/>
        </w:tabs>
        <w:spacing w:before="120"/>
      </w:pPr>
      <w:r w:rsidRPr="003730B5">
        <w:t>Navrhovanou změnou je zrušeno osvobození elektřiny určené k použití nebo použité k mineralogickým postupům od daně z elektřiny. Subjekty, které dosud předmětnou elektřinu nabývají bez daně, tak budou od nabytí účinnosti zákona činit s daní ve výši 28,30 Kč/MWh.</w:t>
      </w:r>
    </w:p>
    <w:p w14:paraId="48326FB6" w14:textId="4CC720C6" w:rsidR="00133AC8" w:rsidRPr="003730B5" w:rsidRDefault="00133AC8" w:rsidP="00133AC8">
      <w:pPr>
        <w:keepNext/>
        <w:widowControl w:val="0"/>
        <w:spacing w:before="240" w:after="120"/>
        <w:outlineLvl w:val="2"/>
        <w:rPr>
          <w:b/>
        </w:rPr>
      </w:pPr>
      <w:r w:rsidRPr="003730B5">
        <w:rPr>
          <w:b/>
        </w:rPr>
        <w:t>K čl. </w:t>
      </w:r>
      <w:r w:rsidR="002C6370" w:rsidRPr="003730B5">
        <w:rPr>
          <w:b/>
        </w:rPr>
        <w:t xml:space="preserve">LXIX </w:t>
      </w:r>
      <w:r w:rsidRPr="003730B5">
        <w:rPr>
          <w:b/>
        </w:rPr>
        <w:t>(Přechodné ustanovení) </w:t>
      </w:r>
    </w:p>
    <w:p w14:paraId="51F46924" w14:textId="77777777" w:rsidR="00133AC8" w:rsidRPr="003730B5" w:rsidRDefault="00133AC8" w:rsidP="00133AC8">
      <w:pPr>
        <w:widowControl w:val="0"/>
        <w:numPr>
          <w:ilvl w:val="0"/>
          <w:numId w:val="21"/>
        </w:numPr>
        <w:tabs>
          <w:tab w:val="num" w:pos="360"/>
        </w:tabs>
        <w:spacing w:before="120"/>
      </w:pPr>
      <w:r w:rsidRPr="003730B5">
        <w:t>Jedná se o standardní přechodné ustanovení, kterým se potvrzuje, že pro daňové povinnosti u daně z plynu, pevných paliv a elektřiny vzniklé za zdaňovací období započatá přede dnem nabytí účinnosti tohoto zákona, jakož i pro práva a povinnosti s nimi související se použijí ta ustanovení zákona o stabilizaci veřejných rozpočtů, která byla v daném okamžiku účinná.</w:t>
      </w:r>
    </w:p>
    <w:p w14:paraId="2872639F"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čtyřicáté první – Změna zákona o výkonu zabezpečovací detence</w:t>
      </w:r>
    </w:p>
    <w:p w14:paraId="4764808F" w14:textId="77777777" w:rsidR="00133AC8" w:rsidRPr="003730B5" w:rsidRDefault="00133AC8" w:rsidP="00133AC8">
      <w:pPr>
        <w:pStyle w:val="Dvodovzprva"/>
        <w:widowControl w:val="0"/>
        <w:spacing w:before="0" w:after="120"/>
        <w:outlineLvl w:val="9"/>
        <w:rPr>
          <w:rFonts w:ascii="Times New Roman" w:hAnsi="Times New Roman"/>
          <w:color w:val="auto"/>
          <w:sz w:val="24"/>
        </w:rPr>
      </w:pPr>
      <w:r w:rsidRPr="003730B5">
        <w:rPr>
          <w:rFonts w:ascii="Times New Roman" w:hAnsi="Times New Roman"/>
          <w:color w:val="auto"/>
          <w:sz w:val="24"/>
        </w:rPr>
        <w:t>V rámci této části je řešen převod kompetence k vymáhání tzv. justičních pohledávek na orgány Celní správy České republiky. V podrobnostech lze odkázat na odůvodnění novely trestního řádu.</w:t>
      </w:r>
    </w:p>
    <w:p w14:paraId="75A4D7D2" w14:textId="769020FD" w:rsidR="00133AC8" w:rsidRPr="003730B5" w:rsidRDefault="00133AC8" w:rsidP="00133AC8">
      <w:pPr>
        <w:widowControl w:val="0"/>
        <w:spacing w:after="120"/>
        <w:outlineLvl w:val="2"/>
        <w:rPr>
          <w:b/>
        </w:rPr>
      </w:pPr>
      <w:r w:rsidRPr="003730B5">
        <w:rPr>
          <w:b/>
        </w:rPr>
        <w:t>K čl. </w:t>
      </w:r>
      <w:r w:rsidR="002C6370" w:rsidRPr="003730B5">
        <w:rPr>
          <w:b/>
        </w:rPr>
        <w:t>LXX</w:t>
      </w:r>
    </w:p>
    <w:p w14:paraId="4FF88661" w14:textId="77777777" w:rsidR="00133AC8" w:rsidRPr="003730B5" w:rsidRDefault="00133AC8" w:rsidP="00133AC8">
      <w:pPr>
        <w:pStyle w:val="Dvodovzprvakbodu"/>
        <w:keepNext w:val="0"/>
        <w:widowControl w:val="0"/>
        <w:numPr>
          <w:ilvl w:val="0"/>
          <w:numId w:val="6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18 odst. 5)</w:t>
      </w:r>
    </w:p>
    <w:p w14:paraId="0C481115" w14:textId="3D02B766" w:rsidR="00133AC8" w:rsidRPr="003730B5" w:rsidRDefault="00133AC8" w:rsidP="00870304">
      <w:pPr>
        <w:pStyle w:val="Paragraf"/>
        <w:jc w:val="both"/>
      </w:pPr>
      <w:r w:rsidRPr="003730B5">
        <w:t xml:space="preserve">Postup rozhodování o povinnosti chovance nahradit škodu by měl být upraven obdobně, jako je upraven postup rozhodování o povinnosti odsouzeného nahradit škodu podle § 39a </w:t>
      </w:r>
      <w:r w:rsidR="00887D92" w:rsidRPr="003730B5">
        <w:t xml:space="preserve">zákona </w:t>
      </w:r>
      <w:r w:rsidR="00A42930" w:rsidRPr="003730B5">
        <w:t>o </w:t>
      </w:r>
      <w:r w:rsidR="00887D92" w:rsidRPr="003730B5">
        <w:t xml:space="preserve">výkonu trestu odnětí svobody </w:t>
      </w:r>
      <w:r w:rsidRPr="003730B5">
        <w:t xml:space="preserve">a o povinnosti obviněného nahradit škodu podle § 21b zákona o výkonu vazby. Stížnosti chovance proti rozhodnutí ředitele ústavu se proto navrhuje přiznat odkladný účinek, když ten je přiznáván stížnostem proti uváděným rozhodnutím podle zákona o výkonu trestu odnětí svobody a zákona o výkonu vazby a není věcného důvodu pro odlišnou úpravu obdobného postupu v zákoně o výkonu zabezpečovací detence. </w:t>
      </w:r>
    </w:p>
    <w:p w14:paraId="43C3FDF0" w14:textId="2C42A996"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K otázce prominutí povinnosti uhradit náhradu viz odůvodnění k novelizaci § 35 </w:t>
      </w:r>
      <w:r w:rsidR="00887D92"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887D92" w:rsidRPr="003730B5">
        <w:rPr>
          <w:rFonts w:ascii="Times New Roman" w:hAnsi="Times New Roman"/>
          <w:color w:val="auto"/>
          <w:sz w:val="24"/>
        </w:rPr>
        <w:t>výkonu trestu odnětí svobody</w:t>
      </w:r>
      <w:r w:rsidRPr="003730B5">
        <w:rPr>
          <w:rFonts w:ascii="Times New Roman" w:hAnsi="Times New Roman"/>
          <w:color w:val="auto"/>
          <w:sz w:val="24"/>
        </w:rPr>
        <w:t>.</w:t>
      </w:r>
    </w:p>
    <w:p w14:paraId="50F1B994" w14:textId="77777777" w:rsidR="00133AC8" w:rsidRPr="003730B5" w:rsidRDefault="00133AC8" w:rsidP="00133AC8">
      <w:pPr>
        <w:pStyle w:val="Dvodovzprvakbodu"/>
        <w:keepNext w:val="0"/>
        <w:widowControl w:val="0"/>
        <w:numPr>
          <w:ilvl w:val="0"/>
          <w:numId w:val="6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18 odst. 6)</w:t>
      </w:r>
    </w:p>
    <w:p w14:paraId="646930FD" w14:textId="211518B5"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Ustanovení § 18 odst. 5 zákona o výkonu zabezpečovací detence upravuje povinnost chovanců nahradit škodu na majetku státu obdobným způsobem, jakým ji pro odsouzené upravuje § 39a odst. 1 a 2 </w:t>
      </w:r>
      <w:r w:rsidR="00887D92"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887D92" w:rsidRPr="003730B5">
        <w:rPr>
          <w:rFonts w:ascii="Times New Roman" w:hAnsi="Times New Roman"/>
          <w:color w:val="auto"/>
          <w:sz w:val="24"/>
        </w:rPr>
        <w:t>výkonu trestu odnětí svobody</w:t>
      </w:r>
      <w:r w:rsidRPr="003730B5">
        <w:rPr>
          <w:rFonts w:ascii="Times New Roman" w:hAnsi="Times New Roman"/>
          <w:color w:val="auto"/>
          <w:sz w:val="24"/>
        </w:rPr>
        <w:t>. Stejně jako pro správu placení a vymáhání náhrady škody podle § 39a odst. 1 </w:t>
      </w:r>
      <w:r w:rsidR="00887D92"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887D92" w:rsidRPr="003730B5">
        <w:rPr>
          <w:rFonts w:ascii="Times New Roman" w:hAnsi="Times New Roman"/>
          <w:color w:val="auto"/>
          <w:sz w:val="24"/>
        </w:rPr>
        <w:t>výkonu trestu odnětí svobody</w:t>
      </w:r>
      <w:r w:rsidRPr="003730B5">
        <w:rPr>
          <w:rFonts w:ascii="Times New Roman" w:hAnsi="Times New Roman"/>
          <w:color w:val="auto"/>
          <w:sz w:val="24"/>
        </w:rPr>
        <w:t xml:space="preserve">, se i pro správu placení náhrady škody podle § 18 odst. 5 zákona o výkonu zabezpečovací detence navrhuje </w:t>
      </w:r>
      <w:r w:rsidRPr="003730B5">
        <w:rPr>
          <w:rFonts w:ascii="Times New Roman" w:hAnsi="Times New Roman"/>
          <w:color w:val="auto"/>
          <w:sz w:val="24"/>
        </w:rPr>
        <w:lastRenderedPageBreak/>
        <w:t xml:space="preserve">stanovit obdobnou použitelnosti ustanovení § 36a </w:t>
      </w:r>
      <w:r w:rsidR="00887D92"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887D92" w:rsidRPr="003730B5">
        <w:rPr>
          <w:rFonts w:ascii="Times New Roman" w:hAnsi="Times New Roman"/>
          <w:color w:val="auto"/>
          <w:sz w:val="24"/>
        </w:rPr>
        <w:t>výkonu trestu odnětí svobody</w:t>
      </w:r>
      <w:r w:rsidRPr="003730B5">
        <w:rPr>
          <w:rFonts w:ascii="Times New Roman" w:hAnsi="Times New Roman"/>
          <w:color w:val="auto"/>
          <w:sz w:val="24"/>
        </w:rPr>
        <w:t>; náhradu škody bude po propuštěném chovanci vymáhat celní úřad.</w:t>
      </w:r>
    </w:p>
    <w:p w14:paraId="32894C07" w14:textId="3C9A4C8B" w:rsidR="00133AC8" w:rsidRPr="003730B5" w:rsidRDefault="00133AC8" w:rsidP="00133AC8">
      <w:pPr>
        <w:widowControl w:val="0"/>
        <w:spacing w:before="240" w:after="120"/>
        <w:outlineLvl w:val="2"/>
        <w:rPr>
          <w:b/>
        </w:rPr>
      </w:pPr>
      <w:r w:rsidRPr="003730B5">
        <w:rPr>
          <w:b/>
        </w:rPr>
        <w:t>K čl. </w:t>
      </w:r>
      <w:r w:rsidR="002C6370" w:rsidRPr="003730B5">
        <w:rPr>
          <w:b/>
        </w:rPr>
        <w:t xml:space="preserve">LXXI </w:t>
      </w:r>
      <w:r w:rsidRPr="003730B5">
        <w:rPr>
          <w:b/>
        </w:rPr>
        <w:t>(Přechodná ustanovení)</w:t>
      </w:r>
    </w:p>
    <w:p w14:paraId="58367485" w14:textId="77777777" w:rsidR="00133AC8" w:rsidRPr="003730B5" w:rsidRDefault="00133AC8" w:rsidP="00133AC8">
      <w:pPr>
        <w:widowControl w:val="0"/>
        <w:numPr>
          <w:ilvl w:val="0"/>
          <w:numId w:val="21"/>
        </w:numPr>
        <w:tabs>
          <w:tab w:val="num" w:pos="360"/>
        </w:tabs>
        <w:spacing w:before="120"/>
      </w:pPr>
      <w:r w:rsidRPr="003730B5">
        <w:t>K vymáhání pohledávek z náhrady škody podle § 18 odst. 5 zákona o výkonu zabezpečovací detence bude celní úřad příslušný ode dne nabytí účinnosti tohoto zákona v případě těch pohledávek, které vzniknou ode dne nabytí účinnosti tohoto zákona.</w:t>
      </w:r>
    </w:p>
    <w:p w14:paraId="3C20F333" w14:textId="77777777" w:rsidR="00133AC8" w:rsidRPr="003730B5" w:rsidRDefault="00133AC8" w:rsidP="00133AC8">
      <w:pPr>
        <w:widowControl w:val="0"/>
        <w:numPr>
          <w:ilvl w:val="0"/>
          <w:numId w:val="21"/>
        </w:numPr>
        <w:tabs>
          <w:tab w:val="num" w:pos="360"/>
        </w:tabs>
        <w:spacing w:before="120"/>
      </w:pPr>
      <w:r w:rsidRPr="003730B5">
        <w:t xml:space="preserve">K vymáhání pohledávek, jejichž správa placení se řídí daňovým řádem, které vznikly přede dnem nabytí účinnosti tohoto zákona, nebyly však předány k vymáhání soudnímu exekutorovi, uplatněny v insolvenčním řízení nebo přihlášeny do veřejné dražby podle § 175 odst. 1 daňového řádu, bude celní úřad příslušný ode dne převzetí jejich vymáhání. Nebyla-li daňová exekuce pro takovou pohledávku ke dni nabytí účinnosti tohoto zákona nařízena vydáním exekučního příkazu, předá orgán, který je příslušný k jejímu vymáhání podle stávající právní úpravy, pohledávku k vymáhání celnímu úřadu bez zbytečného odkladu, nejpozději do 30. 6. 2024. Byla-li ke dni nabytí účinnosti tohoto zákona pro pohledávku nařízena daňová exekuce vydáním exekučního příkazu, postupují orgány příslušné k jejímu vymáhání podle stávající právní úpravy k jejímu vymožení. Pohledávky, které tímto postupem nebudou zcela vymoženy, předá orgán příslušný k jejich vymáhání podle stávající právní úpravy k vymáhání celnímu úřadu do 31. 12. 2024. </w:t>
      </w:r>
    </w:p>
    <w:p w14:paraId="571EC00C" w14:textId="77777777" w:rsidR="00133AC8" w:rsidRPr="003730B5" w:rsidRDefault="00133AC8" w:rsidP="00133AC8">
      <w:pPr>
        <w:widowControl w:val="0"/>
        <w:numPr>
          <w:ilvl w:val="0"/>
          <w:numId w:val="21"/>
        </w:numPr>
        <w:tabs>
          <w:tab w:val="num" w:pos="360"/>
        </w:tabs>
        <w:spacing w:before="120"/>
      </w:pPr>
      <w:r w:rsidRPr="003730B5">
        <w:t>Příslušnost k vymáhání pohledávek, které vznikly přede dnem účinnosti tohoto zákona a byly předány k vymáhání soudnímu exekutorovi, uplatněny v insolvenčním řízení nebo přihlášeny do veřejné dražby podle § 175 odst. 1 daňového řádu, se z procesních důvodů nemění.</w:t>
      </w:r>
    </w:p>
    <w:p w14:paraId="51BA6200" w14:textId="77777777" w:rsidR="00133AC8" w:rsidRPr="003730B5" w:rsidRDefault="00133AC8" w:rsidP="00133AC8">
      <w:pPr>
        <w:widowControl w:val="0"/>
        <w:spacing w:before="240" w:after="120"/>
        <w:outlineLvl w:val="1"/>
        <w:rPr>
          <w:b/>
          <w:sz w:val="28"/>
        </w:rPr>
      </w:pPr>
      <w:r w:rsidRPr="003730B5">
        <w:rPr>
          <w:b/>
          <w:sz w:val="28"/>
        </w:rPr>
        <w:t>K části čtyřicáté druhé – Změna daňového řádu</w:t>
      </w:r>
    </w:p>
    <w:p w14:paraId="764E8B70" w14:textId="09A3B3D4" w:rsidR="00133AC8" w:rsidRPr="003730B5" w:rsidRDefault="00133AC8" w:rsidP="00133AC8">
      <w:pPr>
        <w:widowControl w:val="0"/>
        <w:spacing w:after="120"/>
        <w:outlineLvl w:val="2"/>
        <w:rPr>
          <w:b/>
        </w:rPr>
      </w:pPr>
      <w:r w:rsidRPr="003730B5">
        <w:rPr>
          <w:b/>
        </w:rPr>
        <w:t>K čl. </w:t>
      </w:r>
      <w:r w:rsidR="002C6370" w:rsidRPr="003730B5">
        <w:rPr>
          <w:b/>
        </w:rPr>
        <w:t>LXXII</w:t>
      </w:r>
      <w:r w:rsidRPr="003730B5">
        <w:rPr>
          <w:b/>
        </w:rPr>
        <w:t xml:space="preserve"> a </w:t>
      </w:r>
      <w:r w:rsidR="002C6370" w:rsidRPr="003730B5">
        <w:rPr>
          <w:b/>
        </w:rPr>
        <w:t>LXXIII</w:t>
      </w:r>
    </w:p>
    <w:p w14:paraId="3E48480A" w14:textId="77777777" w:rsidR="00133AC8" w:rsidRPr="003730B5" w:rsidRDefault="00133AC8" w:rsidP="00133AC8">
      <w:pPr>
        <w:pStyle w:val="Dvodovzprvakbodu"/>
        <w:keepNext w:val="0"/>
        <w:widowControl w:val="0"/>
        <w:numPr>
          <w:ilvl w:val="0"/>
          <w:numId w:val="0"/>
        </w:numPr>
        <w:outlineLvl w:val="3"/>
        <w:rPr>
          <w:rFonts w:ascii="Times New Roman" w:hAnsi="Times New Roman"/>
          <w:color w:val="auto"/>
          <w:sz w:val="24"/>
          <w:szCs w:val="24"/>
        </w:rPr>
      </w:pPr>
      <w:r w:rsidRPr="003730B5">
        <w:rPr>
          <w:rFonts w:ascii="Times New Roman" w:hAnsi="Times New Roman"/>
          <w:color w:val="auto"/>
          <w:sz w:val="24"/>
          <w:szCs w:val="24"/>
        </w:rPr>
        <w:t>K bodům 1 až 3 (§ 163 odst. 3 písm. c), § 163 odst. 4, § 263 a Zrušovací ustanovení)</w:t>
      </w:r>
    </w:p>
    <w:p w14:paraId="76008750" w14:textId="41619738" w:rsidR="00133AC8" w:rsidRPr="003730B5" w:rsidRDefault="00133AC8" w:rsidP="00133AC8">
      <w:pPr>
        <w:widowControl w:val="0"/>
        <w:tabs>
          <w:tab w:val="left" w:pos="851"/>
        </w:tabs>
        <w:spacing w:before="120"/>
        <w:rPr>
          <w:szCs w:val="24"/>
        </w:rPr>
      </w:pPr>
      <w:r w:rsidRPr="003730B5">
        <w:rPr>
          <w:szCs w:val="24"/>
        </w:rPr>
        <w:t xml:space="preserve">S účinností navrhované novely dne 1. </w:t>
      </w:r>
      <w:r w:rsidR="00D6156C" w:rsidRPr="003730B5">
        <w:rPr>
          <w:szCs w:val="24"/>
        </w:rPr>
        <w:t>1.</w:t>
      </w:r>
      <w:r w:rsidRPr="003730B5">
        <w:rPr>
          <w:szCs w:val="24"/>
        </w:rPr>
        <w:t xml:space="preserve"> 2024 se z daňového řádu vypouští možnost platit daň kolkovými známkami v případě, že tak stanoví zákon (tedy v případě správních a soudních poplatků a nákladů trestního řízení). Tato možnost je ke stejnému dni vypuštěna i z jednotlivých zákonů, které dosud tuto možnost připouštějí (viz další části tohoto návrhu zákona). Současně se zrušuje zmocnění Ministerstva financí k vydávání kolkových známek a zmocnění k vydání prováděcí vyhlášky, resp. samotná stávající vyhláška č. 383/2010 Sb.</w:t>
      </w:r>
    </w:p>
    <w:p w14:paraId="0D54068B" w14:textId="77777777" w:rsidR="00133AC8" w:rsidRPr="003730B5" w:rsidRDefault="00133AC8" w:rsidP="00133AC8">
      <w:pPr>
        <w:widowControl w:val="0"/>
        <w:tabs>
          <w:tab w:val="left" w:pos="851"/>
        </w:tabs>
        <w:spacing w:before="120"/>
        <w:rPr>
          <w:szCs w:val="24"/>
        </w:rPr>
      </w:pPr>
      <w:r w:rsidRPr="003730B5">
        <w:rPr>
          <w:szCs w:val="24"/>
        </w:rPr>
        <w:t xml:space="preserve">Opatření v podobě zrušení kolkových známek přispěje k posílení bezhotovostní úhrady dotčených peněžitých plnění a současně k eliminaci nákladů státu za distribuci kolkových známek. Dále dojde k zamezení páchání trestné činnosti související s kolkovými známkami, jež rovněž snižuje příjmy z dotčených peněžitých plnění, a v neposlední řadě se odstraní administrativní náklady související s kontrolou výkonu správy poplatků, kterou vykonávají finanční úřady. Ze závěrečné zprávy z hodnocení dopadů regulace (RIA) vyplynulo, že zrušení kolkových zámek bez náhrady je nejvhodnější variantou řešení navrhované regulace. </w:t>
      </w:r>
    </w:p>
    <w:p w14:paraId="6B8BCD59" w14:textId="63ECFFA8" w:rsidR="00133AC8" w:rsidRPr="003730B5" w:rsidRDefault="00133AC8" w:rsidP="00133AC8">
      <w:pPr>
        <w:widowControl w:val="0"/>
        <w:tabs>
          <w:tab w:val="left" w:pos="851"/>
        </w:tabs>
        <w:spacing w:before="120"/>
        <w:jc w:val="left"/>
        <w:rPr>
          <w:szCs w:val="24"/>
        </w:rPr>
      </w:pPr>
      <w:r w:rsidRPr="003730B5">
        <w:rPr>
          <w:szCs w:val="24"/>
        </w:rPr>
        <w:t xml:space="preserve">RIA je k dispozici na internetových stránkách </w:t>
      </w:r>
      <w:r w:rsidR="00870304" w:rsidRPr="003730B5">
        <w:rPr>
          <w:szCs w:val="24"/>
        </w:rPr>
        <w:t>Ministerstva financí</w:t>
      </w:r>
      <w:r w:rsidRPr="003730B5">
        <w:rPr>
          <w:szCs w:val="24"/>
        </w:rPr>
        <w:t xml:space="preserve"> zde: </w:t>
      </w:r>
      <w:hyperlink r:id="rId26" w:history="1">
        <w:r w:rsidRPr="003730B5">
          <w:rPr>
            <w:rStyle w:val="Hypertextovodkaz"/>
            <w:szCs w:val="24"/>
          </w:rPr>
          <w:t>https://www.mfcr.cz/cs/legislativa/legislativni-dokumenty/2023/zruseni-kolkovych-znamek-v-tzv-konsolida-51307</w:t>
        </w:r>
      </w:hyperlink>
    </w:p>
    <w:p w14:paraId="6D51BAC7" w14:textId="1C70001F" w:rsidR="00133AC8" w:rsidRPr="003730B5" w:rsidRDefault="00133AC8" w:rsidP="00133AC8">
      <w:pPr>
        <w:widowControl w:val="0"/>
        <w:spacing w:before="240" w:after="120"/>
        <w:outlineLvl w:val="2"/>
        <w:rPr>
          <w:b/>
        </w:rPr>
      </w:pPr>
      <w:r w:rsidRPr="003730B5">
        <w:rPr>
          <w:b/>
        </w:rPr>
        <w:t>K čl. </w:t>
      </w:r>
      <w:r w:rsidR="002C6370" w:rsidRPr="003730B5">
        <w:rPr>
          <w:b/>
        </w:rPr>
        <w:t xml:space="preserve">LXXIV </w:t>
      </w:r>
      <w:r w:rsidRPr="003730B5">
        <w:rPr>
          <w:b/>
        </w:rPr>
        <w:t>(Přechodná ustanovení)</w:t>
      </w:r>
    </w:p>
    <w:p w14:paraId="7377506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Stanovují se přechodná ustanovení v souvislosti s vypuštěním možnosti platby peněžitého plnění kolkovými známkami podle daňového řádu. </w:t>
      </w:r>
    </w:p>
    <w:p w14:paraId="4354D08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 xml:space="preserve">Na základě přechodného ustanovení bude systém placení daně pomocí kolkových známek dočasně zachován ve vztahu ke kolkovým známkám, které byly vydány přede dnem nabytí účinnosti novely, což umožní jednak částečné využití zásob již vydaných, ale neprodaných kolkových známek, a současně použití či zpětný odkup kolkových známek, které již byly prodány. Nové kolkové známky tedy již nebudou v přechodném období vydávány. Vydáním se rozumí vydání de iure ze strany Ministerstva financí, tedy okamžik, od něhož kolková známka existuje jako právně bezvadný produkt, se kterým je nadále de iure nakládáno jako s kolkovou známkou. Přechodný režim se bude nicméně fakticky týkat všech aktuálně existujících kolkových známek, neboť k vydávání nových již po určitou dobu nedochází, a všechny existující kolkové známky tedy již byly de iure vydány.  </w:t>
      </w:r>
    </w:p>
    <w:p w14:paraId="27D13CD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Délka přechodného období se navrhuje 1 rok. Stejnou délku přechodného období garantovala též nyní rušená vyhláška o kolkových známkách č. 383/2010 Sb., když současně se svou účinností rušila předchozí nevyhovující vyhlášku o kolkových známkách č. 192/1993 Sb. Po přechodnou dobu bude připuštěna platba daně kolkovými známkami za dosavadních podmínek, prodej dosud neprodaných kolkových známek i výměna poškozených kolkových známek za nepoškozené. Pokud jde o zpětný odkup kolkových známek, bude zřejmě možný po kratší dobu na základě vnitřních pravidel osoby podle § 4 odst. 1 vyhlášky č. 383/2010 Sb., o kolkových známkách (tj. České pošty, a. s.), aby očekávaný pokles příjmů z prodeje nových kolkových známek (z něhož je standardně odkup financován) nevedl k negativní bilanci jejího systému. S ohledem na existenci uvedeného přechodného období se nepředpokládá možnost odkupu kolkových známek po jeho konci, tedy v době, kdy již nebude platba daně pomocí kolkových známek vůbec možná.</w:t>
      </w:r>
    </w:p>
    <w:p w14:paraId="2117BD81"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čtyřicáté třetí – Změna zákona o Celní správě České republiky</w:t>
      </w:r>
    </w:p>
    <w:p w14:paraId="26CDB696" w14:textId="5C7C4F02" w:rsidR="00133AC8" w:rsidRPr="003730B5" w:rsidRDefault="00133AC8" w:rsidP="00133AC8">
      <w:pPr>
        <w:outlineLvl w:val="2"/>
        <w:rPr>
          <w:b/>
        </w:rPr>
      </w:pPr>
      <w:r w:rsidRPr="003730B5">
        <w:rPr>
          <w:b/>
        </w:rPr>
        <w:t>K čl. </w:t>
      </w:r>
      <w:r w:rsidR="002C6370" w:rsidRPr="003730B5">
        <w:rPr>
          <w:b/>
        </w:rPr>
        <w:t xml:space="preserve">LXXV </w:t>
      </w:r>
      <w:r w:rsidR="00A42930" w:rsidRPr="003730B5">
        <w:rPr>
          <w:b/>
        </w:rPr>
        <w:t>a čl. </w:t>
      </w:r>
      <w:r w:rsidR="002C6370" w:rsidRPr="003730B5">
        <w:rPr>
          <w:b/>
        </w:rPr>
        <w:t>LXXVII</w:t>
      </w:r>
    </w:p>
    <w:p w14:paraId="3CE25F3A" w14:textId="77777777" w:rsidR="00133AC8" w:rsidRPr="003730B5" w:rsidRDefault="00133AC8" w:rsidP="002C6370">
      <w:pPr>
        <w:pStyle w:val="Dvodovzprvakbodu"/>
        <w:keepNext w:val="0"/>
        <w:widowControl w:val="0"/>
        <w:numPr>
          <w:ilvl w:val="0"/>
          <w:numId w:val="95"/>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6)</w:t>
      </w:r>
    </w:p>
    <w:p w14:paraId="536BF98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Zrušují se současné celní úřady včetně všech územních pracovišť a zřizuje se šest nových celních úřadů se sídly v pěti největších městech České republiky. Názvy celních úřadů jsou navázány na jejich sídla s výjimkou Celního úřadu pro Středočeský kraj, který je specifický územními pracovišti ve větších městech v okolí Prahy, a tudíž jeho sídlo je v současné době (a bude i v nejbližší budoucnosti) umístěno v Praze. V rámci Celního úřadu v Praze je integrován bývalý Celní úřad Praha Ruzyně definovaný svým celním prostorem. </w:t>
      </w:r>
    </w:p>
    <w:p w14:paraId="7050987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Při novém rozdělení míst působnosti orgánů Celní správy České republiky bylo respektováno územně správní členění státu (krajské uspořádání České republiky) tak, jak je vymezeno zákonem č. 51/2020 Sb., o územně správním členění státu a o změně souvisejících zákonů (zákon o územně správním členění státu), podle kterého se území České republiky člení pro výkon státní správy na správní obvody krajů. Nové celní úřady jsou tak tvořeny územím jednoho či více krajů České republiky. Územní pracoviště mimo sídla celních úřadů nebudou stanovena vyhláškou Ministerstva financí, ale bude o nich rozhodovat generální ředitel, přičemž jejich seznam bude pro veřejnost dostupný způsobem umožňujícím dálkový a nepřetržitý přístup (na webových stránkách a na elektronické úřední desce Generálního ředitelství cel). Generální ředitel bude tato územní pracoviště zřizovat a rušit flexibilně na základě vývoje trhu, tj. podle potřeby přítomnosti orgánů Celní správy České republiky v tom kterém místě. Nicméně tyto změny by měl provádět konzervativním, zdrženlivým a předvídatelným způsobem s dostatečným časovým odstupem po diskusi s odbornou veřejností, dotčenými orgány státní správy a samosprávy. Je počítáno s tím, že v každém kraji bude minimálně jedno územní pracoviště celního úřadu, ideálně v krajském městě.</w:t>
      </w:r>
    </w:p>
    <w:p w14:paraId="5EF6FB8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Zmenšení počtu celních úřadů a jejich koncentrace pro více správních obvodů současně umožní </w:t>
      </w:r>
      <w:r w:rsidRPr="003730B5">
        <w:rPr>
          <w:rFonts w:ascii="Times New Roman" w:hAnsi="Times New Roman"/>
          <w:color w:val="auto"/>
          <w:sz w:val="24"/>
        </w:rPr>
        <w:lastRenderedPageBreak/>
        <w:t>Celní správě České republiky lépe organizovat práci, přesouvat v rámci jednoho celního úřadu agendy podle potřeb veřejnosti i provozních a personálních možností Celní správy České republiky.</w:t>
      </w:r>
    </w:p>
    <w:p w14:paraId="441D521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Ukazatele vytíženosti jednotlivých celních úřadů dle navrhovaného řešení zobrazuje následující tabulka. Mezi ostatními úřady se částečně vymyká Celní úřad pro hl. m. Prahu ve spojení s Celním úřadem Praha Ruzyně, což je dáno specifiky dnešního Celního úřadu Praha Ruzyně, který je v zásadě nejdůležitějším vstupním bodem z pohledu celního řízení, a to zejména v oblasti poštovních zásilek. </w:t>
      </w:r>
    </w:p>
    <w:p w14:paraId="33E2746D" w14:textId="77777777" w:rsidR="00133AC8" w:rsidRPr="003730B5" w:rsidRDefault="00133AC8" w:rsidP="00133AC8">
      <w:pPr>
        <w:spacing w:before="120"/>
      </w:pPr>
      <w:r w:rsidRPr="003730B5">
        <w:rPr>
          <w:noProof/>
        </w:rPr>
        <w:drawing>
          <wp:inline distT="0" distB="0" distL="0" distR="0" wp14:anchorId="7CB835F6" wp14:editId="41FB1E7F">
            <wp:extent cx="5760085" cy="2123206"/>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2123206"/>
                    </a:xfrm>
                    <a:prstGeom prst="rect">
                      <a:avLst/>
                    </a:prstGeom>
                    <a:noFill/>
                    <a:ln>
                      <a:noFill/>
                    </a:ln>
                  </pic:spPr>
                </pic:pic>
              </a:graphicData>
            </a:graphic>
          </wp:inline>
        </w:drawing>
      </w:r>
    </w:p>
    <w:p w14:paraId="1199450E"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8 odst. 6 písm. a))</w:t>
      </w:r>
    </w:p>
    <w:p w14:paraId="3FFADA3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souvislosti se zrušením Celního úřadu Praha Ruzyně se v daném ustanovení zrušuje speciální úprava týkající se vymezení celního prostoru Celního úřadu Praha Ruzyně.</w:t>
      </w:r>
    </w:p>
    <w:p w14:paraId="159154CF"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8 odst. 7 písm. a))</w:t>
      </w:r>
    </w:p>
    <w:p w14:paraId="036F35D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Jedná se o legislativně technickou úpravu spojenou s doplněním nových písmen c) a d).</w:t>
      </w:r>
    </w:p>
    <w:p w14:paraId="5C71F649"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8 odst. 7 písm. c) a d))</w:t>
      </w:r>
    </w:p>
    <w:p w14:paraId="1B0245A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Okruh agend, které vykonávají všechny celní úřady jako svoji celostátní územní působnost, tj. okruh tzv. vybrané působnosti, se rozšiřuje o vymáhání daní, cel nebo jiných obdobných peněžitých plnění v procesním režimu daňového řádu. Tento krok umožní efektivnější realizaci vymáhání zejména tam, kde by za stávajícího stavu bylo k vymáhání více nedoplatků jednoho dlužníka příslušných více celních úřadů. Tento stav nastává typicky u dělené správy, kdy celní úřady vymáhají peněžitá plnění uložená jinými orgány veřejné moci, přičemž příslušnost celních úřadů se řídí sídlem ukládajícího orgánu, který peněžité plnění celnímu úřadu k vymožení postoupil. Navržené řešení umožní soustředit vymáhání nedoplatků jednoho dlužníka na jednom celním úřadu. Podmínkou zefektivnění je současně nastavení jednotného metodického přístupu a zajištění vzájemné informovanosti celních úřadů ohledně existence více územně roztříštěných nedoplatků jednoho dlužníka a koordinace úkonů v rámci jejich vymáhání. Důvodem pro zefektivnění v této oblasti je i výrazné rozšíření okruhu peněžitých plnění, jejichž vymáhání budou v rámci dělené správy zajišťovat orgány Celní správy České republiky, o tzv. justiční pohledávky.</w:t>
      </w:r>
    </w:p>
    <w:p w14:paraId="4137108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Dále se navrhuje doplnit okruh tzv. vybrané působnosti o provádění doručování písemností, a to zejména v zájmu možné centralizace vypravování písemností v rámci orgánů Celní správy České republiky. Postup doručování písemností, resp. vypravování písemností je v podstatě interní záležitostí Celní správy České republiky, která se veřejnosti v principu nedotýká. Případná centralizace vypravování písemností by mohla přinést úspory, aniž by negativně ovlivnila práva příjemců písemností.</w:t>
      </w:r>
    </w:p>
    <w:p w14:paraId="7881E45B"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lastRenderedPageBreak/>
        <w:t> (§ 9 odst. 1)</w:t>
      </w:r>
    </w:p>
    <w:p w14:paraId="2A2264A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nové vymezení celních úřadů dochází ke změně názvu vybraného celního úřadu vykonávajícího vymezenou věcnou působnost.</w:t>
      </w:r>
    </w:p>
    <w:p w14:paraId="047D372A"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9 odst. 2)</w:t>
      </w:r>
    </w:p>
    <w:p w14:paraId="52B9F27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nové vymezení celních úřadů dochází ke změně názvu vybraného celního úřadu vykonávajícího vymezenou věcnou působnost.</w:t>
      </w:r>
    </w:p>
    <w:p w14:paraId="42979F83" w14:textId="77777777" w:rsidR="00133AC8" w:rsidRPr="003730B5" w:rsidRDefault="00133AC8" w:rsidP="00133AC8">
      <w:pPr>
        <w:pStyle w:val="Dvodovzprvakbodu"/>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9 odst. 3)</w:t>
      </w:r>
    </w:p>
    <w:p w14:paraId="4DCF4E1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nové vymezení celních úřadů dochází ke změně názvu vybraného celního úřadu vykonávajícího vymezenou věcnou působnost.</w:t>
      </w:r>
    </w:p>
    <w:p w14:paraId="24F3989B"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9 odst. 4)</w:t>
      </w:r>
    </w:p>
    <w:p w14:paraId="30323A6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nové vymezení celních úřadů dochází ke změně názvu vybraného celního úřadu vykonávajícího vymezenou věcnou působnost.</w:t>
      </w:r>
    </w:p>
    <w:p w14:paraId="11F6DE21"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9 odst. 5)</w:t>
      </w:r>
    </w:p>
    <w:p w14:paraId="46B45C9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zrušit dané ustanovení s ohledem na to, že v souvislosti s novým vymezením celních úřadů dochází ke změně názvu vybraného celního úřadu vykonávajícího vymezenou věcnou působnost, a legislativně dojde k vymezení dané působnosti v § 9 odst. 1 návrhu zákona.</w:t>
      </w:r>
    </w:p>
    <w:p w14:paraId="1052284A"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10 odst. 1)</w:t>
      </w:r>
    </w:p>
    <w:p w14:paraId="3AE0614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Vzhledem k vysoké zatíženosti Celního úřadu pro hlavní město Prahu (nově Celní úřad v Praze) a také ke zhoršené možnosti náboru nových pracovníků v tomto regionu se považuje za vhodné změnit pravidlo subsidiární místní příslušnosti dopadající zejména na cizince tak, aby byl využit jiný, méně zatížený region. Nejvhodnějším z pohledu zatíženosti se v souvislosti s nově vytvořenými celními úřady jeví Celní úřad v Plzni. Stávající řízení by v souladu s přechodným ustanovením dokončil nástupnický úřad Celního úřadu pro hlavní město Prahu, tj. Celní úřad v Praze.</w:t>
      </w:r>
    </w:p>
    <w:p w14:paraId="4D006B5B"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10 odst. 4)</w:t>
      </w:r>
    </w:p>
    <w:p w14:paraId="2423735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Jedná se o návaznou změnu na rozšíření okruhu vybrané působnosti v § 8 odst. 7 písm. c). Vymáhání (obdobně jako stávající kontrolní postupy) může v případě jednoho nedoplatku jednoho dlužníka provádět současně pouze jeden celní úřad. Ačkoliv k takovému kroku může přistoupit kterýkoliv z nich, poté, co se tak stane, je již vyloučeno, aby shodný nedoplatek téhož dlužníka vymáhal jiný celní úřad. Tím na druhé straně není vyloučeno, aby různé nedoplatky jednoho dlužníka vymáhalo více celních úřadů (což je především věcí jejich koordinace, okolností konkrétního případu aplikace zásady hospodárnosti). Stejně jako v případě kontrolních postupů je třeba řešení kolize výkonu působnosti více celních úřadů u téhož nedoplatku řešit výslovně. Na předmětnou vybranou působnost budou dopadat rovněž ustanovení § 11 odst. 4 a § 11b, které však hovoří obecně o vybrané působnosti, a tedy je není třeba novelizovat.</w:t>
      </w:r>
    </w:p>
    <w:p w14:paraId="7F0D0FBE" w14:textId="5DBF1CDA" w:rsidR="00133AC8" w:rsidRPr="003730B5" w:rsidRDefault="00133AC8" w:rsidP="00133AC8">
      <w:pPr>
        <w:widowControl w:val="0"/>
        <w:spacing w:before="120" w:after="120"/>
        <w:outlineLvl w:val="2"/>
        <w:rPr>
          <w:b/>
        </w:rPr>
      </w:pPr>
      <w:r w:rsidRPr="003730B5">
        <w:rPr>
          <w:b/>
        </w:rPr>
        <w:t>K čl. </w:t>
      </w:r>
      <w:r w:rsidR="002C6370" w:rsidRPr="003730B5">
        <w:rPr>
          <w:b/>
        </w:rPr>
        <w:t xml:space="preserve">LXXVI </w:t>
      </w:r>
      <w:r w:rsidRPr="003730B5">
        <w:rPr>
          <w:b/>
        </w:rPr>
        <w:t>(Přechodná ustanovení)</w:t>
      </w:r>
    </w:p>
    <w:p w14:paraId="3321FA3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Jedná se o standardní přechodná ustanovení reagující na zúžení okruhu celních úřadů. Dále jsou zahrnuta přechodná ustanovení týkající se aplikace stávajících pravidel příslušnosti správních soudů v nedokončených kauzách. Z důvodu přechodu pravidla pro subsidiární použití místní příslušnosti z Celního úřadu pro hlavní město Prahu na Celní úřad v Plzni je nutné upravit rovněž přechodné ustanovení, které zajistí, aby dosavadní již zahájená řízení a jiné postupy dokončil nástupnický úřad s působností ve správním obvodu hlavního města Prahy.</w:t>
      </w:r>
    </w:p>
    <w:p w14:paraId="3989C6B5" w14:textId="77777777" w:rsidR="00133AC8" w:rsidRPr="003730B5" w:rsidRDefault="00133AC8" w:rsidP="00133AC8">
      <w:pPr>
        <w:widowControl w:val="0"/>
        <w:spacing w:before="240" w:after="120"/>
        <w:outlineLvl w:val="1"/>
        <w:rPr>
          <w:b/>
          <w:sz w:val="28"/>
        </w:rPr>
      </w:pPr>
      <w:r w:rsidRPr="003730B5">
        <w:rPr>
          <w:b/>
          <w:sz w:val="28"/>
        </w:rPr>
        <w:lastRenderedPageBreak/>
        <w:t>K části čtyřicáté čtvrté – Změna zákona o audiovizi</w:t>
      </w:r>
    </w:p>
    <w:p w14:paraId="7598F1B5" w14:textId="7AF63B61" w:rsidR="00133AC8" w:rsidRPr="003730B5" w:rsidRDefault="00133AC8" w:rsidP="00133AC8">
      <w:pPr>
        <w:widowControl w:val="0"/>
        <w:spacing w:after="120"/>
        <w:outlineLvl w:val="2"/>
        <w:rPr>
          <w:b/>
        </w:rPr>
      </w:pPr>
      <w:r w:rsidRPr="003730B5">
        <w:rPr>
          <w:b/>
        </w:rPr>
        <w:t>K čl. </w:t>
      </w:r>
      <w:r w:rsidR="002C6370" w:rsidRPr="003730B5">
        <w:rPr>
          <w:b/>
        </w:rPr>
        <w:t xml:space="preserve">LXXVIII </w:t>
      </w:r>
      <w:r w:rsidRPr="003730B5">
        <w:rPr>
          <w:b/>
        </w:rPr>
        <w:t>(§ 41 odst. 2)</w:t>
      </w:r>
    </w:p>
    <w:p w14:paraId="077D926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Dochází k vypuštění možnosti platby peněžitého plnění kolkovými známkami podle daňového řádu. V podrobnostech lze odkázat na odůvodnění novely daňového řádu.</w:t>
      </w:r>
    </w:p>
    <w:p w14:paraId="77677287" w14:textId="77777777" w:rsidR="00133AC8" w:rsidRPr="003730B5" w:rsidRDefault="00133AC8" w:rsidP="00133AC8">
      <w:pPr>
        <w:widowControl w:val="0"/>
        <w:spacing w:before="240" w:after="120"/>
        <w:outlineLvl w:val="1"/>
        <w:rPr>
          <w:b/>
          <w:sz w:val="28"/>
        </w:rPr>
      </w:pPr>
      <w:r w:rsidRPr="003730B5">
        <w:rPr>
          <w:b/>
          <w:sz w:val="28"/>
        </w:rPr>
        <w:t>K části čtyřicáté páté – Změna zákona o mezinárodní justiční spolupráci ve věcech trestních</w:t>
      </w:r>
    </w:p>
    <w:p w14:paraId="56A1ACD0" w14:textId="77777777" w:rsidR="00133AC8" w:rsidRPr="003730B5" w:rsidRDefault="00133AC8" w:rsidP="00133AC8">
      <w:pPr>
        <w:pStyle w:val="Dvodovzprva"/>
        <w:widowControl w:val="0"/>
        <w:spacing w:before="0" w:after="120"/>
        <w:outlineLvl w:val="9"/>
        <w:rPr>
          <w:rFonts w:ascii="Times New Roman" w:hAnsi="Times New Roman"/>
          <w:color w:val="auto"/>
          <w:sz w:val="24"/>
        </w:rPr>
      </w:pPr>
      <w:r w:rsidRPr="003730B5">
        <w:rPr>
          <w:rFonts w:ascii="Times New Roman" w:hAnsi="Times New Roman"/>
          <w:color w:val="auto"/>
          <w:sz w:val="24"/>
        </w:rPr>
        <w:t>V rámci této části je řešen převod kompetence k vymáhání tzv. justičních pohledávek na orgány Celní správy České republiky. V podrobnostech lze odkázat na odůvodnění novely trestního řádu.</w:t>
      </w:r>
    </w:p>
    <w:p w14:paraId="136F8680" w14:textId="591BF391" w:rsidR="00133AC8" w:rsidRPr="003730B5" w:rsidRDefault="00133AC8" w:rsidP="00133AC8">
      <w:pPr>
        <w:widowControl w:val="0"/>
        <w:spacing w:after="120"/>
        <w:outlineLvl w:val="2"/>
        <w:rPr>
          <w:b/>
        </w:rPr>
      </w:pPr>
      <w:r w:rsidRPr="003730B5">
        <w:rPr>
          <w:b/>
        </w:rPr>
        <w:t>K čl. </w:t>
      </w:r>
      <w:r w:rsidR="002C6370" w:rsidRPr="003730B5">
        <w:rPr>
          <w:b/>
        </w:rPr>
        <w:t>LXXIX</w:t>
      </w:r>
    </w:p>
    <w:p w14:paraId="3887954C"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1 a 4 (§ 11 odst. 4, § 132 odst. 4, § 270 odst. 2)</w:t>
      </w:r>
    </w:p>
    <w:p w14:paraId="4477524F" w14:textId="7CFC8FF6"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souladu s obecnou částí důvodové zprávy se navrhuje zakotvit, že orgánem příslušným k vymáhání úhrady nákladů mezinárodní justiční spolupráce ve věcech trestních (§ 11 </w:t>
      </w:r>
      <w:r w:rsidR="00F842C9"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F842C9" w:rsidRPr="003730B5">
        <w:rPr>
          <w:rFonts w:ascii="Times New Roman" w:hAnsi="Times New Roman"/>
          <w:color w:val="auto"/>
          <w:sz w:val="24"/>
        </w:rPr>
        <w:t>mezinárodní justiční spolupráci ve věcech trestních</w:t>
      </w:r>
      <w:r w:rsidRPr="003730B5">
        <w:rPr>
          <w:rFonts w:ascii="Times New Roman" w:hAnsi="Times New Roman"/>
          <w:color w:val="auto"/>
          <w:sz w:val="24"/>
        </w:rPr>
        <w:t xml:space="preserve">), nákladů převzetí (§ 132 </w:t>
      </w:r>
      <w:r w:rsidR="00F842C9"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F842C9" w:rsidRPr="003730B5">
        <w:rPr>
          <w:rFonts w:ascii="Times New Roman" w:hAnsi="Times New Roman"/>
          <w:color w:val="auto"/>
          <w:sz w:val="24"/>
        </w:rPr>
        <w:t>mezinárodní justiční spolupráci ve věcech trestních</w:t>
      </w:r>
      <w:r w:rsidRPr="003730B5">
        <w:rPr>
          <w:rFonts w:ascii="Times New Roman" w:hAnsi="Times New Roman"/>
          <w:color w:val="auto"/>
          <w:sz w:val="24"/>
        </w:rPr>
        <w:t>) a částek podle § 268 odst. 6 </w:t>
      </w:r>
      <w:r w:rsidR="00F842C9"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F842C9" w:rsidRPr="003730B5">
        <w:rPr>
          <w:rFonts w:ascii="Times New Roman" w:hAnsi="Times New Roman"/>
          <w:color w:val="auto"/>
          <w:sz w:val="24"/>
        </w:rPr>
        <w:t xml:space="preserve">mezinárodní justiční spolupráci ve věcech trestních </w:t>
      </w:r>
      <w:r w:rsidRPr="003730B5">
        <w:rPr>
          <w:rFonts w:ascii="Times New Roman" w:hAnsi="Times New Roman"/>
          <w:color w:val="auto"/>
          <w:sz w:val="24"/>
        </w:rPr>
        <w:t>budou napříště celní úřady.</w:t>
      </w:r>
    </w:p>
    <w:p w14:paraId="309D8867"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2 a 3 (§ 178 odst. 1, § 180 a § 270 odst. 1 a 2)</w:t>
      </w:r>
    </w:p>
    <w:p w14:paraId="268699E2" w14:textId="531BDD69"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Odůvodňované novelizační body reagují na skutečnost, že k vymáhání pohledávek uvedených v § 178 odst. 1, § 180 a § 270 odst. 1 a 2 </w:t>
      </w:r>
      <w:r w:rsidR="00F842C9"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F842C9" w:rsidRPr="003730B5">
        <w:rPr>
          <w:rFonts w:ascii="Times New Roman" w:hAnsi="Times New Roman"/>
          <w:color w:val="auto"/>
          <w:sz w:val="24"/>
        </w:rPr>
        <w:t xml:space="preserve">mezinárodní justiční spolupráci ve věcech trestních </w:t>
      </w:r>
      <w:r w:rsidRPr="003730B5">
        <w:rPr>
          <w:rFonts w:ascii="Times New Roman" w:hAnsi="Times New Roman"/>
          <w:color w:val="auto"/>
          <w:sz w:val="24"/>
        </w:rPr>
        <w:t>bud</w:t>
      </w:r>
      <w:r w:rsidR="00F842C9" w:rsidRPr="003730B5">
        <w:rPr>
          <w:rFonts w:ascii="Times New Roman" w:hAnsi="Times New Roman"/>
          <w:color w:val="auto"/>
          <w:sz w:val="24"/>
        </w:rPr>
        <w:t>e</w:t>
      </w:r>
      <w:r w:rsidRPr="003730B5">
        <w:rPr>
          <w:rFonts w:ascii="Times New Roman" w:hAnsi="Times New Roman"/>
          <w:color w:val="auto"/>
          <w:sz w:val="24"/>
        </w:rPr>
        <w:t xml:space="preserve"> napříště příslušný celní úřad. Jde-li o výkon rozhodnutí mezinárodního soudu, kterým byl uložen peněžitý trest, připadá podle § 178 </w:t>
      </w:r>
      <w:r w:rsidR="00F842C9"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F842C9" w:rsidRPr="003730B5">
        <w:rPr>
          <w:rFonts w:ascii="Times New Roman" w:hAnsi="Times New Roman"/>
          <w:color w:val="auto"/>
          <w:sz w:val="24"/>
        </w:rPr>
        <w:t xml:space="preserve">mezinárodní justiční spolupráci ve věcech trestních </w:t>
      </w:r>
      <w:r w:rsidRPr="003730B5">
        <w:rPr>
          <w:rFonts w:ascii="Times New Roman" w:hAnsi="Times New Roman"/>
          <w:color w:val="auto"/>
          <w:sz w:val="24"/>
        </w:rPr>
        <w:t xml:space="preserve">částka, která byla výkonem jeho rozhodnutí získána, mezinárodnímu soudu a orgán, který ji vybral nebo vymohl, ji převede mezinárodnímu soudu nebo tomu, koho mezinárodní soud určí, na jimi stanovený účet. Částka získaná výkonem tohoto rozhodnutí se tedy převede na příslušný účet (buď mezinárodního soudu, nebo toho, koho mezinárodní soud určí), přičemž příslušné kontaktní údaje předá celnímu úřadu soud zároveň s postoupením pohledávky k vymáhání (tj. nebude zapotřebí provádění žádných zvláštních úkonů ze strany celního úřadu vůči mezinárodnímu soudu nebo příjemci vymožené částky). Totéž platí pro postup podle § 180 </w:t>
      </w:r>
      <w:r w:rsidR="00F842C9"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F842C9" w:rsidRPr="003730B5">
        <w:rPr>
          <w:rFonts w:ascii="Times New Roman" w:hAnsi="Times New Roman"/>
          <w:color w:val="auto"/>
          <w:sz w:val="24"/>
        </w:rPr>
        <w:t>mezinárodní justiční spolupráci ve věcech trestních</w:t>
      </w:r>
      <w:r w:rsidRPr="003730B5">
        <w:rPr>
          <w:rFonts w:ascii="Times New Roman" w:hAnsi="Times New Roman"/>
          <w:color w:val="auto"/>
          <w:sz w:val="24"/>
        </w:rPr>
        <w:t xml:space="preserve">.  </w:t>
      </w:r>
    </w:p>
    <w:p w14:paraId="14CA2B00" w14:textId="77777777" w:rsidR="00133AC8" w:rsidRPr="003730B5" w:rsidRDefault="00133AC8" w:rsidP="00133AC8">
      <w:pPr>
        <w:pStyle w:val="Dvodovzprvakbodu"/>
        <w:keepNext w:val="0"/>
        <w:widowControl w:val="0"/>
        <w:numPr>
          <w:ilvl w:val="0"/>
          <w:numId w:val="65"/>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271 odst. 3)</w:t>
      </w:r>
    </w:p>
    <w:p w14:paraId="2AE065CF" w14:textId="140C0B06"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Aby samosoudce mohl řádně informovat příslušný orgán jiného členského státu o skutečnostech uvedených v návaznosti na čl. 14 rámcového rozhodnutí Rady 2005/214/SVV ze dne 24. února 2005 o uplatňování zásady vzájemného uznávání peněžitých trestů a pokut v § 271 odst. 1 </w:t>
      </w:r>
      <w:r w:rsidR="00F842C9"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F842C9" w:rsidRPr="003730B5">
        <w:rPr>
          <w:rFonts w:ascii="Times New Roman" w:hAnsi="Times New Roman"/>
          <w:color w:val="auto"/>
          <w:sz w:val="24"/>
        </w:rPr>
        <w:t>mezinárodní justiční spolupráci ve věcech trestních</w:t>
      </w:r>
      <w:r w:rsidRPr="003730B5">
        <w:rPr>
          <w:rFonts w:ascii="Times New Roman" w:hAnsi="Times New Roman"/>
          <w:color w:val="auto"/>
          <w:sz w:val="24"/>
        </w:rPr>
        <w:t>, stanoví se povinnost celního úřadu, který vymáhá peněžitou sankci nebo jiné peněžité plnění podle této hlavy, vyrozumět bez zbytečného odkladu soud o tom, že tato peněžitá sankce nebo jiné peněžité plnění bylo vykonáno nebo že vymožení peněžité sankce nebo jiného peněžitého plnění by mohlo být zmařeno a z jakých důvodů. Toto ustanovení navazuje na informační povinnost celního úřadu podle trestního řádu (§ 343a odst. 3 tr</w:t>
      </w:r>
      <w:r w:rsidR="00F842C9" w:rsidRPr="003730B5">
        <w:rPr>
          <w:rFonts w:ascii="Times New Roman" w:hAnsi="Times New Roman"/>
          <w:color w:val="auto"/>
          <w:sz w:val="24"/>
        </w:rPr>
        <w:t>estního</w:t>
      </w:r>
      <w:r w:rsidRPr="003730B5">
        <w:rPr>
          <w:rFonts w:ascii="Times New Roman" w:hAnsi="Times New Roman"/>
          <w:color w:val="auto"/>
          <w:sz w:val="24"/>
        </w:rPr>
        <w:t xml:space="preserve"> ř</w:t>
      </w:r>
      <w:r w:rsidR="00F842C9" w:rsidRPr="003730B5">
        <w:rPr>
          <w:rFonts w:ascii="Times New Roman" w:hAnsi="Times New Roman"/>
          <w:color w:val="auto"/>
          <w:sz w:val="24"/>
        </w:rPr>
        <w:t>ádu</w:t>
      </w:r>
      <w:r w:rsidRPr="003730B5">
        <w:rPr>
          <w:rFonts w:ascii="Times New Roman" w:hAnsi="Times New Roman"/>
          <w:color w:val="auto"/>
          <w:sz w:val="24"/>
        </w:rPr>
        <w:t xml:space="preserve">), která se ale týká pouze peněžitých trestů, a je nezbytné i pro řádnou reakci soudu v rámci vykonávacího řízení (tato obligatorní informační povinnost tedy představuje určitou věcně odůvodnitelnou odchylku od obecného ustanovení § 162 odst. 4 daňového řádu). Tímto ustanovením není dotčena informační povinnost podle trestního řádu, je-li takto uznán a vykonáván peněžitý trest [viz i § 270 odst. 1 písm. a) </w:t>
      </w:r>
      <w:r w:rsidR="00F842C9" w:rsidRPr="003730B5">
        <w:rPr>
          <w:rFonts w:ascii="Times New Roman" w:hAnsi="Times New Roman"/>
          <w:color w:val="auto"/>
          <w:sz w:val="24"/>
        </w:rPr>
        <w:t xml:space="preserve">zákona </w:t>
      </w:r>
      <w:r w:rsidR="00A42930" w:rsidRPr="003730B5">
        <w:rPr>
          <w:rFonts w:ascii="Times New Roman" w:hAnsi="Times New Roman"/>
          <w:color w:val="auto"/>
          <w:sz w:val="24"/>
        </w:rPr>
        <w:t>o </w:t>
      </w:r>
      <w:r w:rsidR="00F842C9" w:rsidRPr="003730B5">
        <w:rPr>
          <w:rFonts w:ascii="Times New Roman" w:hAnsi="Times New Roman"/>
          <w:color w:val="auto"/>
          <w:sz w:val="24"/>
        </w:rPr>
        <w:t>mezinárodní justiční spolupráci ve věcech trestních</w:t>
      </w:r>
      <w:r w:rsidRPr="003730B5">
        <w:rPr>
          <w:rFonts w:ascii="Times New Roman" w:hAnsi="Times New Roman"/>
          <w:color w:val="auto"/>
          <w:sz w:val="24"/>
        </w:rPr>
        <w:t>].</w:t>
      </w:r>
    </w:p>
    <w:p w14:paraId="7DAE829F" w14:textId="5B420640" w:rsidR="00133AC8" w:rsidRPr="003730B5" w:rsidRDefault="00133AC8" w:rsidP="00133AC8">
      <w:pPr>
        <w:keepNext/>
        <w:widowControl w:val="0"/>
        <w:spacing w:before="240" w:after="120"/>
        <w:outlineLvl w:val="2"/>
        <w:rPr>
          <w:b/>
        </w:rPr>
      </w:pPr>
      <w:r w:rsidRPr="003730B5">
        <w:rPr>
          <w:b/>
        </w:rPr>
        <w:lastRenderedPageBreak/>
        <w:t>K čl. </w:t>
      </w:r>
      <w:r w:rsidR="002C6370" w:rsidRPr="003730B5">
        <w:rPr>
          <w:b/>
        </w:rPr>
        <w:t xml:space="preserve">LXXX </w:t>
      </w:r>
      <w:r w:rsidRPr="003730B5">
        <w:rPr>
          <w:b/>
        </w:rPr>
        <w:t>(Přechodná ustanovení)</w:t>
      </w:r>
    </w:p>
    <w:p w14:paraId="2AD61875" w14:textId="77777777" w:rsidR="00133AC8" w:rsidRPr="003730B5" w:rsidRDefault="00133AC8" w:rsidP="00133AC8">
      <w:pPr>
        <w:pStyle w:val="Dvodovzprva"/>
        <w:widowControl w:val="0"/>
        <w:spacing w:before="0" w:after="120"/>
        <w:outlineLvl w:val="9"/>
        <w:rPr>
          <w:rFonts w:ascii="Times New Roman" w:hAnsi="Times New Roman"/>
          <w:color w:val="auto"/>
          <w:sz w:val="24"/>
        </w:rPr>
      </w:pPr>
      <w:r w:rsidRPr="003730B5">
        <w:rPr>
          <w:rFonts w:ascii="Times New Roman" w:hAnsi="Times New Roman"/>
          <w:color w:val="auto"/>
          <w:sz w:val="24"/>
        </w:rPr>
        <w:t>K vymáhání pohledávek, jejichž správa placení se řídí daňovým řádem, bude celní úřad příslušný ode dne nabytí účinnosti tohoto zákona v případě těch pohledávek, které vzniknou ode dne nabytí účinnosti tohoto zákona.</w:t>
      </w:r>
    </w:p>
    <w:p w14:paraId="7274FC5E" w14:textId="77777777" w:rsidR="00133AC8" w:rsidRPr="003730B5" w:rsidRDefault="00133AC8" w:rsidP="00133AC8">
      <w:pPr>
        <w:pStyle w:val="Dvodovzprva"/>
        <w:widowControl w:val="0"/>
        <w:spacing w:before="0" w:after="120"/>
        <w:outlineLvl w:val="9"/>
        <w:rPr>
          <w:rFonts w:ascii="Times New Roman" w:hAnsi="Times New Roman"/>
          <w:color w:val="auto"/>
          <w:sz w:val="24"/>
        </w:rPr>
      </w:pPr>
      <w:r w:rsidRPr="003730B5">
        <w:rPr>
          <w:rFonts w:ascii="Times New Roman" w:hAnsi="Times New Roman"/>
          <w:color w:val="auto"/>
          <w:sz w:val="24"/>
        </w:rPr>
        <w:t xml:space="preserve">K vymáhání pohledávek, jejichž správa placení se řídí daňovým řádem, které vznikly přede dnem nabytí účinnosti tohoto zákona, nebyly však předány k vymáhání soudnímu exekutorovi, uplatněny v insolvenčním řízení nebo přihlášeny do veřejné dražby podle § 175 odst. 1 daňového řádu, bude celní úřad příslušný ode dne převzetí jejich vymáhání. Nebyla-li daňová exekuce pro takovou pohledávku ke dni nabytí účinnosti tohoto zákona nařízena vydáním exekučního příkazu, předá orgán, který je příslušný k jejímu vymáhání podle stávající právní úpravy, pohledávku k vymáhání celnímu úřadu bez zbytečného odkladu, nejpozději do 30. 6. 2024. Byla-li ke dni nabytí účinnosti tohoto zákona pro pohledávku nařízena daňová exekuce vydáním exekučního příkazu, postupují orgány příslušné k jejímu vymáhání podle stávající právní úpravy k jejímu vymožení. Pohledávky, které tímto postupem nebudou zcela vymoženy, předá orgán příslušný k jejich vymáhání podle stávající právní úpravy k vymáhání celnímu úřadu do 31. 12. 2024. </w:t>
      </w:r>
    </w:p>
    <w:p w14:paraId="0D02A760" w14:textId="77777777" w:rsidR="00133AC8" w:rsidRPr="003730B5" w:rsidRDefault="00133AC8" w:rsidP="00133AC8">
      <w:pPr>
        <w:pStyle w:val="Dvodovzprva"/>
        <w:widowControl w:val="0"/>
        <w:spacing w:before="0" w:after="120"/>
        <w:outlineLvl w:val="9"/>
        <w:rPr>
          <w:rFonts w:ascii="Times New Roman" w:hAnsi="Times New Roman"/>
          <w:color w:val="auto"/>
          <w:sz w:val="24"/>
        </w:rPr>
      </w:pPr>
      <w:r w:rsidRPr="003730B5">
        <w:rPr>
          <w:rFonts w:ascii="Times New Roman" w:hAnsi="Times New Roman"/>
          <w:color w:val="auto"/>
          <w:sz w:val="24"/>
        </w:rPr>
        <w:t>Příslušnost k vymáhání pohledávek, které vznikly přede dnem účinnosti tohoto zákona a byly předány k vymáhání soudnímu exekutorovi, uplatněny v insolvenčním řízení nebo přihlášeny do veřejné dražby podle § 175 odst. 1 daňového řádu, se z procesních důvodů nemění.</w:t>
      </w:r>
    </w:p>
    <w:p w14:paraId="39DBBFDA" w14:textId="77777777" w:rsidR="00133AC8" w:rsidRPr="003730B5" w:rsidRDefault="00133AC8" w:rsidP="00133AC8">
      <w:pPr>
        <w:widowControl w:val="0"/>
        <w:spacing w:before="240" w:after="120"/>
        <w:outlineLvl w:val="1"/>
        <w:rPr>
          <w:b/>
          <w:sz w:val="28"/>
        </w:rPr>
      </w:pPr>
      <w:r w:rsidRPr="003730B5">
        <w:rPr>
          <w:b/>
          <w:sz w:val="28"/>
        </w:rPr>
        <w:t>K části čtyřicáté šesté – Změna zákona o zvláštních řízeních soudních</w:t>
      </w:r>
    </w:p>
    <w:p w14:paraId="3E5BEDF4" w14:textId="77777777" w:rsidR="00133AC8" w:rsidRPr="003730B5" w:rsidRDefault="00133AC8" w:rsidP="00133AC8">
      <w:pPr>
        <w:pStyle w:val="Dvodovzprva"/>
        <w:widowControl w:val="0"/>
        <w:spacing w:before="0" w:after="120"/>
        <w:outlineLvl w:val="9"/>
        <w:rPr>
          <w:rFonts w:ascii="Times New Roman" w:hAnsi="Times New Roman"/>
          <w:color w:val="auto"/>
          <w:sz w:val="24"/>
        </w:rPr>
      </w:pPr>
      <w:r w:rsidRPr="003730B5">
        <w:rPr>
          <w:rFonts w:ascii="Times New Roman" w:hAnsi="Times New Roman"/>
          <w:color w:val="auto"/>
          <w:sz w:val="24"/>
        </w:rPr>
        <w:t>V rámci této části je řešen převod kompetence k vymáhání tzv. justičních pohledávek na orgány Celní správy České republiky. V podrobnostech lze odkázat na odůvodnění novely trestního řádu.</w:t>
      </w:r>
    </w:p>
    <w:p w14:paraId="67C488B9" w14:textId="348C026C" w:rsidR="00133AC8" w:rsidRPr="003730B5" w:rsidRDefault="00133AC8" w:rsidP="00133AC8">
      <w:pPr>
        <w:widowControl w:val="0"/>
        <w:spacing w:after="120"/>
        <w:outlineLvl w:val="2"/>
        <w:rPr>
          <w:b/>
        </w:rPr>
      </w:pPr>
      <w:r w:rsidRPr="003730B5">
        <w:rPr>
          <w:b/>
        </w:rPr>
        <w:t>K čl. </w:t>
      </w:r>
      <w:r w:rsidR="002C6370" w:rsidRPr="003730B5">
        <w:rPr>
          <w:b/>
        </w:rPr>
        <w:t>LXXXI</w:t>
      </w:r>
    </w:p>
    <w:p w14:paraId="79BE0E4D"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1 až 3 (§ 502 odst. 2 a 3, § 507 odst. 1)</w:t>
      </w:r>
    </w:p>
    <w:p w14:paraId="0B378BC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Podle stávající právní úpravy pokuty, které byly uloženy při výkonu rozhodnutí o péči o nezletilé děti, vymáhá soud. Oproti jiným pokutám, které jsou ukládány soudy, však není stanoveno, že se při správě jejich placení postupuje podle daňového řádu, přičemž pro odchylný procesní režim u těchto justičních pohledávek není dán racionální důvod. Za účelem unifikace postupu při vymáhání justičních pohledávek se tedy i zde navrhuje, aby i tyto pokuty podléhaly daňovému režimu a orgánem příslušným k jejich vymáhání byla Celní správa České republiky. </w:t>
      </w:r>
    </w:p>
    <w:p w14:paraId="6CFAD345" w14:textId="2D0F95A9"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Podle § 507 </w:t>
      </w:r>
      <w:r w:rsidR="00705719" w:rsidRPr="003730B5">
        <w:rPr>
          <w:rFonts w:ascii="Times New Roman" w:hAnsi="Times New Roman"/>
          <w:color w:val="auto"/>
          <w:sz w:val="24"/>
        </w:rPr>
        <w:t xml:space="preserve">zákona </w:t>
      </w:r>
      <w:r w:rsidR="00D03256" w:rsidRPr="003730B5">
        <w:rPr>
          <w:rFonts w:ascii="Times New Roman" w:hAnsi="Times New Roman"/>
          <w:color w:val="auto"/>
          <w:sz w:val="24"/>
        </w:rPr>
        <w:t>o </w:t>
      </w:r>
      <w:r w:rsidR="00705719" w:rsidRPr="003730B5">
        <w:rPr>
          <w:rFonts w:ascii="Times New Roman" w:hAnsi="Times New Roman"/>
          <w:color w:val="auto"/>
          <w:sz w:val="24"/>
        </w:rPr>
        <w:t>zvláštních řízeních soudních</w:t>
      </w:r>
      <w:r w:rsidRPr="003730B5">
        <w:rPr>
          <w:rFonts w:ascii="Times New Roman" w:hAnsi="Times New Roman"/>
          <w:color w:val="auto"/>
          <w:sz w:val="24"/>
        </w:rPr>
        <w:t xml:space="preserve"> lze na návrh zákonného zástupce nebo opatrovníka nezletilého dítěte na základě rozhodnutí soudu čerpat peněžní prostředky k náhradě vynaložených a prokázaných nákladů, slouží-li k uspokojení nezbytných potřeb dítěte, a to do výše částky vymožených pokut. Vzhledem k tomu, že tyto pohledávky napříště nebudou vymáhány soudy, zrušuje se povinnost soudů evidovat částku vymožených pokut; informaci o výši částky vymožené pokuty celní úřad sdělí soudu v rámci součinnosti stanovené daňovým řádem.</w:t>
      </w:r>
    </w:p>
    <w:p w14:paraId="6D87E6D0" w14:textId="40E716E9" w:rsidR="00133AC8" w:rsidRPr="003730B5" w:rsidRDefault="00133AC8" w:rsidP="00133AC8">
      <w:pPr>
        <w:widowControl w:val="0"/>
        <w:spacing w:before="240" w:after="120"/>
        <w:outlineLvl w:val="2"/>
        <w:rPr>
          <w:b/>
        </w:rPr>
      </w:pPr>
      <w:r w:rsidRPr="003730B5">
        <w:rPr>
          <w:b/>
        </w:rPr>
        <w:t>K čl. </w:t>
      </w:r>
      <w:r w:rsidR="002C6370" w:rsidRPr="003730B5">
        <w:rPr>
          <w:b/>
        </w:rPr>
        <w:t xml:space="preserve">LXXXII </w:t>
      </w:r>
      <w:r w:rsidRPr="003730B5">
        <w:rPr>
          <w:b/>
        </w:rPr>
        <w:t>(Přechodná ustanovení)</w:t>
      </w:r>
    </w:p>
    <w:p w14:paraId="11AEB75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Procesní režim pokut uložených při výkonu rozhodnutí o péči o nezletilé děti, které vznikly přede dnem nabytí účinnosti tohoto zákona, se nemění; daňový řád se bude vztahovat až na ty, které se staly splatnými ode dne nabytí účinnosti tohoto zákona. S ohledem na odlišnost procesního režimu se nemění ani příslušnost k vymáhání pokut, které se staly splatnými přede dnem nabytí účinnosti tohoto zákona. K vymáhání pokut, které byly uloženy při výkonu </w:t>
      </w:r>
      <w:r w:rsidRPr="003730B5">
        <w:rPr>
          <w:rFonts w:ascii="Times New Roman" w:hAnsi="Times New Roman"/>
          <w:color w:val="auto"/>
          <w:sz w:val="24"/>
        </w:rPr>
        <w:lastRenderedPageBreak/>
        <w:t>rozhodnutí o péči o nezletilé děti, bude celní úřad příslušný pouze v případě těch pohledávek, které vzniknou ode dne nabytí účinnosti tohoto zákona.</w:t>
      </w:r>
    </w:p>
    <w:p w14:paraId="76BD6A16" w14:textId="77777777" w:rsidR="00133AC8" w:rsidRPr="003730B5" w:rsidRDefault="00133AC8" w:rsidP="00133AC8">
      <w:pPr>
        <w:keepNext/>
        <w:widowControl w:val="0"/>
        <w:spacing w:before="240" w:after="120"/>
        <w:outlineLvl w:val="1"/>
        <w:rPr>
          <w:rFonts w:eastAsiaTheme="minorHAnsi"/>
          <w:szCs w:val="24"/>
          <w:lang w:eastAsia="en-US"/>
        </w:rPr>
      </w:pPr>
      <w:r w:rsidRPr="003730B5">
        <w:rPr>
          <w:b/>
          <w:sz w:val="28"/>
        </w:rPr>
        <w:t>K části čtyřicáté sedmé – Změna zákona o působnosti orgánů Celní správy České republiky v souvislosti s vymáháním práv duševního vlastnictví</w:t>
      </w:r>
    </w:p>
    <w:p w14:paraId="5B9BBF22" w14:textId="7AF560A3" w:rsidR="00133AC8" w:rsidRPr="003730B5" w:rsidRDefault="00133AC8" w:rsidP="00133AC8">
      <w:pPr>
        <w:widowControl w:val="0"/>
        <w:spacing w:after="120"/>
        <w:outlineLvl w:val="2"/>
        <w:rPr>
          <w:b/>
        </w:rPr>
      </w:pPr>
      <w:r w:rsidRPr="003730B5">
        <w:rPr>
          <w:b/>
        </w:rPr>
        <w:t>K čl. </w:t>
      </w:r>
      <w:r w:rsidR="002C6370" w:rsidRPr="003730B5">
        <w:rPr>
          <w:b/>
        </w:rPr>
        <w:t>LXXXIII</w:t>
      </w:r>
    </w:p>
    <w:p w14:paraId="01005FFC" w14:textId="77777777" w:rsidR="00133AC8" w:rsidRPr="003730B5" w:rsidRDefault="00133AC8" w:rsidP="00133AC8">
      <w:pPr>
        <w:pStyle w:val="Dvodovzprvakbodu"/>
        <w:keepNext w:val="0"/>
        <w:widowControl w:val="0"/>
        <w:numPr>
          <w:ilvl w:val="0"/>
          <w:numId w:val="57"/>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2 odst. 2)</w:t>
      </w:r>
    </w:p>
    <w:p w14:paraId="066EF7D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nové vymezení celních úřadů dochází ke změně názvu celního úřadu vykonávajícího vymezenou věcnou působnost.</w:t>
      </w:r>
    </w:p>
    <w:p w14:paraId="6A272D9A" w14:textId="77777777" w:rsidR="00133AC8" w:rsidRPr="003730B5" w:rsidRDefault="00133AC8" w:rsidP="00133AC8">
      <w:pPr>
        <w:keepNext/>
        <w:widowControl w:val="0"/>
        <w:spacing w:before="240" w:after="120"/>
        <w:outlineLvl w:val="1"/>
        <w:rPr>
          <w:rFonts w:eastAsiaTheme="minorHAnsi"/>
          <w:szCs w:val="24"/>
          <w:lang w:eastAsia="en-US"/>
        </w:rPr>
      </w:pPr>
      <w:r w:rsidRPr="003730B5">
        <w:rPr>
          <w:b/>
          <w:sz w:val="28"/>
        </w:rPr>
        <w:t>K části čtyřicáté osmé – Změna zákona o hazardních hrách</w:t>
      </w:r>
    </w:p>
    <w:p w14:paraId="7C0D5640" w14:textId="2E5E7B3A" w:rsidR="00133AC8" w:rsidRPr="003730B5" w:rsidRDefault="00133AC8" w:rsidP="00133AC8">
      <w:pPr>
        <w:widowControl w:val="0"/>
        <w:spacing w:after="120"/>
        <w:outlineLvl w:val="2"/>
        <w:rPr>
          <w:b/>
        </w:rPr>
      </w:pPr>
      <w:r w:rsidRPr="003730B5">
        <w:rPr>
          <w:b/>
        </w:rPr>
        <w:t>K čl. </w:t>
      </w:r>
      <w:r w:rsidR="002C6370" w:rsidRPr="003730B5">
        <w:rPr>
          <w:b/>
        </w:rPr>
        <w:t>LXXXIV</w:t>
      </w:r>
    </w:p>
    <w:p w14:paraId="26B2C605" w14:textId="77777777" w:rsidR="00133AC8" w:rsidRPr="003730B5" w:rsidRDefault="00133AC8" w:rsidP="00133AC8">
      <w:pPr>
        <w:pStyle w:val="Dvodovzprvakbodu"/>
        <w:keepNext w:val="0"/>
        <w:widowControl w:val="0"/>
        <w:numPr>
          <w:ilvl w:val="0"/>
          <w:numId w:val="58"/>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108a odst. 3, § 108c odst. 5 a § 129 odst. 2)</w:t>
      </w:r>
    </w:p>
    <w:p w14:paraId="33636F8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nové vymezení celních úřadů dochází ke změně názvu celního úřadu vykonávajícího vymezenou věcnou působnost.</w:t>
      </w:r>
    </w:p>
    <w:p w14:paraId="08BA735A" w14:textId="77777777" w:rsidR="00133AC8" w:rsidRPr="003730B5" w:rsidRDefault="00133AC8" w:rsidP="00133AC8">
      <w:pPr>
        <w:keepNext/>
        <w:widowControl w:val="0"/>
        <w:spacing w:before="240" w:after="120"/>
        <w:outlineLvl w:val="1"/>
        <w:rPr>
          <w:rFonts w:eastAsiaTheme="minorHAnsi"/>
          <w:szCs w:val="24"/>
          <w:lang w:eastAsia="en-US"/>
        </w:rPr>
      </w:pPr>
      <w:r w:rsidRPr="003730B5">
        <w:rPr>
          <w:b/>
          <w:sz w:val="28"/>
        </w:rPr>
        <w:t>K části čtyřicáté deváté – Změna zákona o dani z hazardních her</w:t>
      </w:r>
    </w:p>
    <w:p w14:paraId="73E7E6FC" w14:textId="063295F7" w:rsidR="00133AC8" w:rsidRPr="003730B5" w:rsidRDefault="00133AC8" w:rsidP="00133AC8">
      <w:pPr>
        <w:widowControl w:val="0"/>
        <w:spacing w:after="120"/>
        <w:outlineLvl w:val="2"/>
        <w:rPr>
          <w:b/>
        </w:rPr>
      </w:pPr>
      <w:r w:rsidRPr="003730B5">
        <w:rPr>
          <w:b/>
        </w:rPr>
        <w:t>K čl. </w:t>
      </w:r>
      <w:r w:rsidR="002C6370" w:rsidRPr="003730B5">
        <w:rPr>
          <w:b/>
        </w:rPr>
        <w:t>LXXXV</w:t>
      </w:r>
    </w:p>
    <w:p w14:paraId="22954098"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rPr>
        <w:t>(§ 2 odst. 3)</w:t>
      </w:r>
    </w:p>
    <w:p w14:paraId="52DBC23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úpravu terminologie použité v zákoně o hazardních hrách se odkazuje na použití pojmu „cizí účastník hazardní hry“ podle zákona o hazardních hrách.</w:t>
      </w:r>
    </w:p>
    <w:p w14:paraId="53B58367"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3 odst. 1)</w:t>
      </w:r>
    </w:p>
    <w:p w14:paraId="757EE9B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Nově se v odstavci 1 výslovně stanovuje, že pro účely stanovení základu dílčí daně se úhrny přijatých vkladů, vyplacených výher a vrácených vkladů přepočítávají na české koruny. Oproti dosavadní právní úpravě se za účelem přesnějšího vymezení nejen způsobů provozování, ale i typů her zařazených pod jednotlivé druhy hazardních her stanovují nové základy dílčích daní.</w:t>
      </w:r>
    </w:p>
    <w:p w14:paraId="20D8455B"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písmenu a) až c):</w:t>
      </w:r>
    </w:p>
    <w:p w14:paraId="23E978E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Základ dílčí daně z loterie se nově rozděluje na základ dílčí daně z okamžité loterie, z jiné než okamžité loterie, u které nejkratší rozestup mezi slosováními stanovený v základním povolení činí nejvýše 15 minut, a z loterie jiné než podle písmene a) a b), tedy tzv. běžné loterie. Zároveň se všechny základy dílčích daní z těchto typů her rozdělují v návaznosti na způsob provozu, tj. internetová hra či land-based způsob provozování. </w:t>
      </w:r>
    </w:p>
    <w:p w14:paraId="4ED0A67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Písmeno a) se vztahuje k tzv. okamžitým loteriím, což jsou loterie realizované pomocí stíracích losů.</w:t>
      </w:r>
    </w:p>
    <w:p w14:paraId="358DF31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Písmeno b) se vztahuje k tzv. rychlým loteriím. Jedná se o číselné, peněžité a věcné loterie, tedy typy loterie, u kterých je výsledek hry hazardní hry určen slosováním, a to za předpokladu, že nejkratší rozestup mezi jednotlivými slosováními, který je stanovený v základním povolení, činí maximálně 15 minut. Doba 15 minut byla stanovena v návaznosti na povinnou přestávku, která bude nově upravena v zákoně o hazardních hrách. Tato doba je dostatečná na to, aby hráče vytrhla z nepřerušovaného sledu sázek, a proto je vhodnou dělící linií mezi rychlými loteriemi a ostatními loteriemi, u kterých dochází ke slosování s nižší frekvencí. Základy dílčí daně se rovněž dále dělí podle způsobu provozu.</w:t>
      </w:r>
    </w:p>
    <w:p w14:paraId="21B2F85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Pod písmeno c) se řadí základ dílčí daně z tzv. běžných loterií, tedy loterií jiných než podle </w:t>
      </w:r>
      <w:r w:rsidRPr="003730B5">
        <w:rPr>
          <w:rFonts w:ascii="Times New Roman" w:hAnsi="Times New Roman"/>
          <w:color w:val="auto"/>
          <w:sz w:val="24"/>
        </w:rPr>
        <w:lastRenderedPageBreak/>
        <w:t>písmene a) nebo b). Jedná se tedy o takové číselné, peněžité a věcné loterie, u nichž minimální rozestup mezi jednotlivými slosováními stanovený v základním povolení dosahuje více než 15 minut. Základ dílčí daně se opět dělí podle způsobu provozu.</w:t>
      </w:r>
    </w:p>
    <w:p w14:paraId="69ED2226"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písmenu d) a e):</w:t>
      </w:r>
    </w:p>
    <w:p w14:paraId="49440D2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návrhu zákona o dani z hazardních her dochází k rozdělení základu dílčí daně z kursové sázky na základ dílčí daně z kursové sázky s výjimkou živé kursové sázky a základ dílčí daně z živé kursové sázky. Definice živé kursové sázky je uvedena v zákoně o hazardních hrách. U obou těchto základů dílčí daně dochází dále k rozdělení na základ dílčí daně z internetového provozování a základ dílčí daně z land-based provozování.</w:t>
      </w:r>
    </w:p>
    <w:p w14:paraId="52B89875" w14:textId="77777777" w:rsidR="00133AC8" w:rsidRPr="003730B5" w:rsidRDefault="00133AC8" w:rsidP="00133AC8">
      <w:pPr>
        <w:pStyle w:val="Dvodovzprva"/>
        <w:keepNext/>
        <w:widowControl w:val="0"/>
        <w:outlineLvl w:val="4"/>
        <w:rPr>
          <w:rFonts w:ascii="Times New Roman" w:hAnsi="Times New Roman"/>
          <w:color w:val="auto"/>
          <w:sz w:val="24"/>
          <w:u w:val="single"/>
        </w:rPr>
      </w:pPr>
      <w:r w:rsidRPr="003730B5">
        <w:rPr>
          <w:rFonts w:ascii="Times New Roman" w:hAnsi="Times New Roman"/>
          <w:color w:val="auto"/>
          <w:sz w:val="24"/>
          <w:u w:val="single"/>
        </w:rPr>
        <w:t>K písmenu f) až h):</w:t>
      </w:r>
    </w:p>
    <w:p w14:paraId="0EBDA8C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Základy dílčí daně z totalizátorové hry, binga a technické hry se nově rozdělují na dva základy dílčí daně, a to podle způsobu provozu, tzn. land-based a na internetu.</w:t>
      </w:r>
    </w:p>
    <w:p w14:paraId="1D01BAAF"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písmenu i):</w:t>
      </w:r>
    </w:p>
    <w:p w14:paraId="666388D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případě živé hry je v odstavci 1 uveden základ dílčí daně pouze pro živou hru provozovanou jako internetová hra. Základ dílčí daně pro živou hru provozovanou land-based způsobem je uveden v odstavci 2 (srov. dále důvodovou zprávu k odstavci 2).</w:t>
      </w:r>
    </w:p>
    <w:p w14:paraId="13867675"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písmenu j) a k):</w:t>
      </w:r>
    </w:p>
    <w:p w14:paraId="287B16C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případě tomboly a turnaje malého rozsahu nedochází oproti dosavadnímu znění k žádné změně.</w:t>
      </w:r>
    </w:p>
    <w:p w14:paraId="1524E96B"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3 odst. 2 až 4)</w:t>
      </w:r>
    </w:p>
    <w:p w14:paraId="441B78A6"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odstavci 2:</w:t>
      </w:r>
    </w:p>
    <w:p w14:paraId="6CF05CC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Odstavec 2 stanovuje pro základ dílčí daně z land-based živé hry jiný způsob výpočtu než pro základy dílčích daní z ostatních her uvedených v odstavci 1. Tato rozdílnost je způsobena tím, že v případě land-based živé hry provozované v kasinu se s ohledem na současný technologický stav trhu sleduje z daňového hlediska nákup či jinou formu získání žetonů a jejich výměna za peněžní prostředky, nikoliv vložení sázky do dané hry či výhra v dané hře. </w:t>
      </w:r>
    </w:p>
    <w:p w14:paraId="5C2454B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Základ dílčí daně z živé hry neprovozované jako internetová hra se podle návrhu zákona vypočte jako součet kladného rozdílu úhrnu hodnotových žetonů nakoupených účastníky hazardní hry na pokladně kasina či u hracího stolu živé hry a úhrnu hodnotových žetonů vyměněných účastníky hazardní hry za peněžní prostředky u pokladny kasina a částky, o kterou úhrn přijatých vkladů do turnaje převyšuje součet úhrnu vyplacených výher z turnaje a úhrnu vrácených vkladů do turnaje. Všechny tyto úhrny musí být přepočteny na české koruny. Vklad do land-based živé hry, který nebyl přijat v hodnotových žetonech ani v hracích žetonech (např. bonusy), a předání hodnotových žetonů účastníkovi hazardní hry z jakéhokoliv důvodu, než je vyplacení výhry nebo vrácení vkladu (např. vratka; netýká se vrácení vkladu před začátkem hry), se pro účely určení základu dílčí daně z land-based živé hry považuje za nákup hodnotových žetonů.</w:t>
      </w:r>
    </w:p>
    <w:p w14:paraId="78D41965"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odstavci 3:</w:t>
      </w:r>
    </w:p>
    <w:p w14:paraId="7BDF3B1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Nově se pro hazardní hry provozované bez potřebného základního povolení nebo ohlášení stanovuje samostatný základ dílčí daně, a to bez ohledu na to, pod jaký druh či typ hazardní hry by takto provozovaná hazardní hra byla podřaditelná a bez ohledu na způsob provozování (prostřednictvím internetu nebo land-based). Základ dílčí daně z hazardních her provozovaných bez potřebného základního povolení nebo ohlášení je určen jako částka, o kterou úhrn přijatých vkladů převyšuje součet úhrnu vyplacených výher a úhrnu vrácených vkladů. Všechny tyto </w:t>
      </w:r>
      <w:r w:rsidRPr="003730B5">
        <w:rPr>
          <w:rFonts w:ascii="Times New Roman" w:hAnsi="Times New Roman"/>
          <w:color w:val="auto"/>
          <w:sz w:val="24"/>
        </w:rPr>
        <w:lastRenderedPageBreak/>
        <w:t>úhrny musí být přepočteny na české koruny. Odstavce 1 a 2 se na takto provozovanou hazardní hru nepoužijí.</w:t>
      </w:r>
    </w:p>
    <w:p w14:paraId="3DEBB874"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odstavci 4:</w:t>
      </w:r>
    </w:p>
    <w:p w14:paraId="171009C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Odstavec čtyři stanoví výjimku v případě internetové hry, při které hraje účastník hazardní hry proti cizímu účastníkovi. Výpočet předmětné částky, která se v takovém případě zahrne do základu daně je obsažen v odstavci 5 a 6.</w:t>
      </w:r>
    </w:p>
    <w:p w14:paraId="5D54677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Cílem je pouze odstranění nejasností dosavadní právní úpravy, na které upozorňovala odborná literatura, a nikoliv věcný posun oproti stávajícímu právnímu stavu.</w:t>
      </w:r>
    </w:p>
    <w:p w14:paraId="0A114AD2"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3 odst. 5 úvodní část ustanovení)</w:t>
      </w:r>
    </w:p>
    <w:p w14:paraId="54701BE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úpravu terminologie použité v zákoně o hazardních hrách se upravuje znění odstavce 5 a odkazuje se na použití pojmu „cizí účastník hazardní hry“ podle zákona o hazardních hrách. Zároveň se zpřesňuje, že v případě internetové hry, při které hraje účastník hazardní hry proti cizímu účastníkovi, se rozdíl součinu částky, o kterou úhrn přijatých vkladů převyšuje úhrn vyplacených výher, a poměru úhrnu přijatých vkladů od účastníka hazardní hry a úhrnu všech přijatých vkladů a úhrnu vkladů vrácených účastníkovi hazardní hry, se tento rozdíl zahrne do základu dílčí daně podle odstavce 1 nebo 3.</w:t>
      </w:r>
    </w:p>
    <w:p w14:paraId="6BEC316E"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3 odst. 6 a 7)</w:t>
      </w:r>
    </w:p>
    <w:p w14:paraId="5F313D19"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odstavci 6:</w:t>
      </w:r>
    </w:p>
    <w:p w14:paraId="7F01D6E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případě internetové hry, při které hraje účastník hazardní hry proti cizímu účastníkovi, se rozdíl podle odstavce 5 zahrnuje do základu dílčí daně určeného podle odstavce 1 nebo 3 pouze do výše tohoto základu dílčí daně. Není tedy možné, aby následkem zahrnutí rozdílu podle odstavce 5 vznikl záporný základ dílčí daně.</w:t>
      </w:r>
    </w:p>
    <w:p w14:paraId="049E283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Cílem je pouze odstranění nejasností dosavadní právní úpravy, na které upozorňovala odborná literatura, a nikoliv věcný posun oproti stávajícímu právnímu stavu.</w:t>
      </w:r>
    </w:p>
    <w:p w14:paraId="4278DCB5"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odstavci 7:</w:t>
      </w:r>
    </w:p>
    <w:p w14:paraId="31B7DDB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Nově se upravuje také případ, kdy provozovatelem přijatý vklad souvisí s více hazardními hrami a nelze jej tedy přiřadit ke konkrétní hazardní hře. Takovým vkladem může být např. poplatek za vstup do kasina, u kterého správce daně nedokáže rozhodnout, zda souvisí s živou hrou, technickou hrou či bingem, jelikož všechny tyto hry mohou být v kasinu provozovány (živá hra bude v kasinu provozována vždy). S ohledem na tuto skutečnost se stanovuje, že pokud vklad souvisí s více hazardními hrami, tak se zohlední pouze v základu dílčí daně, pro kterou zákon stanoví nejvyšší sazbu, neboť tento vklad může účastníka hazardní hry opravňovat k účasti právě na takové hazardní hře.</w:t>
      </w:r>
    </w:p>
    <w:p w14:paraId="75C1F778"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4)</w:t>
      </w:r>
    </w:p>
    <w:p w14:paraId="2D3F9AB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přehlednost ve vztahu k jednotlivým dílčím daním se navrhuje stanovit sazby daně v příloze zákona.</w:t>
      </w:r>
    </w:p>
    <w:p w14:paraId="7C1E9246"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 odst. 2)</w:t>
      </w:r>
    </w:p>
    <w:p w14:paraId="3BDE920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Dochází ke zpřesnění terminologie, protože daň z hazardních her se člení na dílčí daně, přičemž každá z těchto dílčích daní má základ (nikoliv dílčí základ) a sazbu pro tento základ.</w:t>
      </w:r>
    </w:p>
    <w:p w14:paraId="6495B1B2"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5 odst. 3 a 4 úvodní část ustanovení)</w:t>
      </w:r>
    </w:p>
    <w:p w14:paraId="5DCEE39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Ustanovení o minimální dílčí dani z technických her se z důvodu nového uspořádání základů daně upravuje tak, aby mu odpovídalo. Minimální dílčí daň z technických her se nově označuje jako minimální dílčí daň z ostatních technických her. Bez ohledu na tuto změnu i nadále bude </w:t>
      </w:r>
      <w:r w:rsidRPr="003730B5">
        <w:rPr>
          <w:rFonts w:ascii="Times New Roman" w:hAnsi="Times New Roman"/>
          <w:color w:val="auto"/>
          <w:sz w:val="24"/>
        </w:rPr>
        <w:lastRenderedPageBreak/>
        <w:t xml:space="preserve">tato minimální dílčí daň věcně dopadat na stejný okruh provozování, protože i doposud měla z povahy věci vztah pouze k land-based provozování technické hry. </w:t>
      </w:r>
    </w:p>
    <w:p w14:paraId="64FED1BA"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7 odst. 1 úvodní část ustanovení)</w:t>
      </w:r>
    </w:p>
    <w:p w14:paraId="1EC0C8A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Nově se v rámci rozpočtového určení nerozděluje mezi státní rozpočet a rozpočty obcí v poměru 35:65 část celostátního hrubého výnosu daně z hazardních her pouze ve výši dílčí daně z technických her, ale ve výši dílčí daně ze všech hazardních her neprovozovaných jako internetová hra. Výjimkou jsou hazardní hry provozované bez potřebného základního povolení nebo ohlášení, jejichž hrubý výnos daně tvoří podle odstavce 3 ze 100 % příjem státního rozpočtu. To tedy znamená, že výnosy daně ze všech land-based hazardních her budou z 65 % příjmem rozpočtů obcí (všech) a z 35 % příjmem státního rozpočtu. Oproti současnému stavu tak budou obcím v rámci land-based hazardních her plynout vyšší příjmy, které budou moci využít na sanaci negativních externalit spojených s provozováním hazardních her na jejich území. Vzhledem k tomu, že land-based provoz hazardních her bude na rozdíl od internetových her koncentrován v určitých místech na území obce, tak je důvodné, aby obce dostávaly větší část těchto výnosů.</w:t>
      </w:r>
    </w:p>
    <w:p w14:paraId="64DE80B6"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7 odst. 2 až 4)</w:t>
      </w:r>
    </w:p>
    <w:p w14:paraId="46FCC25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zrušení dosavadních odstavců 2 až 4, v rámci kterých se určovalo procento (koeficient), kterým se jednotlivé obce podílejí na části celostátního hrubého výnosu daně z hazardních her ve výši dílčí daně z technických her v závislosti na počtu povolených herních pozic technické hry na jejich území, dojde k odstranění nekoncepčního stavu, kdy část hrubých výnosů daně z internetové technické hry nebude plynout pouze do rozpočtů obcí, které na svém území povolují land-based technickou hru. Počet účastníků internetové technické hry, resp. rozsah provozování, na kterém výše výnosů z internetové technické hry závisí, nemá žádnou souvislost s počtem herních pozic technické hry. Internetové provozování je z povahy věci na lokalitě nezávislé, případná regulace či naopak benevolence provozování technické hry formou land-based nemá na dostupnost internetové hry, a tedy i její negativní dopady, žádný vliv. V současnosti se rovněž vyskytují případy obcí, které dosahují výrazně nadprůměrných příjmů ze sdílených daní, včetně daně z hazardních her, v přepočtu na jednoho obyvatele, a to i mnohonásobně vyšších oproti ostatním. Jedná se většinou o obce s nízkým počtem obyvatel (do 1 000 ob.), na jejichž území se ve větším rozsahu provozuje technická hra způsobem land-based, a které se většinou nacházejí u státních hranic či sousedí s většími obcemi. Lze tedy předpokládat, že majoritní část účastníků hazardní hry do těchto malých obcí dojíždí ze zahraničí či z okolních obcí. Nadprůměrné příjmy, které tyto obce dostávají, nelze tedy efektivně využít na sanaci nákladů spojených s provozováním technické hry, jelikož většina účastníků hazardní hry má bydliště mimo tyto malé obce.</w:t>
      </w:r>
    </w:p>
    <w:p w14:paraId="69B8B050"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7 odst. 2)</w:t>
      </w:r>
    </w:p>
    <w:p w14:paraId="6D50E10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odstavci 2 se, i v návaznosti na zrušení dosavadních odstavců 2 až 4, nově stanovuje, že procento, kterým se jednotlivé obce podílejí na části celostátního hrubého výnosu daně z land-based hazardních her podle odstavce 1 písm. b), se určí obdobně jako procento, kterým se obce podílejí na procentní části celostátního hrubého výnosu daně z příjmů právnických osob podle právních předpisů upravujících rozpočtové určení daní.</w:t>
      </w:r>
    </w:p>
    <w:p w14:paraId="52D69074"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7 odst. 3)</w:t>
      </w:r>
    </w:p>
    <w:p w14:paraId="0C709F2A"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Celostátní hrubý výnos daně z hazardních her s výjimkou celostátního hrubého výnosu podle odstavce 1, tj. z land-based hazardních her, je příjmem státního rozpočtu. Tedy celostátní hrubý výnos daně z internetových her a hazardních her provozovaných bez potřebného základního povolení nebo ohlášení je ze 100 % příjmem státního rozpočtu. Důvodem je, že internetové provozování je na místě nezávislé a nelze tedy určit, kde přesně vznikají náklady spojené </w:t>
      </w:r>
      <w:r w:rsidRPr="003730B5">
        <w:rPr>
          <w:rFonts w:ascii="Times New Roman" w:hAnsi="Times New Roman"/>
          <w:color w:val="auto"/>
          <w:sz w:val="24"/>
        </w:rPr>
        <w:lastRenderedPageBreak/>
        <w:t>s provozováním hazardních her.</w:t>
      </w:r>
    </w:p>
    <w:p w14:paraId="5796CCBF"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8)</w:t>
      </w:r>
    </w:p>
    <w:p w14:paraId="4F39A7F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komplexní úpravu výměny informací mezi Ministerstvem financí a správcem daně, která bude nově vložena do zákona o hazardních hrách, se § 8 navrhuje zrušit jako duplicitní ustanovení.</w:t>
      </w:r>
    </w:p>
    <w:p w14:paraId="71ED4368"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9 odst. 1)</w:t>
      </w:r>
    </w:p>
    <w:p w14:paraId="363FF21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Daňové přiznání nově bude možné podat všemi elektronickými způsoby podle 71 odst. 1 daňového řádu.</w:t>
      </w:r>
    </w:p>
    <w:p w14:paraId="4E36C88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Poplatník může využít také eTiskopis podle § 71 odst. 3 daňového řádu.</w:t>
      </w:r>
    </w:p>
    <w:p w14:paraId="26B6AB2C"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9 odst. 2)</w:t>
      </w:r>
    </w:p>
    <w:p w14:paraId="48D1743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návaznosti na úpravu odstavce 1 (navázání na elektronické způsoby podání podle daňového řádu) se odstavec 2 navrhuje zrušit pro jeho obsoletnost.</w:t>
      </w:r>
    </w:p>
    <w:p w14:paraId="2663B1BB"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14)</w:t>
      </w:r>
    </w:p>
    <w:p w14:paraId="59A6074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Zvláštní ustanovení o převodu výnosu daně z technických her již nadále není zapotřebí, protože poměry, na základě kterých se výnos daně rozdělí obcím, již nebudou založeny na vlastních koeficientech specifických pro tuto daň.</w:t>
      </w:r>
    </w:p>
    <w:p w14:paraId="51733A44" w14:textId="77777777" w:rsidR="00133AC8" w:rsidRPr="003730B5" w:rsidRDefault="00133AC8" w:rsidP="00133AC8">
      <w:pPr>
        <w:pStyle w:val="Dvodovzprvakbodu"/>
        <w:widowControl w:val="0"/>
        <w:numPr>
          <w:ilvl w:val="0"/>
          <w:numId w:val="8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(Příloha)</w:t>
      </w:r>
    </w:p>
    <w:p w14:paraId="4C8F110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Oproti stávající právní úpravě se nově stanoví pouze dvě sazby daně z hazardních her. U všech typů loterií i technických her zůstává zachována stávající sazba jednotlivé dílčí daně, a to ve výši 35 %. U ostatních hazardních her se daňová sazba zvyšuje z 23 % na 30 %. </w:t>
      </w:r>
    </w:p>
    <w:p w14:paraId="278C2616" w14:textId="33A3B13C" w:rsidR="00133AC8" w:rsidRPr="003730B5" w:rsidRDefault="00133AC8" w:rsidP="00133AC8">
      <w:pPr>
        <w:pStyle w:val="Dvodovzprva"/>
        <w:widowControl w:val="0"/>
        <w:outlineLvl w:val="2"/>
        <w:rPr>
          <w:rFonts w:ascii="Times New Roman" w:hAnsi="Times New Roman"/>
          <w:b/>
          <w:color w:val="auto"/>
          <w:sz w:val="24"/>
        </w:rPr>
      </w:pPr>
      <w:r w:rsidRPr="003730B5">
        <w:rPr>
          <w:rFonts w:ascii="Times New Roman" w:hAnsi="Times New Roman"/>
          <w:b/>
          <w:color w:val="auto"/>
          <w:sz w:val="24"/>
        </w:rPr>
        <w:t>K čl. </w:t>
      </w:r>
      <w:r w:rsidR="002C6370" w:rsidRPr="003730B5">
        <w:rPr>
          <w:rFonts w:ascii="Times New Roman" w:hAnsi="Times New Roman"/>
          <w:b/>
          <w:color w:val="auto"/>
          <w:sz w:val="24"/>
        </w:rPr>
        <w:t xml:space="preserve">LXXXVI </w:t>
      </w:r>
      <w:r w:rsidRPr="003730B5">
        <w:rPr>
          <w:rFonts w:ascii="Times New Roman" w:hAnsi="Times New Roman"/>
          <w:b/>
          <w:color w:val="auto"/>
          <w:sz w:val="24"/>
        </w:rPr>
        <w:t>(Přechodná ustanovení)</w:t>
      </w:r>
    </w:p>
    <w:p w14:paraId="469DE1D9"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bodu 1:</w:t>
      </w:r>
    </w:p>
    <w:p w14:paraId="31EE231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Navrhuje se zavést standardní daňové přechodné ustanovení, podle kterého se na daňové povinnosti vzniklé přede dnem nabytí účinnosti tohoto zákona nová právní úprava zásadně nepoužije.</w:t>
      </w:r>
    </w:p>
    <w:p w14:paraId="17C4FA5B"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bodu 2:</w:t>
      </w:r>
    </w:p>
    <w:p w14:paraId="7AC5361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Nově se navrhuje rozdělit dílčí daně mimo jiné podle způsobu provozování (prostřednictvím internetu nebo land-based), což bude nově klíčem pro rozpočtové určení daně. Již za účinnosti nové právní úpravy však bude podáváno daňové přiznání za poslední čtvrtletí roku 2023, přičemž tyto dílčí daně nebudou rozděleny podle způsobu provozování. To samé platí pro nedoplatky na dani vzniklé přede dnem nabytí účinnosti tohoto zákona zaplacené po dni nabytí účinnosti tohoto zákona.</w:t>
      </w:r>
    </w:p>
    <w:p w14:paraId="7AB92A0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S ohledem na praktickou realizovatelnost převodu výnosu daní se proto navrhuje, aby se v prvním kalendářním čtvrtletí roku 2024, kdy budou podávána řádná daňová tvrzení za poslední čtvrtletí roku 2023, použil stávající klíč rozdělení daňových výnosů, tzn. technická hra v poměru 35 % stát, 65 % obce, přičemž se mezi jednotlivé obce rozdělí výnos podle počtu herních pozic povolených koncových zařízení, a ostatní hry v poměru 70 % stát, 30 % obce, přičemž se mezi jednotlivé obce rozdělí výnos obdobně, jako se dělí celostátní hrubý výnos daně z příjmů právnických osob.</w:t>
      </w:r>
    </w:p>
    <w:p w14:paraId="2C8E63BA"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bodu 3:</w:t>
      </w:r>
    </w:p>
    <w:p w14:paraId="6D94A2EB"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 ohledem na to, že od 2. kalendářního čtvrtletí roku 2024 již nebudou podávána řádná daňová přiznání vzhledem ke zdaňovacím obdobím započatým přede dnem nabytí účinnosti tohoto </w:t>
      </w:r>
      <w:r w:rsidRPr="003730B5">
        <w:rPr>
          <w:rFonts w:ascii="Times New Roman" w:hAnsi="Times New Roman"/>
          <w:color w:val="auto"/>
          <w:sz w:val="24"/>
        </w:rPr>
        <w:lastRenderedPageBreak/>
        <w:t>zákona, a tedy zásadně klesne jejich objem, navrhuje se z důvodu snížení administrativní náročnosti zachovat do budoucna pro historické daňové příjmy pouze jediné rozpočtové určení, které bude odpovídat stávajícímu rozpočtovému určení pro ostatní hry, tedy 70 % stát, 30 % obce, přičemž se mezi jednotlivé obce rozdělí výnos obdobně, jako se dělí celostátní hrubý výnos daně z příjmů právnických osob.</w:t>
      </w:r>
    </w:p>
    <w:p w14:paraId="7A3B151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Takto se bude postupovat, dokud neuplyne ve vztahu ke všem dotčeným daňovým povinnostem lhůta pro placení daně.</w:t>
      </w:r>
    </w:p>
    <w:p w14:paraId="47A52025" w14:textId="77777777" w:rsidR="00133AC8" w:rsidRPr="003730B5" w:rsidRDefault="00133AC8" w:rsidP="00133AC8">
      <w:pPr>
        <w:widowControl w:val="0"/>
        <w:spacing w:before="240" w:after="120"/>
        <w:outlineLvl w:val="1"/>
        <w:rPr>
          <w:b/>
          <w:sz w:val="28"/>
        </w:rPr>
      </w:pPr>
      <w:r w:rsidRPr="003730B5">
        <w:rPr>
          <w:b/>
          <w:sz w:val="28"/>
        </w:rPr>
        <w:t>K části padesáté – Změna zákona o odpovědnosti za přestupky a řízení o nich</w:t>
      </w:r>
    </w:p>
    <w:p w14:paraId="24CF10F9" w14:textId="231D3448" w:rsidR="00133AC8" w:rsidRPr="003730B5" w:rsidRDefault="00133AC8" w:rsidP="00133AC8">
      <w:pPr>
        <w:widowControl w:val="0"/>
        <w:tabs>
          <w:tab w:val="left" w:pos="851"/>
        </w:tabs>
        <w:spacing w:before="120"/>
        <w:rPr>
          <w:szCs w:val="24"/>
        </w:rPr>
      </w:pPr>
      <w:r w:rsidRPr="003730B5">
        <w:rPr>
          <w:szCs w:val="24"/>
        </w:rPr>
        <w:t xml:space="preserve">Předložený návrh novely zákona </w:t>
      </w:r>
      <w:r w:rsidRPr="003730B5">
        <w:rPr>
          <w:noProof/>
          <w:szCs w:val="24"/>
        </w:rPr>
        <w:t>o </w:t>
      </w:r>
      <w:r w:rsidRPr="003730B5">
        <w:rPr>
          <w:szCs w:val="24"/>
        </w:rPr>
        <w:t>přestupcích,</w:t>
      </w:r>
      <w:r w:rsidRPr="003730B5">
        <w:rPr>
          <w:noProof/>
          <w:szCs w:val="24"/>
        </w:rPr>
        <w:t xml:space="preserve"> který </w:t>
      </w:r>
      <w:r w:rsidRPr="003730B5">
        <w:rPr>
          <w:szCs w:val="24"/>
        </w:rPr>
        <w:t xml:space="preserve">upravuje působnost orgánů Policie </w:t>
      </w:r>
      <w:r w:rsidR="00A42930" w:rsidRPr="003730B5">
        <w:rPr>
          <w:szCs w:val="24"/>
        </w:rPr>
        <w:t>České republiky</w:t>
      </w:r>
      <w:r w:rsidRPr="003730B5">
        <w:rPr>
          <w:szCs w:val="24"/>
        </w:rPr>
        <w:t xml:space="preserve"> a orgánů Celní správy </w:t>
      </w:r>
      <w:r w:rsidR="00A42930" w:rsidRPr="003730B5">
        <w:rPr>
          <w:szCs w:val="24"/>
        </w:rPr>
        <w:t>České republiky</w:t>
      </w:r>
      <w:r w:rsidRPr="003730B5">
        <w:rPr>
          <w:szCs w:val="24"/>
        </w:rPr>
        <w:t xml:space="preserve"> vydávat příkazové bloky v elektronické podobě, </w:t>
      </w:r>
      <w:r w:rsidRPr="003730B5">
        <w:rPr>
          <w:rFonts w:eastAsia="MS Mincho"/>
          <w:szCs w:val="24"/>
        </w:rPr>
        <w:t xml:space="preserve">na základě opatření č. 37 Akčního plánu Strategie BESIP na období 2023-2024 schválený vládou České republiky č. 255 ze dne 12. </w:t>
      </w:r>
      <w:r w:rsidR="00820D28" w:rsidRPr="003730B5">
        <w:rPr>
          <w:rFonts w:eastAsia="MS Mincho"/>
          <w:szCs w:val="24"/>
        </w:rPr>
        <w:t xml:space="preserve">4. </w:t>
      </w:r>
      <w:r w:rsidRPr="003730B5">
        <w:rPr>
          <w:rFonts w:eastAsia="MS Mincho"/>
          <w:szCs w:val="24"/>
        </w:rPr>
        <w:t xml:space="preserve">2023: </w:t>
      </w:r>
      <w:r w:rsidRPr="003730B5">
        <w:rPr>
          <w:rFonts w:eastAsia="MS Mincho"/>
          <w:i/>
          <w:iCs/>
          <w:szCs w:val="24"/>
        </w:rPr>
        <w:t>„</w:t>
      </w:r>
      <w:r w:rsidRPr="003730B5">
        <w:rPr>
          <w:i/>
          <w:iCs/>
          <w:color w:val="000000"/>
          <w:szCs w:val="24"/>
        </w:rPr>
        <w:t xml:space="preserve">Předložit legislativní návrh pro zajištění digitalizace příkazových bloků v rámci Policie </w:t>
      </w:r>
      <w:r w:rsidR="00A42930" w:rsidRPr="003730B5">
        <w:rPr>
          <w:i/>
          <w:iCs/>
          <w:color w:val="000000"/>
          <w:szCs w:val="24"/>
        </w:rPr>
        <w:t>České republiky</w:t>
      </w:r>
      <w:r w:rsidRPr="003730B5">
        <w:rPr>
          <w:i/>
          <w:iCs/>
          <w:color w:val="000000"/>
          <w:szCs w:val="24"/>
        </w:rPr>
        <w:t xml:space="preserve"> a Celní správy </w:t>
      </w:r>
      <w:r w:rsidR="00A42930" w:rsidRPr="003730B5">
        <w:rPr>
          <w:i/>
          <w:iCs/>
          <w:color w:val="000000"/>
          <w:szCs w:val="24"/>
        </w:rPr>
        <w:t>České republiky</w:t>
      </w:r>
      <w:r w:rsidRPr="003730B5">
        <w:rPr>
          <w:i/>
          <w:iCs/>
          <w:color w:val="000000"/>
          <w:szCs w:val="24"/>
        </w:rPr>
        <w:t>“.</w:t>
      </w:r>
      <w:r w:rsidRPr="003730B5">
        <w:rPr>
          <w:rFonts w:eastAsia="MS Mincho"/>
          <w:szCs w:val="24"/>
        </w:rPr>
        <w:t xml:space="preserve"> Opatření pokrývá přibližně 98 % všech případů, kdy je ukládána pokuta příkazem na místě.</w:t>
      </w:r>
      <w:r w:rsidRPr="003730B5">
        <w:rPr>
          <w:rStyle w:val="Znakapoznpodarou"/>
          <w:rFonts w:eastAsia="MS Mincho"/>
          <w:bCs/>
          <w:szCs w:val="24"/>
        </w:rPr>
        <w:footnoteReference w:id="12"/>
      </w:r>
      <w:r w:rsidRPr="003730B5">
        <w:rPr>
          <w:color w:val="000000"/>
          <w:szCs w:val="24"/>
        </w:rPr>
        <w:t xml:space="preserve"> Opatření bylo zařazeno mezi prioritní opatření v rámci </w:t>
      </w:r>
      <w:r w:rsidRPr="003730B5">
        <w:rPr>
          <w:szCs w:val="24"/>
        </w:rPr>
        <w:t>systémových</w:t>
      </w:r>
      <w:r w:rsidRPr="003730B5">
        <w:rPr>
          <w:color w:val="000000"/>
          <w:szCs w:val="24"/>
        </w:rPr>
        <w:t xml:space="preserve"> opatření v oblasti „Účinný dohled a vymahatelnost práva“.  </w:t>
      </w:r>
      <w:r w:rsidRPr="003730B5">
        <w:rPr>
          <w:szCs w:val="24"/>
        </w:rPr>
        <w:t>Záměr koresponduje i s požadavky na zrušení zbytečných úkonů a zefektivnění fungování státu s využitím moderních technologií deklarovanými v Programovém prohlášení vlády České republiky.</w:t>
      </w:r>
    </w:p>
    <w:p w14:paraId="36CAD8A7" w14:textId="77777777" w:rsidR="00133AC8" w:rsidRPr="003730B5" w:rsidRDefault="00133AC8" w:rsidP="00133AC8">
      <w:pPr>
        <w:widowControl w:val="0"/>
        <w:tabs>
          <w:tab w:val="left" w:pos="851"/>
        </w:tabs>
        <w:spacing w:before="120"/>
        <w:rPr>
          <w:szCs w:val="24"/>
        </w:rPr>
      </w:pPr>
      <w:r w:rsidRPr="003730B5">
        <w:rPr>
          <w:bCs/>
          <w:szCs w:val="24"/>
        </w:rPr>
        <w:t xml:space="preserve">Základní právní úpravu </w:t>
      </w:r>
      <w:r w:rsidRPr="003730B5">
        <w:rPr>
          <w:szCs w:val="24"/>
        </w:rPr>
        <w:t>příkazního</w:t>
      </w:r>
      <w:r w:rsidRPr="003730B5">
        <w:rPr>
          <w:bCs/>
          <w:szCs w:val="24"/>
        </w:rPr>
        <w:t xml:space="preserve"> řízení (příkaz a příkaz na místě) najdeme v § 150 správního řádu</w:t>
      </w:r>
      <w:r w:rsidRPr="003730B5">
        <w:rPr>
          <w:i/>
          <w:szCs w:val="24"/>
        </w:rPr>
        <w:t xml:space="preserve">. </w:t>
      </w:r>
      <w:r w:rsidRPr="003730B5">
        <w:rPr>
          <w:szCs w:val="24"/>
        </w:rPr>
        <w:t xml:space="preserve">V odstavci 5 je pak upravena možnost vydat příkaz na místě jako zvláštní formu příkazu. </w:t>
      </w:r>
    </w:p>
    <w:p w14:paraId="1EE6615A" w14:textId="326B6A7A" w:rsidR="00133AC8" w:rsidRPr="003730B5" w:rsidRDefault="00133AC8" w:rsidP="00133AC8">
      <w:pPr>
        <w:widowControl w:val="0"/>
        <w:tabs>
          <w:tab w:val="left" w:pos="851"/>
        </w:tabs>
        <w:spacing w:before="120"/>
        <w:rPr>
          <w:szCs w:val="24"/>
        </w:rPr>
      </w:pPr>
      <w:r w:rsidRPr="003730B5">
        <w:rPr>
          <w:szCs w:val="24"/>
        </w:rPr>
        <w:t xml:space="preserve">Zvláštní pravidla pro rozhodování o přestupku příkazem na místě (dále jen „příkazní řízení na místě“) stanoví zákon o přestupcích, zejména v § 91 a § 92, § 95 a § 101, dále daňový řád, a interní akty řízení Policie </w:t>
      </w:r>
      <w:r w:rsidR="00A42930" w:rsidRPr="003730B5">
        <w:rPr>
          <w:szCs w:val="24"/>
        </w:rPr>
        <w:t>České republiky</w:t>
      </w:r>
      <w:r w:rsidRPr="003730B5">
        <w:rPr>
          <w:szCs w:val="24"/>
        </w:rPr>
        <w:t xml:space="preserve"> a Ministerstva financí.</w:t>
      </w:r>
    </w:p>
    <w:p w14:paraId="073175A4" w14:textId="77777777" w:rsidR="00133AC8" w:rsidRPr="003730B5" w:rsidRDefault="00133AC8" w:rsidP="00133AC8">
      <w:pPr>
        <w:widowControl w:val="0"/>
        <w:tabs>
          <w:tab w:val="left" w:pos="851"/>
        </w:tabs>
        <w:spacing w:before="120"/>
        <w:rPr>
          <w:szCs w:val="24"/>
        </w:rPr>
      </w:pPr>
      <w:r w:rsidRPr="003730B5">
        <w:rPr>
          <w:szCs w:val="24"/>
        </w:rPr>
        <w:t xml:space="preserve">Přestupek lze podle stávající právní úpravy vyřídit příkazem na místě formou příkazového bloku buď pomocí příkazového bloku na </w:t>
      </w:r>
      <w:bookmarkStart w:id="13" w:name="_Hlk134606687"/>
      <w:r w:rsidRPr="003730B5">
        <w:rPr>
          <w:szCs w:val="24"/>
        </w:rPr>
        <w:t xml:space="preserve">peněžitou povinnost </w:t>
      </w:r>
      <w:bookmarkEnd w:id="13"/>
      <w:r w:rsidRPr="003730B5">
        <w:rPr>
          <w:szCs w:val="24"/>
        </w:rPr>
        <w:t xml:space="preserve">na místě zaplacenou, nebo příkazového bloku na peněžitou povinnost na místě nezaplacenou. </w:t>
      </w:r>
    </w:p>
    <w:p w14:paraId="0F7AD40C" w14:textId="77777777" w:rsidR="00133AC8" w:rsidRPr="003730B5" w:rsidRDefault="00133AC8" w:rsidP="00133AC8">
      <w:pPr>
        <w:pStyle w:val="Odstavecseseznamem"/>
        <w:numPr>
          <w:ilvl w:val="0"/>
          <w:numId w:val="48"/>
        </w:numPr>
        <w:suppressAutoHyphens/>
        <w:spacing w:before="120" w:after="120"/>
      </w:pPr>
      <w:r w:rsidRPr="003730B5">
        <w:t>Přestupky vyřízené příkazem na místě formou příkazového bloku na peněžitou povinnost na místě zaplacenou</w:t>
      </w:r>
    </w:p>
    <w:p w14:paraId="76257E10" w14:textId="77777777" w:rsidR="00133AC8" w:rsidRPr="003730B5" w:rsidRDefault="00133AC8" w:rsidP="00133AC8">
      <w:pPr>
        <w:widowControl w:val="0"/>
        <w:tabs>
          <w:tab w:val="left" w:pos="851"/>
        </w:tabs>
        <w:spacing w:before="120"/>
      </w:pPr>
      <w:r w:rsidRPr="003730B5">
        <w:t xml:space="preserve">Podpisem příkazového bloku na </w:t>
      </w:r>
      <w:r w:rsidRPr="003730B5">
        <w:rPr>
          <w:szCs w:val="24"/>
        </w:rPr>
        <w:t>peněžitou</w:t>
      </w:r>
      <w:r w:rsidRPr="003730B5">
        <w:t xml:space="preserve"> povinnost na místě zaplacenou obviněným se příkaz na místě stává pravomocným a vykonatelným rozhodnutím. Pokuta je uhrazena přímo na místě přestupku, a to buď hotově, nebo prostřednictvím platebního terminálu.</w:t>
      </w:r>
    </w:p>
    <w:p w14:paraId="17622460" w14:textId="77777777" w:rsidR="00133AC8" w:rsidRPr="003730B5" w:rsidRDefault="00133AC8" w:rsidP="00133AC8">
      <w:pPr>
        <w:pStyle w:val="Odstavecseseznamem"/>
        <w:numPr>
          <w:ilvl w:val="0"/>
          <w:numId w:val="48"/>
        </w:numPr>
        <w:suppressAutoHyphens/>
        <w:spacing w:before="120" w:after="120"/>
      </w:pPr>
      <w:r w:rsidRPr="003730B5">
        <w:t>Přestupky vyřízené příkazem na místě formou příkazového bloku na peněžitou povinnost na místě nezaplacenou</w:t>
      </w:r>
    </w:p>
    <w:p w14:paraId="2B1A3465" w14:textId="77777777" w:rsidR="00133AC8" w:rsidRPr="003730B5" w:rsidRDefault="00133AC8" w:rsidP="00133AC8">
      <w:pPr>
        <w:widowControl w:val="0"/>
        <w:tabs>
          <w:tab w:val="left" w:pos="851"/>
        </w:tabs>
        <w:spacing w:before="120"/>
      </w:pPr>
      <w:r w:rsidRPr="003730B5">
        <w:t>V případě příkazového bloku na peněžitou povinnost na místě nezaplacenou se podpisem obviněného stane příkaz na místě pravomocným rozhodnutím. Vykonatelným (ve smyslu exekučně vymahatelným) se stává až uplynutím dne splatnosti pokuty (byť to zákon zcela důsledně nerozlišuje). Přestupce obdrží složenku k úhradě pokuty s vyznačením dne splatnosti (pokutu je možné uhradit i </w:t>
      </w:r>
      <w:r w:rsidRPr="003730B5">
        <w:rPr>
          <w:szCs w:val="24"/>
        </w:rPr>
        <w:t>platebním</w:t>
      </w:r>
      <w:r w:rsidRPr="003730B5">
        <w:t xml:space="preserve"> terminálem nebo v hotovosti u příslušného úřadu, který </w:t>
      </w:r>
      <w:r w:rsidRPr="003730B5">
        <w:lastRenderedPageBreak/>
        <w:t>pokutu uložil).</w:t>
      </w:r>
    </w:p>
    <w:p w14:paraId="2758BF0A" w14:textId="098B9E2C" w:rsidR="00133AC8" w:rsidRPr="003730B5" w:rsidRDefault="00133AC8" w:rsidP="00133AC8">
      <w:pPr>
        <w:widowControl w:val="0"/>
        <w:tabs>
          <w:tab w:val="left" w:pos="851"/>
        </w:tabs>
        <w:spacing w:before="120"/>
      </w:pPr>
      <w:r w:rsidRPr="003730B5">
        <w:t xml:space="preserve">Pokud pokuta nebyla uhrazena do dne splatnosti, je příkazový blok na peněžitou povinnost na místě nezaplacenou předán </w:t>
      </w:r>
      <w:r w:rsidRPr="003730B5">
        <w:rPr>
          <w:szCs w:val="24"/>
        </w:rPr>
        <w:t>příslušnému</w:t>
      </w:r>
      <w:r w:rsidRPr="003730B5">
        <w:t xml:space="preserve"> celnímu úřadu k vymožení pokuty. Pokuty vybrané Policií </w:t>
      </w:r>
      <w:r w:rsidR="00A42930" w:rsidRPr="003730B5">
        <w:t>České republiky</w:t>
      </w:r>
      <w:r w:rsidRPr="003730B5">
        <w:t xml:space="preserve"> a orgány Celní správy </w:t>
      </w:r>
      <w:r w:rsidR="00A42930" w:rsidRPr="003730B5">
        <w:t>České republiky</w:t>
      </w:r>
      <w:r w:rsidRPr="003730B5">
        <w:t xml:space="preserve"> příkazem na místě jsou příjmem státního rozpočtu. </w:t>
      </w:r>
    </w:p>
    <w:p w14:paraId="12A5ACE4" w14:textId="41AA777F" w:rsidR="00133AC8" w:rsidRPr="003730B5" w:rsidRDefault="00133AC8" w:rsidP="00133AC8">
      <w:pPr>
        <w:widowControl w:val="0"/>
        <w:tabs>
          <w:tab w:val="left" w:pos="851"/>
        </w:tabs>
        <w:spacing w:before="120"/>
      </w:pPr>
      <w:r w:rsidRPr="003730B5">
        <w:t xml:space="preserve">Příkazové bloky jsou přísně zúčtovatelné tiskopisy a jejich pohyb, včetně vybraných finančních prostředků, je nutné vést v evidenční knize. Vedle toho vede Policie </w:t>
      </w:r>
      <w:r w:rsidR="00A42930" w:rsidRPr="003730B5">
        <w:t>České republiky</w:t>
      </w:r>
      <w:r w:rsidRPr="003730B5">
        <w:t xml:space="preserve"> elektronickou evidenci příkazových bloků (zaplacených i nezaplacených) ve své spisové službě (Informační systém „Evidence trestního řízení“, dále jen „ETŘ“), tj. policisté musí náležitosti fyzicky vedených příkazových bloků do ETŘ přepsat. Evidence příkazových bloků v ETŘ slouží zejména pro účely inventarizace (kontrola přidělování tiskopisů příkazových bloků od celního úřadu krajskému ředitelství Policie </w:t>
      </w:r>
      <w:r w:rsidR="00A42930" w:rsidRPr="003730B5">
        <w:t>České republiky</w:t>
      </w:r>
      <w:r w:rsidRPr="003730B5">
        <w:t>, na organizační článek a konkrétnímu policistovi, sledování zásob tiskopisů příkazových bloků, sledování cyklu zaplacených příkazových bloků na základním článku a odvodu vybraných finančních prostředků, včetně plateb přes terminál, evidence stornovaných příkazových bloků a neuhrazených příkazových bloků a jejich předání celním orgánům). V informačním systému se rovněž evidují kontroly příkazových bloků ze strany pověřených pracovníků.</w:t>
      </w:r>
    </w:p>
    <w:p w14:paraId="78E65A87" w14:textId="43B726F1" w:rsidR="00133AC8" w:rsidRPr="003730B5" w:rsidRDefault="00133AC8" w:rsidP="00133AC8">
      <w:pPr>
        <w:widowControl w:val="0"/>
        <w:tabs>
          <w:tab w:val="left" w:pos="851"/>
        </w:tabs>
        <w:spacing w:before="120"/>
      </w:pPr>
      <w:r w:rsidRPr="003730B5">
        <w:t xml:space="preserve">Předávání pokuty k vymožení probíhá ze </w:t>
      </w:r>
      <w:r w:rsidRPr="003730B5">
        <w:rPr>
          <w:szCs w:val="24"/>
        </w:rPr>
        <w:t>strany</w:t>
      </w:r>
      <w:r w:rsidRPr="003730B5">
        <w:t xml:space="preserve"> Policie </w:t>
      </w:r>
      <w:r w:rsidR="00A42930" w:rsidRPr="003730B5">
        <w:t>České republiky</w:t>
      </w:r>
      <w:r w:rsidRPr="003730B5">
        <w:t xml:space="preserve"> zpravidla jednou měsíčně současně s fyzickým předáním neuhrazených příkazových bloků a se soupisem příkazových bloků, kde jsou uvedeny základní náležitosti předaných příkazových bloků. </w:t>
      </w:r>
    </w:p>
    <w:p w14:paraId="382BD39F" w14:textId="134B70F4" w:rsidR="00133AC8" w:rsidRPr="003730B5" w:rsidRDefault="00133AC8" w:rsidP="00133AC8">
      <w:pPr>
        <w:widowControl w:val="0"/>
        <w:tabs>
          <w:tab w:val="left" w:pos="851"/>
        </w:tabs>
        <w:spacing w:before="120"/>
      </w:pPr>
      <w:r w:rsidRPr="003730B5">
        <w:t xml:space="preserve">Do roku 2017 se příkazové bloky orgánům Celní správy </w:t>
      </w:r>
      <w:r w:rsidR="00A42930" w:rsidRPr="003730B5">
        <w:t>České republiky</w:t>
      </w:r>
      <w:r w:rsidRPr="003730B5">
        <w:t xml:space="preserve"> pouze fyzicky předávaly a jejich pracovníci je museli ručně přepisovat do svých informačních systémů, které slouží k evidenci platebních povinností k peněžitému plnění a </w:t>
      </w:r>
      <w:r w:rsidRPr="003730B5">
        <w:rPr>
          <w:szCs w:val="24"/>
        </w:rPr>
        <w:t>následnému</w:t>
      </w:r>
      <w:r w:rsidRPr="003730B5">
        <w:t xml:space="preserve"> vymáhání. Po dohodě mezi Policií </w:t>
      </w:r>
      <w:r w:rsidR="00A42930" w:rsidRPr="003730B5">
        <w:t>České republiky</w:t>
      </w:r>
      <w:r w:rsidRPr="003730B5">
        <w:t xml:space="preserve"> a Celní správou </w:t>
      </w:r>
      <w:r w:rsidR="00A42930" w:rsidRPr="003730B5">
        <w:t>České republiky</w:t>
      </w:r>
      <w:r w:rsidRPr="003730B5">
        <w:t xml:space="preserve"> je od roku 2017 soupis příkazových bloků předáván v elektronické podobě [tj. poté, co policisté náležitosti fyzicky vedených příkazových bloků přepíší do ETŘ, se z ETŘ následně vygeneruje elektronický soupis příkazových bloků na peněžitou povinnost na místě nezaplacenou, pokud pokuta nebyla uhrazena do dne splatnosti]. Celní správa </w:t>
      </w:r>
      <w:r w:rsidR="00A42930" w:rsidRPr="003730B5">
        <w:t>České republiky</w:t>
      </w:r>
      <w:r w:rsidRPr="003730B5">
        <w:t xml:space="preserve"> po kontrole náležitostí kopíruje data z elektronického soupisu příkazových bloků do svých informačních systémů. Příkazové bloky v listinné podobě jsou pak exekučním titulem pro další proces vymáhání neuhrazené pokuty.</w:t>
      </w:r>
    </w:p>
    <w:p w14:paraId="046247DE" w14:textId="7357DAE3" w:rsidR="00133AC8" w:rsidRPr="003730B5" w:rsidRDefault="00133AC8" w:rsidP="00133AC8">
      <w:pPr>
        <w:widowControl w:val="0"/>
        <w:tabs>
          <w:tab w:val="left" w:pos="851"/>
        </w:tabs>
        <w:spacing w:before="120"/>
      </w:pPr>
      <w:r w:rsidRPr="003730B5">
        <w:t xml:space="preserve">Tento postup je pro Celní správu </w:t>
      </w:r>
      <w:r w:rsidR="00A42930" w:rsidRPr="003730B5">
        <w:t>České republiky</w:t>
      </w:r>
      <w:r w:rsidRPr="003730B5">
        <w:t xml:space="preserve"> sice o </w:t>
      </w:r>
      <w:r w:rsidRPr="003730B5">
        <w:rPr>
          <w:szCs w:val="24"/>
        </w:rPr>
        <w:t>něco</w:t>
      </w:r>
      <w:r w:rsidRPr="003730B5">
        <w:t xml:space="preserve"> přívětivější, nicméně je i nadále neefektivní a administrativně a personálně zatěžující jak pro Policii </w:t>
      </w:r>
      <w:r w:rsidR="00A42930" w:rsidRPr="003730B5">
        <w:t>České republiky</w:t>
      </w:r>
      <w:r w:rsidRPr="003730B5">
        <w:t xml:space="preserve">, tak pro Celní správu </w:t>
      </w:r>
      <w:r w:rsidR="00A42930" w:rsidRPr="003730B5">
        <w:t>České republiky</w:t>
      </w:r>
      <w:r w:rsidRPr="003730B5">
        <w:t>.</w:t>
      </w:r>
    </w:p>
    <w:p w14:paraId="496BBF9A" w14:textId="77777777" w:rsidR="00133AC8" w:rsidRPr="003730B5" w:rsidRDefault="00133AC8" w:rsidP="00133AC8">
      <w:pPr>
        <w:widowControl w:val="0"/>
        <w:tabs>
          <w:tab w:val="left" w:pos="851"/>
        </w:tabs>
        <w:spacing w:before="120"/>
      </w:pPr>
      <w:r w:rsidRPr="003730B5">
        <w:t>Ruční vyplňování příkazových bloků na místě přestupku je mnohdy spojeno se sníženou čitelností vyplňovaného textu. Kromě toho tiskopisy příkazových bloků nedisponují dostatečným prostorem pro vyplnění povinných náležitostí příkazového bloku (nedostatek místa na příkazovém bloku nezřídka vede k </w:t>
      </w:r>
      <w:r w:rsidRPr="003730B5">
        <w:rPr>
          <w:szCs w:val="24"/>
        </w:rPr>
        <w:t>nečitelnému</w:t>
      </w:r>
      <w:r w:rsidRPr="003730B5">
        <w:t xml:space="preserve">, zkratkovitému či neúplnému vyplnění povinných položek příkazového bloku, které následně mohou být důvodem pro zrušení příkazového bloku v přezkumném řízení). </w:t>
      </w:r>
    </w:p>
    <w:p w14:paraId="45A25A60" w14:textId="77777777" w:rsidR="00133AC8" w:rsidRPr="003730B5" w:rsidRDefault="00133AC8" w:rsidP="00133AC8">
      <w:pPr>
        <w:keepNext/>
        <w:widowControl w:val="0"/>
        <w:tabs>
          <w:tab w:val="left" w:pos="851"/>
        </w:tabs>
        <w:spacing w:before="120"/>
        <w:outlineLvl w:val="2"/>
        <w:rPr>
          <w:b/>
        </w:rPr>
      </w:pPr>
      <w:r w:rsidRPr="003730B5">
        <w:rPr>
          <w:b/>
        </w:rPr>
        <w:t xml:space="preserve">Hlavní principy navrhované právní </w:t>
      </w:r>
      <w:r w:rsidRPr="003730B5">
        <w:rPr>
          <w:b/>
          <w:szCs w:val="24"/>
        </w:rPr>
        <w:t>úpravy</w:t>
      </w:r>
      <w:r w:rsidRPr="003730B5">
        <w:rPr>
          <w:b/>
        </w:rPr>
        <w:t>, věcné řešení:</w:t>
      </w:r>
    </w:p>
    <w:p w14:paraId="0071F024" w14:textId="77777777" w:rsidR="00133AC8" w:rsidRPr="003730B5" w:rsidRDefault="00133AC8" w:rsidP="00133AC8">
      <w:pPr>
        <w:pStyle w:val="Odstavecseseznamem"/>
        <w:numPr>
          <w:ilvl w:val="0"/>
          <w:numId w:val="49"/>
        </w:numPr>
        <w:suppressAutoHyphens/>
        <w:spacing w:before="120" w:after="120"/>
        <w:ind w:left="714" w:hanging="357"/>
        <w:contextualSpacing w:val="0"/>
      </w:pPr>
      <w:r w:rsidRPr="003730B5">
        <w:t>Vedle listinné podoby příkazového bloku (dále jen „listinný příkazový blok“) se legislativně zavádí elektronická podoba příkazového bloku (dále jen „elektronický příkazový blok“).</w:t>
      </w:r>
    </w:p>
    <w:p w14:paraId="2E1651B2" w14:textId="059168F6" w:rsidR="00133AC8" w:rsidRPr="003730B5" w:rsidRDefault="00133AC8" w:rsidP="00133AC8">
      <w:pPr>
        <w:pStyle w:val="Odstavecseseznamem"/>
        <w:numPr>
          <w:ilvl w:val="0"/>
          <w:numId w:val="49"/>
        </w:numPr>
        <w:suppressAutoHyphens/>
        <w:spacing w:before="120" w:after="120"/>
        <w:ind w:left="714" w:hanging="357"/>
        <w:contextualSpacing w:val="0"/>
      </w:pPr>
      <w:r w:rsidRPr="003730B5">
        <w:t xml:space="preserve">Elektronický příkazový blok mohou používat pouze orgány Policie </w:t>
      </w:r>
      <w:r w:rsidR="00A42930" w:rsidRPr="003730B5">
        <w:t>České republiky</w:t>
      </w:r>
      <w:r w:rsidRPr="003730B5">
        <w:t xml:space="preserve"> a Celní správy </w:t>
      </w:r>
      <w:r w:rsidR="00A42930" w:rsidRPr="003730B5">
        <w:t>České republiky</w:t>
      </w:r>
      <w:r w:rsidRPr="003730B5">
        <w:t xml:space="preserve">. Správní orgány a další subjekty uvedené v § 91 odst. </w:t>
      </w:r>
      <w:r w:rsidRPr="003730B5">
        <w:lastRenderedPageBreak/>
        <w:t>2 písm. a) až e) zákona o přestupcích používají i nadále pouze tiskopisy listinných příkazových bloků vydávané Ministerstvem financí.</w:t>
      </w:r>
    </w:p>
    <w:p w14:paraId="2948F17C" w14:textId="77777777" w:rsidR="00133AC8" w:rsidRPr="003730B5" w:rsidRDefault="00133AC8" w:rsidP="00133AC8">
      <w:pPr>
        <w:pStyle w:val="Odstavecseseznamem"/>
        <w:numPr>
          <w:ilvl w:val="0"/>
          <w:numId w:val="49"/>
        </w:numPr>
        <w:suppressAutoHyphens/>
        <w:spacing w:before="120" w:after="120"/>
        <w:contextualSpacing w:val="0"/>
        <w:rPr>
          <w:rFonts w:cs="Arial"/>
        </w:rPr>
      </w:pPr>
      <w:r w:rsidRPr="003730B5">
        <w:rPr>
          <w:rFonts w:cs="Arial"/>
        </w:rPr>
        <w:t>Jednotlivé elektronické příkazové bloky budou vygenerovány přímo na místě kontroly prostřednictvím mobilní bezpečné platformy a zaevidovány v elektronickém systému spisové služby úřední osoby pod číslem jednacím, které by spisová služba dokumentu přidělila. K tomuto číslu by byl přiřazen další identifikátor, který by byl přidělen v jednotné číselné řadě v daném kalendářním roce pouze pro příkazové bloky.</w:t>
      </w:r>
    </w:p>
    <w:p w14:paraId="6E64DC87" w14:textId="77777777" w:rsidR="00133AC8" w:rsidRPr="003730B5" w:rsidRDefault="00133AC8" w:rsidP="00133AC8">
      <w:pPr>
        <w:ind w:left="709"/>
        <w:rPr>
          <w:rFonts w:cs="Arial"/>
        </w:rPr>
      </w:pPr>
      <w:r w:rsidRPr="003730B5">
        <w:rPr>
          <w:rFonts w:cs="Arial"/>
        </w:rPr>
        <w:t xml:space="preserve">V případě, že by byl použit tiskopis listinného příkazového bloku, byl by zaevidován ve spisové službě neprodleně po návratu na služebnu. </w:t>
      </w:r>
    </w:p>
    <w:p w14:paraId="2E6D0B43" w14:textId="77777777" w:rsidR="00133AC8" w:rsidRPr="003730B5" w:rsidRDefault="00133AC8" w:rsidP="00133AC8">
      <w:pPr>
        <w:pStyle w:val="Odstavecseseznamem"/>
        <w:numPr>
          <w:ilvl w:val="0"/>
          <w:numId w:val="49"/>
        </w:numPr>
        <w:suppressAutoHyphens/>
        <w:spacing w:before="120" w:after="120"/>
        <w:contextualSpacing w:val="0"/>
      </w:pPr>
      <w:r w:rsidRPr="003730B5">
        <w:rPr>
          <w:rFonts w:cs="Arial"/>
        </w:rPr>
        <w:t>Do elektronické spisové služby se oprávněná úřední osoba přihlašuje prostřednictvím svého uživatelského jména a hesla. Veškeré úkony s dokumenty a spisy provedené v elektronickém systému spisové služby jsou logovány, je tedy možné identifikovat, kdo úkon (či jeho změny) provedl a určit datum a čas, kdy byly úkony provedeny.</w:t>
      </w:r>
    </w:p>
    <w:p w14:paraId="2855CDE7" w14:textId="77777777" w:rsidR="00133AC8" w:rsidRPr="003730B5" w:rsidRDefault="00133AC8" w:rsidP="00133AC8">
      <w:pPr>
        <w:pStyle w:val="Odstavecseseznamem"/>
        <w:numPr>
          <w:ilvl w:val="0"/>
          <w:numId w:val="49"/>
        </w:numPr>
        <w:suppressAutoHyphens/>
        <w:spacing w:before="120" w:after="120"/>
        <w:contextualSpacing w:val="0"/>
      </w:pPr>
      <w:r w:rsidRPr="003730B5">
        <w:t>Elektronické příkazové bloky mají stejné náležitosti jako listinný příkazový blok (§ 92 odst. 2 zákona o přestupcích).</w:t>
      </w:r>
    </w:p>
    <w:p w14:paraId="7EC8D21C" w14:textId="77777777" w:rsidR="00133AC8" w:rsidRPr="003730B5" w:rsidRDefault="00133AC8" w:rsidP="00133AC8">
      <w:pPr>
        <w:pStyle w:val="Odstavecseseznamem"/>
        <w:numPr>
          <w:ilvl w:val="0"/>
          <w:numId w:val="49"/>
        </w:numPr>
        <w:suppressAutoHyphens/>
        <w:spacing w:before="120" w:after="120"/>
        <w:ind w:left="714" w:hanging="357"/>
        <w:contextualSpacing w:val="0"/>
      </w:pPr>
      <w:r w:rsidRPr="003730B5">
        <w:t xml:space="preserve">Údaje jsou v elektronickém příkazovém bloku vyplňovány na místě přestupku elektronicky, alternativně lze využít předvýběr skutkových podstat (do formuláře elektronického příkazového bloku může být zapracován seznam přestupků, které je daný orgán oprávněn řešit příkazem na místě, a to tak, aby bylo možné vygenerovat z předvýběru příslušný text právní kvalifikace skutku včetně formy zavinění a ustanovení právního předpisu, na jehož základě je povinnost ukládána, i výše pokuty za toto porušení). </w:t>
      </w:r>
    </w:p>
    <w:p w14:paraId="7931690A" w14:textId="77777777" w:rsidR="00133AC8" w:rsidRPr="003730B5" w:rsidRDefault="00133AC8" w:rsidP="00133AC8">
      <w:pPr>
        <w:pStyle w:val="Odstavecseseznamem"/>
        <w:numPr>
          <w:ilvl w:val="0"/>
          <w:numId w:val="49"/>
        </w:numPr>
        <w:suppressAutoHyphens/>
        <w:spacing w:before="120" w:after="120"/>
        <w:ind w:left="714" w:hanging="357"/>
        <w:contextualSpacing w:val="0"/>
      </w:pPr>
      <w:r w:rsidRPr="003730B5">
        <w:t>V souvislosti se zavedením elektronického příkazového bloku je třeba nově legislativně upravit způsob podepisování příkazového bloku obviněným a oprávněnou úřední osobou. Obviněný se podepisuje na elektronický příkazový blok digitalizovaným podpisem, oprávněná úřední osoba kvalifikovaným elektronickým podpisem v souladu s § 5 zákona č. 297/2016 Sb., o službách vytvářejících důvěru pro elektronické transakce, ve znění pozdějších předpisů (dále jen „zákon č. 297/2016 Sb.“), nebo se elektronický příkazový blok opatří kvalifikovanou elektronickou pečetí správního orgánu. Součástí kvalifikovaného elektronického podpisu a kvalifikované elektronické pečetě je vždy kvalifikované elektronické časové razítko. Oprávněná úřední osoba je jednoznačně identifikována svými přihlašovacími údaji (uživatelským jménem a heslem) a uvedením svého služebního čísla a útvaru, v němž je zařazena.</w:t>
      </w:r>
    </w:p>
    <w:p w14:paraId="7797A1FC" w14:textId="77777777" w:rsidR="00133AC8" w:rsidRPr="003730B5" w:rsidRDefault="00133AC8" w:rsidP="00133AC8">
      <w:pPr>
        <w:pStyle w:val="Odstavecseseznamem"/>
        <w:numPr>
          <w:ilvl w:val="0"/>
          <w:numId w:val="49"/>
        </w:numPr>
        <w:suppressAutoHyphens/>
        <w:spacing w:before="120" w:after="120"/>
        <w:contextualSpacing w:val="0"/>
      </w:pPr>
      <w:r w:rsidRPr="003730B5">
        <w:t>Elektronický příkazový blok (jak na pokutu na místě uhrazenou, tak na pokutu na místě neuhrazenou) se stane pravomocným rozhodnutím digitalizovaným podpisem elektronického příkazového bloku obviněným.</w:t>
      </w:r>
    </w:p>
    <w:p w14:paraId="0F2E3C68" w14:textId="77777777" w:rsidR="00133AC8" w:rsidRPr="003730B5" w:rsidRDefault="00133AC8" w:rsidP="00133AC8">
      <w:pPr>
        <w:pStyle w:val="Odstavecseseznamem"/>
        <w:numPr>
          <w:ilvl w:val="0"/>
          <w:numId w:val="49"/>
        </w:numPr>
        <w:suppressAutoHyphens/>
        <w:spacing w:before="120" w:after="120"/>
        <w:ind w:left="709"/>
        <w:contextualSpacing w:val="0"/>
      </w:pPr>
      <w:r w:rsidRPr="003730B5">
        <w:t>Jak u elektronického, tak u listinného příkazového bloku obviněný obdrží vždy listinný stejnopis příkazového bloku. Elektronický příkazový blok (na peněžitou povinnost na místě zaplacenou i nezaplacenou) zašle policista (celník) na žádost obviněného do jeho datové schránky, má-li ji zpřístupněnou; elektronický příkazový blok je obviněnému doručován na místě (§ 17 odst. 1, věta první zákona č. 300/2008 Sb., o elektronických úkonech a autorizované konverzi dokumentů, ve znění pozdějších předpisů</w:t>
      </w:r>
      <w:r w:rsidRPr="003730B5">
        <w:rPr>
          <w:rStyle w:val="Znakapoznpodarou"/>
        </w:rPr>
        <w:footnoteReference w:id="13"/>
      </w:r>
      <w:r w:rsidRPr="003730B5">
        <w:rPr>
          <w:rFonts w:eastAsia="MS Mincho"/>
        </w:rPr>
        <w:t>)</w:t>
      </w:r>
      <w:r w:rsidRPr="003730B5">
        <w:t xml:space="preserve">. </w:t>
      </w:r>
    </w:p>
    <w:p w14:paraId="7BD01EFF" w14:textId="77777777" w:rsidR="00133AC8" w:rsidRPr="003730B5" w:rsidRDefault="00133AC8" w:rsidP="00133AC8">
      <w:pPr>
        <w:pStyle w:val="Odstavecseseznamem"/>
        <w:numPr>
          <w:ilvl w:val="0"/>
          <w:numId w:val="49"/>
        </w:numPr>
        <w:suppressAutoHyphens/>
        <w:spacing w:before="120" w:after="120"/>
        <w:ind w:left="714" w:hanging="357"/>
        <w:contextualSpacing w:val="0"/>
      </w:pPr>
      <w:r w:rsidRPr="003730B5">
        <w:t xml:space="preserve">Policie České republiky předává příkazové bloky na peněžitou povinnost na místě nezaplacenou v případě neuhrazení pokuty do dne splatnosti do kompetenční dělené </w:t>
      </w:r>
      <w:r w:rsidRPr="003730B5">
        <w:lastRenderedPageBreak/>
        <w:t>správy elektronicky. Díky digitalizaci je možné elektronické příkazové bloky předávat do kompetenční dělené správy bezprostředně po dni splatnosti, pokud nebyla pokuta uhrazena. Tím se značně urychlí celý proces předávání příkazových bloků na peněžitou povinnost na místě nezaplacenou a do dne splatnosti neuhrazenou do procesu vymáhání.</w:t>
      </w:r>
    </w:p>
    <w:p w14:paraId="7A4205D5" w14:textId="36745938" w:rsidR="00133AC8" w:rsidRPr="003730B5" w:rsidRDefault="00133AC8" w:rsidP="00133AC8">
      <w:pPr>
        <w:pStyle w:val="Odstavecseseznamem"/>
        <w:numPr>
          <w:ilvl w:val="0"/>
          <w:numId w:val="49"/>
        </w:numPr>
        <w:suppressAutoHyphens/>
        <w:spacing w:before="120" w:after="120"/>
        <w:rPr>
          <w:rFonts w:cs="Arial"/>
        </w:rPr>
      </w:pPr>
      <w:r w:rsidRPr="003730B5">
        <w:rPr>
          <w:rFonts w:cs="Arial"/>
        </w:rPr>
        <w:t xml:space="preserve">V případě Celní správy </w:t>
      </w:r>
      <w:r w:rsidR="00A42930" w:rsidRPr="003730B5">
        <w:rPr>
          <w:rFonts w:cs="Arial"/>
        </w:rPr>
        <w:t>České republiky</w:t>
      </w:r>
      <w:r w:rsidRPr="003730B5">
        <w:rPr>
          <w:rFonts w:cs="Arial"/>
        </w:rPr>
        <w:t xml:space="preserve"> se elektronické příkazové bloky na peněžitou povinnost na místě nezaplacenou a do dne splatnosti neuhrazenou</w:t>
      </w:r>
      <w:r w:rsidRPr="003730B5" w:rsidDel="00E53AE7">
        <w:rPr>
          <w:rFonts w:cs="Arial"/>
        </w:rPr>
        <w:t xml:space="preserve"> </w:t>
      </w:r>
      <w:r w:rsidRPr="003730B5">
        <w:rPr>
          <w:rFonts w:cs="Arial"/>
        </w:rPr>
        <w:t xml:space="preserve">zařadí do daňového spisu daňového subjektu (tj. přiřadí se k osobnímu daňovému účtu poplatníka a je k nim přiřazena předpisová věta „uhrazeno/neuhrazeno“). </w:t>
      </w:r>
    </w:p>
    <w:p w14:paraId="51E6BD7B" w14:textId="254DD7EC" w:rsidR="00133AC8" w:rsidRPr="003730B5" w:rsidRDefault="00133AC8" w:rsidP="00133AC8">
      <w:pPr>
        <w:suppressAutoHyphens/>
        <w:spacing w:before="120" w:after="120"/>
        <w:rPr>
          <w:rFonts w:cs="Arial"/>
        </w:rPr>
      </w:pPr>
      <w:r w:rsidRPr="003730B5">
        <w:rPr>
          <w:rFonts w:cs="Arial"/>
        </w:rPr>
        <w:t xml:space="preserve">Digitalizace příkazního řízení na místě v rámci Policie </w:t>
      </w:r>
      <w:r w:rsidR="00A42930" w:rsidRPr="003730B5">
        <w:rPr>
          <w:rFonts w:cs="Arial"/>
        </w:rPr>
        <w:t>České republiky</w:t>
      </w:r>
      <w:r w:rsidRPr="003730B5">
        <w:rPr>
          <w:rFonts w:cs="Arial"/>
        </w:rPr>
        <w:t xml:space="preserve"> a Celní správy </w:t>
      </w:r>
      <w:r w:rsidR="00A42930" w:rsidRPr="003730B5">
        <w:rPr>
          <w:rFonts w:cs="Arial"/>
        </w:rPr>
        <w:t>České republiky</w:t>
      </w:r>
      <w:r w:rsidRPr="003730B5">
        <w:rPr>
          <w:rFonts w:cs="Arial"/>
        </w:rPr>
        <w:t xml:space="preserve"> si vyžádá náklady na materiálně technické zabezpečení (včetně softwarových úprav informačních systémů), přičemž větší část těchto nákladů je beztak nutno vynaložit již v souvislosti s „DEPO“ legislativou. </w:t>
      </w:r>
    </w:p>
    <w:p w14:paraId="1BFFF054" w14:textId="318F0C9E" w:rsidR="00133AC8" w:rsidRPr="003730B5" w:rsidRDefault="00133AC8" w:rsidP="00133AC8">
      <w:pPr>
        <w:widowControl w:val="0"/>
        <w:spacing w:after="120"/>
        <w:outlineLvl w:val="2"/>
        <w:rPr>
          <w:b/>
        </w:rPr>
      </w:pPr>
      <w:r w:rsidRPr="003730B5">
        <w:rPr>
          <w:b/>
        </w:rPr>
        <w:t>K čl. </w:t>
      </w:r>
      <w:r w:rsidR="002C6370" w:rsidRPr="003730B5">
        <w:rPr>
          <w:b/>
        </w:rPr>
        <w:t>LXXXVII</w:t>
      </w:r>
    </w:p>
    <w:p w14:paraId="44B3756C" w14:textId="77777777" w:rsidR="00133AC8" w:rsidRPr="003730B5" w:rsidRDefault="00133AC8" w:rsidP="00133AC8">
      <w:pPr>
        <w:pStyle w:val="Dvodovzprvakbodu"/>
        <w:keepNext w:val="0"/>
        <w:widowControl w:val="0"/>
        <w:numPr>
          <w:ilvl w:val="0"/>
          <w:numId w:val="69"/>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xml:space="preserve"> (§ 92 odst. 1)</w:t>
      </w:r>
    </w:p>
    <w:p w14:paraId="33AC7ED6" w14:textId="0E15A953"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Stávající právní úprava ukládání pokuty za přestupek příkazem na místě definuje pouze příkazový blok jako typizovaný, přísně zúčtovatelný listinný tiskopis, který vydává Ministerstvo financí podle § 92 odst. 3 věty druhé zákona o přestupcích. Navrhuje se proto upravit příkazový blok v elektronické podobě (elektronický příkazový blok), který má až na výjimky (podpis obviněného a oprávněné úřední osoby, viz dále) stejné náležitosti jako příkazový blok v listinné podobě (listinný příkazový blok). </w:t>
      </w:r>
    </w:p>
    <w:p w14:paraId="7B8A9FF8" w14:textId="34347FBE"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Elektronický příkazový blok budou moci používat (v souladu s opatřením č. 37 Akčního plánu Strategie BESIP na období 2023-2024 schváleným vládou České republiky č. 255 ze dne 12. </w:t>
      </w:r>
      <w:r w:rsidR="00820D28" w:rsidRPr="003730B5">
        <w:rPr>
          <w:rFonts w:ascii="Times New Roman" w:hAnsi="Times New Roman"/>
          <w:color w:val="auto"/>
          <w:sz w:val="24"/>
        </w:rPr>
        <w:t xml:space="preserve">4. </w:t>
      </w:r>
      <w:r w:rsidRPr="003730B5">
        <w:rPr>
          <w:rFonts w:ascii="Times New Roman" w:hAnsi="Times New Roman"/>
          <w:color w:val="auto"/>
          <w:sz w:val="24"/>
        </w:rPr>
        <w:t xml:space="preserve">2023) pouze orgány Policie </w:t>
      </w:r>
      <w:r w:rsidR="00A42930" w:rsidRPr="003730B5">
        <w:rPr>
          <w:rFonts w:ascii="Times New Roman" w:hAnsi="Times New Roman"/>
          <w:color w:val="auto"/>
          <w:sz w:val="24"/>
        </w:rPr>
        <w:t>České republiky</w:t>
      </w:r>
      <w:r w:rsidRPr="003730B5">
        <w:rPr>
          <w:rFonts w:ascii="Times New Roman" w:hAnsi="Times New Roman"/>
          <w:color w:val="auto"/>
          <w:sz w:val="24"/>
        </w:rPr>
        <w:t xml:space="preserve"> a Celní správy </w:t>
      </w:r>
      <w:r w:rsidR="00A42930" w:rsidRPr="003730B5">
        <w:rPr>
          <w:rFonts w:ascii="Times New Roman" w:hAnsi="Times New Roman"/>
          <w:color w:val="auto"/>
          <w:sz w:val="24"/>
        </w:rPr>
        <w:t>České republiky</w:t>
      </w:r>
      <w:r w:rsidRPr="003730B5">
        <w:rPr>
          <w:rFonts w:ascii="Times New Roman" w:hAnsi="Times New Roman"/>
          <w:color w:val="auto"/>
          <w:sz w:val="24"/>
        </w:rPr>
        <w:t xml:space="preserve">. Navrhuje se tedy postupná digitalizace příkazního řízení na místě, tj. dočasně budou u Policie </w:t>
      </w:r>
      <w:r w:rsidR="00A42930" w:rsidRPr="003730B5">
        <w:rPr>
          <w:rFonts w:ascii="Times New Roman" w:hAnsi="Times New Roman"/>
          <w:color w:val="auto"/>
          <w:sz w:val="24"/>
        </w:rPr>
        <w:t>České republiky</w:t>
      </w:r>
      <w:r w:rsidRPr="003730B5">
        <w:rPr>
          <w:rFonts w:ascii="Times New Roman" w:hAnsi="Times New Roman"/>
          <w:color w:val="auto"/>
          <w:sz w:val="24"/>
        </w:rPr>
        <w:t xml:space="preserve"> a Celní správy </w:t>
      </w:r>
      <w:r w:rsidR="00A42930" w:rsidRPr="003730B5">
        <w:rPr>
          <w:rFonts w:ascii="Times New Roman" w:hAnsi="Times New Roman"/>
          <w:color w:val="auto"/>
          <w:sz w:val="24"/>
        </w:rPr>
        <w:t>České republiky</w:t>
      </w:r>
      <w:r w:rsidRPr="003730B5">
        <w:rPr>
          <w:rFonts w:ascii="Times New Roman" w:hAnsi="Times New Roman"/>
          <w:color w:val="auto"/>
          <w:sz w:val="24"/>
        </w:rPr>
        <w:t xml:space="preserve"> zachovány tiskopisy listinných příkazových bloků (zejména z důvodů průběžného zajišťování jejich materiálně technického vybavení nezbytného pro realizaci digitalizace příkazního řízení na místě, nebo pro případy, kdy mobilní bezpečná platforma v místě přestupku nebude fungovat – např. z důvodu nedostatečného signálu v příhraničí či na některých místech dálnic apod.).</w:t>
      </w:r>
    </w:p>
    <w:p w14:paraId="1027F132"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Správní orgány uvedené v § 91 odst. 2 písm. a) až e) zákona o přestupcích budou používat i nadále pouze tiskopisy listinných příkazových bloků.  </w:t>
      </w:r>
    </w:p>
    <w:p w14:paraId="675CC7A1"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2 a 3 (§ 92 odst. 2 a 3 a odst. 4 písm. d))</w:t>
      </w:r>
    </w:p>
    <w:p w14:paraId="6D635BBA"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odstavci 2 a odstavci 4 písm. d)</w:t>
      </w:r>
    </w:p>
    <w:p w14:paraId="17C2F28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Podle stávající právní úpravy se podpisem příkazového bloku (jak na peněžitou povinnost, tj. pokutu nebo peněžitou záruku za splnění povinnosti, na místě zaplacenou, tak na peněžitou povinnost na místě nezaplacenou) obviněným nebo osobou jednající za obviněného, který je právnickou nebo podnikající fyzickou osobou, příkaz na místě stává pravomocným rozhodnutím, a uplynutím lhůty k zaplacení peněžitého plnění na místě nezaplaceného též vykonatelným rozhodnutím. </w:t>
      </w:r>
    </w:p>
    <w:p w14:paraId="2CDEAD3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případě listinného příkazového bloku podepisuje obviněný příkazový blok jako dosud vlastnoručním podpisem. </w:t>
      </w:r>
    </w:p>
    <w:p w14:paraId="75A7C2B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Podle obecné právní úpravy obsažené v § 6 zákona č. 297/2016 Sb. platí, že k podpisu elektronického dokumentu fyzickou osobou (zde obviněným z přestupku nebo osobou jednající za obviněného, je-li obviněný z přestupku právnickou nebo podnikající fyzickou osobou), který je činěn vůči správnímu orgánu, se vyžaduje uznávaný elektronický podpis. Jiný typ </w:t>
      </w:r>
      <w:r w:rsidRPr="003730B5">
        <w:rPr>
          <w:rFonts w:ascii="Times New Roman" w:hAnsi="Times New Roman"/>
          <w:color w:val="auto"/>
          <w:sz w:val="24"/>
        </w:rPr>
        <w:lastRenderedPageBreak/>
        <w:t xml:space="preserve">elektronického podpisu fyzické osoby na elektronickém dokumentu, který je činěn vůči správnímu orgánu (např. prostý elektronický podpis prostřednictvím elektronické tužky) nelze jako projev vůle fyzické osoby podle § 7 tohoto zákona použít.  </w:t>
      </w:r>
    </w:p>
    <w:p w14:paraId="3FE6A97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Vzhledem k tomu, že se předpokládá, že obviněný z přestupku nebude uznávaným elektronickým podpisem v praxi ve většině případů disponovat, a i s ohledem na to, že jeho případná aplikace v terénu by mohla být obtížně proveditelná, navrhuje se zvláštní právní úprava, která obviněnému z přestupku umožní podepsat elektronický příkazový blok digitalizovaným podpisem (tj. elektronickou tužkou na podpisovém zařízení). Jedná se o obdobnou úpravu jako v § 18 zákona č. 269/2021 Sb., o občanských průkazech, ve znění pozdějších předpisů. Podpisu musí předcházet ověření totožnosti obviněného oprávněnou úřední osobou přímo na místě přestupku (prostřednictvím veřejných informačních systémů), díky čemuž lze omyl v osobě obviněného prakticky vyloučit. </w:t>
      </w:r>
    </w:p>
    <w:p w14:paraId="0F014914"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odstavci 3</w:t>
      </w:r>
    </w:p>
    <w:p w14:paraId="3F5D32D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Pokud obviněný z přestupku uhradí pokutu, která mu byla uložena na základě elektronického nebo listinného příkazového bloku na místě přestupku, obdrží listinný stejnopis příkazového bloku. Podle § 16 odst. 3 vyhlášky č. 259/2012 Sb., o podrobnostech výkonu spisové služby, platí, že „stejnopisem je jedno ze shodných násobných vyhotovení dokumentu nesoucí s tímto dokumentem shodné autentizační prvky; za shodné násobné vyhotovení dokumentu v analogové podobě se považuje rovněž doslovně shodné vyhotovení dokumentu v digitální podobě a naopak, pokud autentizační prvky k nim připojila tatáž osoba“. </w:t>
      </w:r>
    </w:p>
    <w:p w14:paraId="75756E1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Oprávněná úřední osoba musí tento listinný stejnopis příkazového bloku vlastnoručně podepsat (Podle čl. 25 odst. 2 eIDAS má vlastnoruční podpis rovnocenné účinky jako kvalifikovaný elektronický podpis.) </w:t>
      </w:r>
    </w:p>
    <w:p w14:paraId="350DB42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Nemůže-li obviněný peněžitou povinnost na místě splnit, obdrží listinný stejnopis příkazového bloku na peněžitou povinnost na místě nezaplacenou spolu s poučením o způsobu zaplacení, o dni splatnosti a o následcích nezaplacení. To platí jak v případě listinného, tak i elektronického příkazového bloku. </w:t>
      </w:r>
    </w:p>
    <w:p w14:paraId="69C5652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Bez ohledu na to, zda se jedná o elektronický nebo listinný příkazový blok, je možné pokutu uhradit na místě buď v hotovosti, nebo prostřednictvím platebního terminálu, je-li jím policista (celník) vybaven. Pokud se jedná o platbu pokuty uložené příkazem na místě, ale na místě nezaplacené, lze pokutu uhradit též bezhotovostním převodem z účtu vedeného u poskytovatele platebních služeb nebo poštovním poukazem (§ 163 odst. 3 daňového řádu).</w:t>
      </w:r>
    </w:p>
    <w:p w14:paraId="54C593D4"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současné době celníci a policisté vydávají obviněnému z přestupku, který pokutu uloženou příkazem na místě neuhradil, poštovní poukaz (složenku) s vyznačením platebních údajů. Tento postup zákon o přestupcích výslovně nevyžaduje. Ustanovení § 92 odst. 1 zákona o přestupcích požaduje pouze vydat příkazový blok na peněžitou povinnost na místě nezaplacenou s poučením o způsobu zaplacení, o dni splatnosti a o následcích nezaplacení. Údaje o bankovním účtu, na který je možné pokutu uhradit, tak mohou být uvedeny přímo v poučení příkazového bloku nebo v samostatném dokumentu, který však nemusí být složenka (viz § 163 odst. 3 písm. b) bod 1 daňového řádu, kde je „poštovní poukaz“, uveden jen jako jedna z možností). Je pak věcí obviněného z přestupku, jakým způsobem pokutu uhradí.</w:t>
      </w:r>
    </w:p>
    <w:p w14:paraId="3AC51AFC" w14:textId="77777777" w:rsidR="00133AC8" w:rsidRPr="003730B5" w:rsidRDefault="00133AC8" w:rsidP="00133AC8">
      <w:pPr>
        <w:pStyle w:val="Dvodovzprvakbodu"/>
        <w:keepNext w:val="0"/>
        <w:widowControl w:val="0"/>
        <w:numPr>
          <w:ilvl w:val="0"/>
          <w:numId w:val="7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92 odst. 4 písm. j))</w:t>
      </w:r>
    </w:p>
    <w:p w14:paraId="36A90FC3"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Náležitosti, které musí listinný i elektronický příkazový blok obsahovat, jsou shodné se stávající právní úpravou, až na podpis obviněného (viz výše) a podpis oprávněné úřední osoby. </w:t>
      </w:r>
    </w:p>
    <w:p w14:paraId="0ECE79F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Příkaz na místě, kterým se ukládá pokuta za přestupek nebo peněžitá záruka za splnění povinnosti, je druhem rozhodnutí o uznání obviněného vinným z přestupku, jehož písemné </w:t>
      </w:r>
      <w:r w:rsidRPr="003730B5">
        <w:rPr>
          <w:rFonts w:ascii="Times New Roman" w:hAnsi="Times New Roman"/>
          <w:color w:val="auto"/>
          <w:sz w:val="24"/>
        </w:rPr>
        <w:lastRenderedPageBreak/>
        <w:t xml:space="preserve">vyhotovení má být dle § 69 odst. 1 správního řádu opatřeno podpisem oprávněné úřední osoby.  V případě listinného příkazového bloku se jedná o vlastnoruční podpis oprávněné úřední osoby. </w:t>
      </w:r>
    </w:p>
    <w:p w14:paraId="222ACA0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případě elektronického příkazového bloku vyžaduje obecná právní úprava obsažená v § 5 odst. 1 písm. a) zákona č. 297/2016 Sb. kvalifikovaný elektronický podpis oprávněné úřední osoby (spolu s kvalifikovaným elektronickým časovým razítkem, což plyne přímo z § 11 zákona č. 297/2016 Sb.). </w:t>
      </w:r>
    </w:p>
    <w:p w14:paraId="5E96718C" w14:textId="1840F486"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Používání certifikovaných elektronických podpisů (a jejich neustálá obměna) pro desítky tisíc příslušníků či zaměstnanců Policie </w:t>
      </w:r>
      <w:r w:rsidR="00A42930" w:rsidRPr="003730B5">
        <w:rPr>
          <w:rFonts w:ascii="Times New Roman" w:hAnsi="Times New Roman"/>
          <w:color w:val="auto"/>
          <w:sz w:val="24"/>
        </w:rPr>
        <w:t>České republiky</w:t>
      </w:r>
      <w:r w:rsidRPr="003730B5">
        <w:rPr>
          <w:rFonts w:ascii="Times New Roman" w:hAnsi="Times New Roman"/>
          <w:color w:val="auto"/>
          <w:sz w:val="24"/>
        </w:rPr>
        <w:t xml:space="preserve"> a Celní správy </w:t>
      </w:r>
      <w:r w:rsidR="00A42930" w:rsidRPr="003730B5">
        <w:rPr>
          <w:rFonts w:ascii="Times New Roman" w:hAnsi="Times New Roman"/>
          <w:color w:val="auto"/>
          <w:sz w:val="24"/>
        </w:rPr>
        <w:t>České republiky</w:t>
      </w:r>
      <w:r w:rsidRPr="003730B5">
        <w:rPr>
          <w:rFonts w:ascii="Times New Roman" w:hAnsi="Times New Roman"/>
          <w:color w:val="auto"/>
          <w:sz w:val="24"/>
        </w:rPr>
        <w:t xml:space="preserve">, kteří vykonávají svoji kontrolní působnost v terénu, by byla však obtížně realizovatelná, administrativně zatěžující a z hlediska identifikace oprávněné úřední osoby de facto duplicitní. </w:t>
      </w:r>
    </w:p>
    <w:p w14:paraId="4C8EE85E" w14:textId="61DA092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Navrhovaná úprava proto v souladu s § 8 zákona č. 297/2016 Sb. umožňuje, aby správní orgán, tj. orgán Policie </w:t>
      </w:r>
      <w:r w:rsidR="00A42930" w:rsidRPr="003730B5">
        <w:rPr>
          <w:rFonts w:ascii="Times New Roman" w:hAnsi="Times New Roman"/>
          <w:color w:val="auto"/>
          <w:sz w:val="24"/>
        </w:rPr>
        <w:t>České republiky</w:t>
      </w:r>
      <w:r w:rsidRPr="003730B5">
        <w:rPr>
          <w:rFonts w:ascii="Times New Roman" w:hAnsi="Times New Roman"/>
          <w:color w:val="auto"/>
          <w:sz w:val="24"/>
        </w:rPr>
        <w:t xml:space="preserve"> nebo orgán Celní správy </w:t>
      </w:r>
      <w:r w:rsidR="00A42930" w:rsidRPr="003730B5">
        <w:rPr>
          <w:rFonts w:ascii="Times New Roman" w:hAnsi="Times New Roman"/>
          <w:color w:val="auto"/>
          <w:sz w:val="24"/>
        </w:rPr>
        <w:t>České republiky</w:t>
      </w:r>
      <w:r w:rsidRPr="003730B5">
        <w:rPr>
          <w:rFonts w:ascii="Times New Roman" w:hAnsi="Times New Roman"/>
          <w:color w:val="auto"/>
          <w:sz w:val="24"/>
        </w:rPr>
        <w:t>, zapečetil elektronický příkazový blok kvalifikovanou elektronickou pečetí (spolu s kvalifikovaným elektronickým časovým razítkem, což plyne přímo z § 11 zákona č. 297/2016 Sb.). Obdobnou úpravu najdeme např. v § 61a odst. 1 zákona č. 242/2016 Sb., celní zákon, ve znění pozdějších předpisů: „(1) Pokud je rozhodnutí správce cla vydáno elektronicky pomocí systému automatizovaného zpracování dat, nemusí obsahovat podpis úřední osoby s uvedením jména a pracovního zařazení a otisk úředního razítka; v takovém případě musí rozhodnutí obsahovat kvalifikovanou elektronickou pečeť.“</w:t>
      </w:r>
    </w:p>
    <w:p w14:paraId="2175363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případě použití elektronického příkazového bloku se policista (celník) do mobilní bezpečné platformy přihlašuje svým uživatelským jménem a heslem. Na základě zabezpečeného přihlášení do systému se vygeneruje služební číslo a útvar, v němž je zařazen. Tyto údaje se jako povinná náležitost příkazového bloku dle stávající právní úpravy (§ 92 odst. 2 písm. i) zákona o přestupcích) propíší automaticky do elektronického příkazového bloku. Identita oprávněné úřední osoby, která příkazový blok vydala, je tedy dohledatelná a nezaměnitelná, stejně jako všechny změny, které jsou v systému provedeny.</w:t>
      </w:r>
    </w:p>
    <w:p w14:paraId="28ACB9B0"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92 odst. 5)</w:t>
      </w:r>
    </w:p>
    <w:p w14:paraId="055C5E2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souvislosti se zavedením elektronických příkazových bloků, které budou nadále existovat vedle stávajících listinných příkazových bloků, se ustanovení zpřesňuje v tom smyslu, že Ministerstvo financí bude nadále vydávat pouze tiskopisy listinných příkazových bloků tak, aby bylo zřejmé, že nebude vydávat tiskopisy elektronických příkazových bloků (tiskopis může mít obecně listinnou i elektronickou podobu).</w:t>
      </w:r>
    </w:p>
    <w:p w14:paraId="439476AD"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padesáté první – Změna zákona o spotřebitelském úvěru</w:t>
      </w:r>
    </w:p>
    <w:p w14:paraId="31999E65" w14:textId="0C9EFDB8" w:rsidR="00133AC8" w:rsidRPr="003730B5" w:rsidRDefault="00133AC8" w:rsidP="00133AC8">
      <w:pPr>
        <w:widowControl w:val="0"/>
        <w:spacing w:after="120"/>
        <w:outlineLvl w:val="2"/>
        <w:rPr>
          <w:b/>
        </w:rPr>
      </w:pPr>
      <w:r w:rsidRPr="003730B5">
        <w:rPr>
          <w:b/>
        </w:rPr>
        <w:t>K čl. </w:t>
      </w:r>
      <w:r w:rsidR="002C6370" w:rsidRPr="003730B5">
        <w:rPr>
          <w:b/>
        </w:rPr>
        <w:t xml:space="preserve">LXXXVIII </w:t>
      </w:r>
      <w:r w:rsidRPr="003730B5">
        <w:rPr>
          <w:b/>
          <w:szCs w:val="24"/>
        </w:rPr>
        <w:t>(§ 2 odst. 2)</w:t>
      </w:r>
    </w:p>
    <w:p w14:paraId="6D5E507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V souvislosti s rozšířením okruhu subjektů oprávněných poskytovat stavební spoření se nahrazuje spojení „stavební spořitelnou“ výrazem „poskytovatelem stavebního spoření“.</w:t>
      </w:r>
    </w:p>
    <w:p w14:paraId="56420C3F" w14:textId="77777777" w:rsidR="00133AC8" w:rsidRPr="003730B5" w:rsidRDefault="00133AC8" w:rsidP="00133AC8">
      <w:pPr>
        <w:keepNext/>
        <w:widowControl w:val="0"/>
        <w:spacing w:before="240" w:after="120"/>
        <w:outlineLvl w:val="1"/>
        <w:rPr>
          <w:rFonts w:eastAsiaTheme="minorHAnsi"/>
          <w:szCs w:val="24"/>
          <w:lang w:eastAsia="en-US"/>
        </w:rPr>
      </w:pPr>
      <w:r w:rsidRPr="003730B5">
        <w:rPr>
          <w:b/>
          <w:sz w:val="28"/>
        </w:rPr>
        <w:t>K části padesáté druhé – Změna zákona o pravidlech rozpočtové odpovědnosti</w:t>
      </w:r>
    </w:p>
    <w:p w14:paraId="3EDCA215" w14:textId="5EF4A2DB" w:rsidR="00133AC8" w:rsidRPr="003730B5" w:rsidRDefault="00133AC8" w:rsidP="00133AC8">
      <w:pPr>
        <w:keepNext/>
        <w:widowControl w:val="0"/>
        <w:spacing w:after="120"/>
        <w:outlineLvl w:val="2"/>
        <w:rPr>
          <w:b/>
        </w:rPr>
      </w:pPr>
      <w:r w:rsidRPr="003730B5">
        <w:rPr>
          <w:b/>
        </w:rPr>
        <w:t>K čl. </w:t>
      </w:r>
      <w:r w:rsidR="002C6370" w:rsidRPr="003730B5">
        <w:rPr>
          <w:b/>
        </w:rPr>
        <w:t>LXXXIX</w:t>
      </w:r>
    </w:p>
    <w:p w14:paraId="3142C743" w14:textId="77777777" w:rsidR="00133AC8" w:rsidRPr="003730B5" w:rsidRDefault="00133AC8" w:rsidP="00133AC8">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1 a 2 (§ 5 odst. 3 a § 6 odst. 1)</w:t>
      </w:r>
    </w:p>
    <w:p w14:paraId="69E321B1" w14:textId="0268F73D"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 ohledem na interpretační problémy ustanovení § 5 odst. 3 předmětného zákona a zvýšení právní jistoty je navrhováno, aby zákon explicitně stanovil, že uvedená povinnost se nevztahuje na instituce, jejichž rozpočtová a účetní data jsou přístupná široké veřejnosti na MONITORu </w:t>
      </w:r>
      <w:r w:rsidRPr="003730B5">
        <w:rPr>
          <w:rFonts w:ascii="Times New Roman" w:hAnsi="Times New Roman"/>
          <w:color w:val="auto"/>
          <w:sz w:val="24"/>
        </w:rPr>
        <w:lastRenderedPageBreak/>
        <w:t>(monitor.statnipokladna.cz) nebo jsou zveřejňovány podle jiného právního předpisu.</w:t>
      </w:r>
    </w:p>
    <w:p w14:paraId="32BAFE35" w14:textId="0340722F" w:rsidR="00B82291" w:rsidRPr="003730B5" w:rsidRDefault="00B82291" w:rsidP="00B82291">
      <w:pPr>
        <w:pStyle w:val="Dvodovzprvakbodu"/>
        <w:keepNext w:val="0"/>
        <w:widowControl w:val="0"/>
        <w:numPr>
          <w:ilvl w:val="0"/>
          <w:numId w:val="0"/>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K bodům 3 až 7 (§ 9 odst. 2 písm. a), § 10 odst. 1, § 10a, § 11a odst. 1 a § 11b)</w:t>
      </w:r>
    </w:p>
    <w:p w14:paraId="4051AA68" w14:textId="049E18A7" w:rsidR="00B82291" w:rsidRPr="003730B5" w:rsidRDefault="00B82291" w:rsidP="00B82291">
      <w:pPr>
        <w:pStyle w:val="Dvodovzprva"/>
        <w:widowControl w:val="0"/>
        <w:rPr>
          <w:rFonts w:ascii="Times New Roman" w:hAnsi="Times New Roman"/>
          <w:color w:val="auto"/>
          <w:sz w:val="24"/>
        </w:rPr>
      </w:pPr>
      <w:r w:rsidRPr="003730B5">
        <w:rPr>
          <w:rFonts w:ascii="Times New Roman" w:hAnsi="Times New Roman"/>
          <w:color w:val="auto"/>
          <w:sz w:val="24"/>
        </w:rPr>
        <w:t>V roce 2020 došlo ke dvěma novelám zákona o pravidlech rozpočtové odpovědnosti. Obě novely měly za cíl rozvolnění fiskálních pravide</w:t>
      </w:r>
      <w:r w:rsidR="00D10F14" w:rsidRPr="003730B5">
        <w:rPr>
          <w:rFonts w:ascii="Times New Roman" w:hAnsi="Times New Roman"/>
          <w:color w:val="auto"/>
          <w:sz w:val="24"/>
        </w:rPr>
        <w:t>l</w:t>
      </w:r>
      <w:r w:rsidRPr="003730B5">
        <w:rPr>
          <w:rFonts w:ascii="Times New Roman" w:hAnsi="Times New Roman"/>
          <w:color w:val="auto"/>
          <w:sz w:val="24"/>
        </w:rPr>
        <w:t xml:space="preserve"> v době epidemie. Nicméně zejména druhá novela umožnila stanovování výdajových rámců na základě poměrně vysokých strukturálních deficitů a vedla ke značnému nárůstu korekční složky, která by za stávající úpravy v podstatě ztratila jako součást fiskálního pravidla svůj význam.</w:t>
      </w:r>
    </w:p>
    <w:p w14:paraId="1803331F" w14:textId="77777777" w:rsidR="00B82291" w:rsidRPr="003730B5" w:rsidRDefault="00B82291" w:rsidP="00B82291">
      <w:pPr>
        <w:pStyle w:val="Dvodovzprva"/>
        <w:widowControl w:val="0"/>
        <w:rPr>
          <w:rFonts w:ascii="Times New Roman" w:hAnsi="Times New Roman"/>
          <w:color w:val="auto"/>
          <w:sz w:val="24"/>
        </w:rPr>
      </w:pPr>
      <w:r w:rsidRPr="003730B5">
        <w:rPr>
          <w:rFonts w:ascii="Times New Roman" w:hAnsi="Times New Roman"/>
          <w:color w:val="auto"/>
          <w:sz w:val="24"/>
        </w:rPr>
        <w:t xml:space="preserve">Změna zákona o pravidlech rozpočtové odpovědnosti sleduje za cíl úrovňově zpřísnit výdajové rámce státního rozpočtu a státních fondů, aby byl reflektován dopad konsolidačního balíčku. Aktuální nastavení zákona ve své minimalistické verzi počítá s návratem k aktuálně platnému střednědobému rozpočtovému cíli odpovídajícímu strukturálnímu deficitu 0,75 % HDP v roce 2031, v případě zpřísnění střednědobého rozpočtového cíle pak v roce 2032. </w:t>
      </w:r>
    </w:p>
    <w:p w14:paraId="4DCCEFD9" w14:textId="77777777" w:rsidR="00B82291" w:rsidRPr="003730B5" w:rsidRDefault="00B82291" w:rsidP="00B82291">
      <w:pPr>
        <w:pStyle w:val="Dvodovzprva"/>
        <w:widowControl w:val="0"/>
        <w:rPr>
          <w:rFonts w:ascii="Times New Roman" w:hAnsi="Times New Roman"/>
          <w:color w:val="auto"/>
          <w:sz w:val="24"/>
        </w:rPr>
      </w:pPr>
      <w:r w:rsidRPr="003730B5">
        <w:rPr>
          <w:rFonts w:ascii="Times New Roman" w:hAnsi="Times New Roman"/>
          <w:color w:val="auto"/>
          <w:sz w:val="24"/>
        </w:rPr>
        <w:t>Návrh deklaruje politický závazek vlády konsolidovat veřejné finance mnohem rychleji, než požaduje současný stav, a tento závazek zároveň přímo promítá do právního řádu České republiky. Doba k dosažení střednědobého rozpočtového cíle se zkrátí nejméně o tři roky. Rovněž nechává pro období relevantní k využití prostředků z Nástroje pro oživení a odolnost vládě možnost větší flexibility, což umožní nabízené prostředky efektivněji využít, s následně přísnější trajektorií oproti současnému stavu.</w:t>
      </w:r>
    </w:p>
    <w:p w14:paraId="27289ED1" w14:textId="00C2ED3E" w:rsidR="00B82291" w:rsidRPr="003730B5" w:rsidRDefault="00B82291"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Návrh rovněž propojuje fiskální pravidlo stanovení celkových výdajů sektoru veřejných institucí s přímo použitelným předpisem Evropské unie upravujícím posílení dohledu nad stavy rozpočtů a nad hospodářskými politikami a posílení koordinace hospodářských politik. Tím se ze zákona odstraňují již neaktuální hodnoty pro střednědobý rozpočtový cíl, které byly platné v době schvalování původní úpravy zákona.</w:t>
      </w:r>
    </w:p>
    <w:p w14:paraId="499060A9" w14:textId="77777777" w:rsidR="00133AC8" w:rsidRPr="003730B5" w:rsidRDefault="00133AC8" w:rsidP="00A24C00">
      <w:pPr>
        <w:pStyle w:val="Dvodovzprvakbodu"/>
        <w:keepNext w:val="0"/>
        <w:widowControl w:val="0"/>
        <w:numPr>
          <w:ilvl w:val="0"/>
          <w:numId w:val="96"/>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17 odst. 5 písm. e))</w:t>
      </w:r>
    </w:p>
    <w:p w14:paraId="42D919AC"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 výše dluhu územního samosprávného celku se navrhuje zahrnout ostatní dlouhodobé závazky (SÚ 459) pro potřeby výpočtu dluhového pravidla (§ 17 předmětného zákona), neboť jeho zahrnutí je nezbytné pro vyčíslení skutečného dluhu územního samosprávného celku. Ostatní dlouhodobé závazky obsahují dluhy s dobou splatnosti delší než 1 rok, pokud nejsou specifikovány nebo zahrnuty v jiných dlouhodobých dluzích (účtová skupina 45). Jedná se např. dodavatelsko-odběratelské úvěry s dobou splatnosti delší než 1 rok (tedy včetně financování EPC projektů). Dále jsou zde vykazovány odvody za porušení rozpočtové kázně vůči finanční správě s dobou splatnosti delší než 1 rok (splátky na základě splátkového kalendáře)</w:t>
      </w:r>
    </w:p>
    <w:p w14:paraId="1DBAB301"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Předmětná úprava povede k nápravě současné nevyhovující situace, kdy např. obec Turovice, jedna z nejzadluženějších obcí České republiky, vykazuje ostatní dlouhodobé závazky (SÚ 459) ve výši 70,9 mil. Kč, avšak v rámci dluhového pravidla pro územní samosprávné celky vykazuje dluh ve výši 0 Kč. Z tohoto důvodu považujeme vypovídací schopnost stávajícího dluhového pravidla za diskutabilní.</w:t>
      </w:r>
    </w:p>
    <w:p w14:paraId="1E71E6D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Nově navrhované vymezení závazků naopak nezahrnuje dlouhodobé přijaté zálohy na transfery, dlouhodobé závazky z titulu poskytnutí transferu a dlouhodobé závazky například z titulu přijatých jistot u nájemního bydlení.</w:t>
      </w:r>
    </w:p>
    <w:p w14:paraId="12B15F6F"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18 odst. 1)</w:t>
      </w:r>
    </w:p>
    <w:p w14:paraId="39A6E7F0"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Navrhovanou úpravou dojde ke sjednocení se současnou praxí zveřejňování výsledku dluhového pravidla na MONITORu za každý územní samosprávný celek.</w:t>
      </w:r>
    </w:p>
    <w:p w14:paraId="531CA805" w14:textId="77777777" w:rsidR="00133AC8" w:rsidRPr="003730B5" w:rsidRDefault="00133AC8" w:rsidP="00133AC8">
      <w:pPr>
        <w:pStyle w:val="Dvodovzprvakbodu"/>
        <w:keepNext w:val="0"/>
        <w:widowControl w:val="0"/>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18 odst. 2)</w:t>
      </w:r>
    </w:p>
    <w:p w14:paraId="0D66ACC0" w14:textId="4360CCCB"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 xml:space="preserve">Z důvodu, že </w:t>
      </w:r>
      <w:r w:rsidR="00BA5C9A" w:rsidRPr="003730B5">
        <w:rPr>
          <w:rFonts w:ascii="Times New Roman" w:hAnsi="Times New Roman"/>
          <w:color w:val="auto"/>
          <w:sz w:val="24"/>
        </w:rPr>
        <w:t>Ministerstvo financí</w:t>
      </w:r>
      <w:r w:rsidRPr="003730B5">
        <w:rPr>
          <w:rFonts w:ascii="Times New Roman" w:hAnsi="Times New Roman"/>
          <w:color w:val="auto"/>
          <w:sz w:val="24"/>
        </w:rPr>
        <w:t xml:space="preserve"> nedisponuje informacemi nezbytnými k naplnění tohoto ustanovení, je navrhováno jeho odstranění. Jedná se o situaci, kdy výše dluhu sektoru veřejných institucí překročí stanovené procento HDP a územní samosprávný celek schválí v rozporu se zákonem rozpočet jako schodkový (výjimka je pak stanovena rozpočtovými pravidly územních rozpočtů). </w:t>
      </w:r>
      <w:r w:rsidR="00BA5C9A" w:rsidRPr="003730B5">
        <w:rPr>
          <w:rFonts w:ascii="Times New Roman" w:hAnsi="Times New Roman"/>
          <w:color w:val="auto"/>
          <w:sz w:val="24"/>
        </w:rPr>
        <w:t>Ministerstvo financí</w:t>
      </w:r>
      <w:r w:rsidRPr="003730B5">
        <w:rPr>
          <w:rFonts w:ascii="Times New Roman" w:hAnsi="Times New Roman"/>
          <w:color w:val="auto"/>
          <w:sz w:val="24"/>
        </w:rPr>
        <w:t xml:space="preserve"> však již nedisponuje detailními informacemi, které obce schválily schodkový rozpočet v souladu se zákonem o rozpočtových pravidlech územních rozpočtů (nedokážeme odlišit krytí schodku NFV, zápůjčkou nebo úvěrem, nebo že byly emitovány komunální dluhopisy pouze za účelem předfinancování projektů E</w:t>
      </w:r>
      <w:r w:rsidR="009655EE" w:rsidRPr="003730B5">
        <w:rPr>
          <w:rFonts w:ascii="Times New Roman" w:hAnsi="Times New Roman"/>
          <w:color w:val="auto"/>
          <w:sz w:val="24"/>
        </w:rPr>
        <w:t>vropské unie</w:t>
      </w:r>
      <w:r w:rsidRPr="003730B5">
        <w:rPr>
          <w:rFonts w:ascii="Times New Roman" w:hAnsi="Times New Roman"/>
          <w:color w:val="auto"/>
          <w:sz w:val="24"/>
        </w:rPr>
        <w:t>), a které nikoliv. Splnění požadavku by znamenalo dodatečné detailní šetření ze strany M</w:t>
      </w:r>
      <w:r w:rsidR="00BA5C9A" w:rsidRPr="003730B5">
        <w:rPr>
          <w:rFonts w:ascii="Times New Roman" w:hAnsi="Times New Roman"/>
          <w:color w:val="auto"/>
          <w:sz w:val="24"/>
        </w:rPr>
        <w:t>inisterstva financí</w:t>
      </w:r>
      <w:r w:rsidRPr="003730B5">
        <w:rPr>
          <w:rFonts w:ascii="Times New Roman" w:hAnsi="Times New Roman"/>
          <w:color w:val="auto"/>
          <w:sz w:val="24"/>
        </w:rPr>
        <w:t xml:space="preserve"> u všech obcí.</w:t>
      </w:r>
    </w:p>
    <w:p w14:paraId="36FDE890" w14:textId="58ABB146" w:rsidR="00133AC8" w:rsidRPr="003730B5" w:rsidRDefault="00133AC8" w:rsidP="00133AC8">
      <w:pPr>
        <w:widowControl w:val="0"/>
        <w:spacing w:before="240" w:after="120"/>
        <w:outlineLvl w:val="2"/>
        <w:rPr>
          <w:b/>
        </w:rPr>
      </w:pPr>
      <w:r w:rsidRPr="003730B5">
        <w:rPr>
          <w:b/>
        </w:rPr>
        <w:t>K </w:t>
      </w:r>
      <w:r w:rsidR="00A42930" w:rsidRPr="003730B5">
        <w:rPr>
          <w:b/>
        </w:rPr>
        <w:t>čl. XC</w:t>
      </w:r>
      <w:r w:rsidR="002C6370" w:rsidRPr="003730B5">
        <w:rPr>
          <w:b/>
        </w:rPr>
        <w:t xml:space="preserve"> </w:t>
      </w:r>
      <w:r w:rsidRPr="003730B5">
        <w:rPr>
          <w:b/>
        </w:rPr>
        <w:t>(Přechodné ustanovení)</w:t>
      </w:r>
    </w:p>
    <w:p w14:paraId="45CFB999" w14:textId="047794B4"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Pro stanovení výše dluhu územního samosprávného celku pro potřeby výpočtu dluhového pravidla za rok 202</w:t>
      </w:r>
      <w:r w:rsidR="007C4AB7">
        <w:rPr>
          <w:rFonts w:ascii="Times New Roman" w:hAnsi="Times New Roman"/>
          <w:color w:val="auto"/>
          <w:sz w:val="24"/>
        </w:rPr>
        <w:t>4</w:t>
      </w:r>
      <w:bookmarkStart w:id="14" w:name="_GoBack"/>
      <w:bookmarkEnd w:id="14"/>
      <w:r w:rsidRPr="003730B5">
        <w:rPr>
          <w:rFonts w:ascii="Times New Roman" w:hAnsi="Times New Roman"/>
          <w:color w:val="auto"/>
          <w:sz w:val="24"/>
        </w:rPr>
        <w:t xml:space="preserve"> se použije znění zákona </w:t>
      </w:r>
      <w:r w:rsidR="000259CC" w:rsidRPr="003730B5">
        <w:rPr>
          <w:rFonts w:ascii="Times New Roman" w:hAnsi="Times New Roman"/>
          <w:color w:val="auto"/>
          <w:sz w:val="24"/>
        </w:rPr>
        <w:t>o rozpočtové odpovědnosti</w:t>
      </w:r>
      <w:r w:rsidR="000259CC" w:rsidRPr="003730B5" w:rsidDel="000259CC">
        <w:rPr>
          <w:rFonts w:ascii="Times New Roman" w:hAnsi="Times New Roman"/>
          <w:color w:val="auto"/>
          <w:sz w:val="24"/>
        </w:rPr>
        <w:t xml:space="preserve"> </w:t>
      </w:r>
      <w:r w:rsidRPr="003730B5">
        <w:rPr>
          <w:rFonts w:ascii="Times New Roman" w:hAnsi="Times New Roman"/>
          <w:color w:val="auto"/>
          <w:sz w:val="24"/>
        </w:rPr>
        <w:t>účinného ode dne nabytí účinnosti této novely.</w:t>
      </w:r>
    </w:p>
    <w:p w14:paraId="4D1001E4" w14:textId="77777777" w:rsidR="00133AC8" w:rsidRPr="003730B5" w:rsidRDefault="00133AC8" w:rsidP="00133AC8">
      <w:pPr>
        <w:keepNext/>
        <w:widowControl w:val="0"/>
        <w:spacing w:before="240" w:after="120"/>
        <w:outlineLvl w:val="1"/>
        <w:rPr>
          <w:rFonts w:eastAsiaTheme="minorHAnsi"/>
          <w:szCs w:val="24"/>
          <w:lang w:eastAsia="en-US"/>
        </w:rPr>
      </w:pPr>
      <w:r w:rsidRPr="003730B5">
        <w:rPr>
          <w:b/>
          <w:sz w:val="28"/>
        </w:rPr>
        <w:t>K části padesáté třetí – Změna zákona o použití peněžních prostředků z majetkových trestních sankcí uložených v trestním řízení</w:t>
      </w:r>
    </w:p>
    <w:p w14:paraId="7A256376" w14:textId="77777777" w:rsidR="00133AC8" w:rsidRPr="003730B5" w:rsidRDefault="00133AC8" w:rsidP="00133AC8">
      <w:pPr>
        <w:pStyle w:val="Dvodovzprva"/>
        <w:widowControl w:val="0"/>
        <w:spacing w:before="0" w:after="120"/>
        <w:outlineLvl w:val="9"/>
        <w:rPr>
          <w:rFonts w:ascii="Times New Roman" w:hAnsi="Times New Roman"/>
          <w:color w:val="auto"/>
          <w:sz w:val="24"/>
        </w:rPr>
      </w:pPr>
      <w:r w:rsidRPr="003730B5">
        <w:rPr>
          <w:rFonts w:ascii="Times New Roman" w:hAnsi="Times New Roman"/>
          <w:color w:val="auto"/>
          <w:sz w:val="24"/>
        </w:rPr>
        <w:t>V rámci této části je řešen převod kompetence k vymáhání tzv. justičních pohledávek na orgány Celní správy České republiky. V podrobnostech lze odkázat na odůvodnění novely trestního řádu.</w:t>
      </w:r>
    </w:p>
    <w:p w14:paraId="0765ABB1" w14:textId="22387694" w:rsidR="00133AC8" w:rsidRPr="003730B5" w:rsidRDefault="00133AC8" w:rsidP="00133AC8">
      <w:pPr>
        <w:widowControl w:val="0"/>
        <w:spacing w:after="120"/>
        <w:outlineLvl w:val="2"/>
        <w:rPr>
          <w:szCs w:val="24"/>
        </w:rPr>
      </w:pPr>
      <w:r w:rsidRPr="003730B5">
        <w:rPr>
          <w:b/>
        </w:rPr>
        <w:t>K čl. </w:t>
      </w:r>
      <w:r w:rsidR="002C6370" w:rsidRPr="003730B5">
        <w:rPr>
          <w:b/>
        </w:rPr>
        <w:t xml:space="preserve">XCI </w:t>
      </w:r>
      <w:r w:rsidRPr="003730B5">
        <w:rPr>
          <w:b/>
          <w:szCs w:val="24"/>
        </w:rPr>
        <w:t>(§ 4 odst. 1)</w:t>
      </w:r>
    </w:p>
    <w:p w14:paraId="627868A9"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Novelizované ustanovení upravuje nakládání s peněžními prostředky získanými výkonem uloženého peněžitého trestu a peněžitého opatření v řízení o trestném činu, v důsledku jehož spáchání vznikl poškozenému, který není státem, majetkový nárok, tj. které odsouzený pachatel dobrovolně uhradil, nebo které na něm byly vymoženy. Peněžní prostředky získané výkonem tohoto trestu zašle ten, kdo je v rámci výkonu získal, na zvláštní účet Ministerstva spravedlnosti zřízený podle zákona o použití peněžních prostředků z majetkových trestních sankcí uložených v trestním řízení. Dosavadní textace počítala s tím, že jediným orgánem, který je příslušný k výkonu peněžitého trestu nebo peněžitého opatření, je soud. Ustanovení § 4 odst. 1 tak musí reflektovat změny, které jsou navrženy v zároveň předkládané novele trestního řádu, podle které k vymáhání těchto majetkových sankcí bude napříště příslušný celní úřad. Peněžní prostředky získané výkonem peněžitého trestu tak budou zasílat na zvláštní účet Ministerstva spravedlnosti jednak soudy (částky peněžitého trestu zaplacené na výzvu soudu) a jednak příslušné celní úřady (částky peněžitého trestu vymožené celním úřadem).</w:t>
      </w:r>
    </w:p>
    <w:p w14:paraId="4054008C" w14:textId="77777777" w:rsidR="00133AC8" w:rsidRPr="003730B5" w:rsidRDefault="00133AC8" w:rsidP="00133AC8">
      <w:pPr>
        <w:keepNext/>
        <w:widowControl w:val="0"/>
        <w:spacing w:before="240" w:after="120"/>
        <w:outlineLvl w:val="1"/>
        <w:rPr>
          <w:b/>
          <w:sz w:val="28"/>
        </w:rPr>
      </w:pPr>
      <w:r w:rsidRPr="003730B5">
        <w:rPr>
          <w:b/>
          <w:sz w:val="28"/>
        </w:rPr>
        <w:t>K části padesáté čtvrté – Změna zákona o platebním styku</w:t>
      </w:r>
    </w:p>
    <w:p w14:paraId="71A5DCF0" w14:textId="0EEEACD0" w:rsidR="00133AC8" w:rsidRPr="003730B5" w:rsidRDefault="00133AC8" w:rsidP="00133AC8">
      <w:pPr>
        <w:keepNext/>
        <w:widowControl w:val="0"/>
        <w:spacing w:after="120"/>
        <w:outlineLvl w:val="2"/>
        <w:rPr>
          <w:b/>
        </w:rPr>
      </w:pPr>
      <w:r w:rsidRPr="003730B5">
        <w:rPr>
          <w:b/>
        </w:rPr>
        <w:t>K čl. </w:t>
      </w:r>
      <w:r w:rsidR="002C6370" w:rsidRPr="003730B5">
        <w:rPr>
          <w:b/>
        </w:rPr>
        <w:t>XCII</w:t>
      </w:r>
    </w:p>
    <w:p w14:paraId="0319DA7A" w14:textId="77777777" w:rsidR="00133AC8" w:rsidRPr="003730B5" w:rsidRDefault="00133AC8" w:rsidP="00133AC8">
      <w:pPr>
        <w:pStyle w:val="Dvodovzprvakbodu"/>
        <w:widowControl w:val="0"/>
        <w:numPr>
          <w:ilvl w:val="0"/>
          <w:numId w:val="7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3 odst. 3 písm. c) bod 5)</w:t>
      </w:r>
    </w:p>
    <w:p w14:paraId="11DF3465"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Jedná se o legislativně technickou úpravu, díky které bude znění předmětného ustanovení přesněji navázáno na znění zákona o daních z příjmů.</w:t>
      </w:r>
    </w:p>
    <w:p w14:paraId="3AE9B167" w14:textId="77777777" w:rsidR="00133AC8" w:rsidRPr="003730B5" w:rsidRDefault="00133AC8" w:rsidP="00133AC8">
      <w:pPr>
        <w:pStyle w:val="Dvodovzprvakbodu"/>
        <w:keepNext w:val="0"/>
        <w:widowControl w:val="0"/>
        <w:numPr>
          <w:ilvl w:val="0"/>
          <w:numId w:val="7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3 odst. 3 písm. c) bod 6)</w:t>
      </w:r>
    </w:p>
    <w:p w14:paraId="32479B6E"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Dochází ke zrušení výjimky z nutnosti získat povolení k poskytování platebních služeb. Jedná se o transpoziční ustanovení, kdy směrnice PSD2 vynětí vydávání a plateb s předmětnými nástroji přímo spojuje se „zvláštními sociálními nebo daňovými účely“. Vzhledem k tomu, že předmětná plnění již nadále nebudou osvobozena od daně podle zákona o daních z příjmů, je </w:t>
      </w:r>
      <w:r w:rsidRPr="003730B5">
        <w:rPr>
          <w:rFonts w:ascii="Times New Roman" w:hAnsi="Times New Roman"/>
          <w:color w:val="auto"/>
          <w:sz w:val="24"/>
        </w:rPr>
        <w:lastRenderedPageBreak/>
        <w:t>nezbytné toto ustanovení zákona o platebním styku upravit. V návaznosti na tuto úpravu se stanovuje i přechodné období.</w:t>
      </w:r>
    </w:p>
    <w:p w14:paraId="00228ABB" w14:textId="77777777" w:rsidR="00133AC8" w:rsidRPr="003730B5" w:rsidRDefault="00133AC8" w:rsidP="00133AC8">
      <w:pPr>
        <w:pStyle w:val="Dvodovzprvakbodu"/>
        <w:keepNext w:val="0"/>
        <w:widowControl w:val="0"/>
        <w:numPr>
          <w:ilvl w:val="0"/>
          <w:numId w:val="72"/>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4 odst. 2)</w:t>
      </w:r>
    </w:p>
    <w:p w14:paraId="4830CB2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Jedná se o legislativně technickou úpravu navazující na změnu provedenou v § 3 odst. 3 písm. c) (zrušení bodu 6).</w:t>
      </w:r>
    </w:p>
    <w:p w14:paraId="12EE58E2" w14:textId="48BF00F6" w:rsidR="00133AC8" w:rsidRPr="003730B5" w:rsidRDefault="00133AC8" w:rsidP="00133AC8">
      <w:pPr>
        <w:widowControl w:val="0"/>
        <w:spacing w:before="240" w:after="120"/>
        <w:outlineLvl w:val="2"/>
        <w:rPr>
          <w:b/>
        </w:rPr>
      </w:pPr>
      <w:r w:rsidRPr="003730B5">
        <w:rPr>
          <w:b/>
        </w:rPr>
        <w:t>K čl. </w:t>
      </w:r>
      <w:r w:rsidR="002C6370" w:rsidRPr="003730B5">
        <w:rPr>
          <w:b/>
        </w:rPr>
        <w:t xml:space="preserve">XCIII </w:t>
      </w:r>
      <w:r w:rsidRPr="003730B5">
        <w:rPr>
          <w:b/>
        </w:rPr>
        <w:t>(Přechodn</w:t>
      </w:r>
      <w:r w:rsidR="002C6370" w:rsidRPr="003730B5">
        <w:rPr>
          <w:b/>
        </w:rPr>
        <w:t>é</w:t>
      </w:r>
      <w:r w:rsidRPr="003730B5">
        <w:rPr>
          <w:b/>
        </w:rPr>
        <w:t xml:space="preserve"> ustanovení)</w:t>
      </w:r>
    </w:p>
    <w:p w14:paraId="5CD4A36D"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Osoba, která je v okamžiku nabytí účinnosti zákona oprávněna k vydávání či provádění plateb prostřednictvím kterými lze dát příkaz pouze k vnitrostátní platbě a které jsou určeny pouze k zaplacení nepeněžitého plnění poskytovaného zaměstnavatelem zaměstnanci nebo jeho rodinnému příslušníkovi z fondu kulturních a sociálních potřeb, ze sociálního fondu, ze zisku po jeho zdanění anebo na vrub výdajů, které nejsou výdaji na dosažení, zajištění a udržení příjmů, a ve formě, která je podle zákona upravujícího daně z příjmů osvobozena od daně, je-li nepeněžité plnění poskytováno na základě smlouvy mezi dodavatelem a tím, kdo tyto prostředky vydal, (zpravidla na základě živnostenského oprávnění pro živnost volnou), může pokračovat v činnosti po omezenou dobu i po nabytí účinnosti zákona, a to po dobu 90 dnů. Pokud si tato osoba během této doby zažádá o povolení k činnosti poskytovatele platebních služeb (konkrétně instituce elektronických peněz, vydavatele elektronických peněz malého rozsahu, platební instituce nebo poskytovatele platebních služeb malého rozsahu), může pokračovat ve své činnosti až do pravomocného rozhodnutí o žádosti o povolení k činnosti poskytovatele platebních služeb. Přechodné ustanovení má zajistit kontinuitu poskytování služeb, i když nově pro vydávání některých nástrojů a provádění plateb s nimi bude vyžadováno speciální povolení.</w:t>
      </w:r>
    </w:p>
    <w:p w14:paraId="648E77D1"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padesáté páté – Změna zákona o opatřeních v oblasti daní v souvislosti s ozbrojeným konfliktem na území Ukrajiny vyvolaným invazí vojsk Ruské federace</w:t>
      </w:r>
    </w:p>
    <w:p w14:paraId="48978A5B" w14:textId="078BB8D6" w:rsidR="00133AC8" w:rsidRPr="003730B5" w:rsidRDefault="00133AC8" w:rsidP="00133AC8">
      <w:pPr>
        <w:widowControl w:val="0"/>
        <w:spacing w:after="120"/>
        <w:outlineLvl w:val="2"/>
        <w:rPr>
          <w:b/>
        </w:rPr>
      </w:pPr>
      <w:r w:rsidRPr="003730B5">
        <w:rPr>
          <w:b/>
        </w:rPr>
        <w:t>K čl. </w:t>
      </w:r>
      <w:r w:rsidR="002C6370" w:rsidRPr="003730B5">
        <w:rPr>
          <w:b/>
        </w:rPr>
        <w:t>XCIV</w:t>
      </w:r>
    </w:p>
    <w:p w14:paraId="78A3A171" w14:textId="77777777" w:rsidR="00133AC8" w:rsidRPr="003730B5" w:rsidRDefault="00133AC8" w:rsidP="00133AC8">
      <w:pPr>
        <w:pStyle w:val="Dvodovzprvakbodu"/>
        <w:keepNext w:val="0"/>
        <w:widowControl w:val="0"/>
        <w:numPr>
          <w:ilvl w:val="0"/>
          <w:numId w:val="59"/>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 odst. 1)</w:t>
      </w:r>
    </w:p>
    <w:p w14:paraId="38756AD5" w14:textId="4014583D"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Dočasné navýšení nejvyšší hodnoty bezúplatného plnění, kterou poplatníci daně z příjmů fyzických osobou mohou uplatnit jako nezdanitelnou část základu daně podle § 15 odst. 1 zákona o daních z příjmů, z původních 15 % základu daně na současných 30 % základu daně bylo provedeno zákonem č. 39/2021 Sb., a to původně na zdaňovací období let 2020 a 2021. Zákon č. 218/2022 Sb. toto navýšení prodloužil i na zdaňovací období roku 2022. Důvodem tohoto navýšení byla podpora financování veřejně prospěšných organizací tak, aby financování těchto organizací bylo ve větší míře přenášeno také na soukromé rozpočty a nebylo převážně záležitostí veřejných rozpočtů. Prodloužení navýšení této maximální hodnoty bezúplatného plnění současně představovalo jeden ze způsobů, jakým podpořit dobročinné aktivity poplatníků směřující na pomoc Ukrajině ve válečném konfliktu vyvolaném invazí vojsk Ruské federace. Vzhledem k trvajícímu válečnému konfliktu na území Ukrajiny, jehož vývoj a trvání nejsou předvídatelné, se navrhuje toto daňové opatření v oblasti daní z příjmů prodloužit i pro zdaňovací období roku 2023.</w:t>
      </w:r>
    </w:p>
    <w:p w14:paraId="0B902DBF" w14:textId="77777777" w:rsidR="00133AC8" w:rsidRPr="003730B5" w:rsidRDefault="00133AC8" w:rsidP="00133AC8">
      <w:pPr>
        <w:pStyle w:val="Dvodovzprvakbodu"/>
        <w:keepNext w:val="0"/>
        <w:widowControl w:val="0"/>
        <w:numPr>
          <w:ilvl w:val="0"/>
          <w:numId w:val="59"/>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 odst. 2)</w:t>
      </w:r>
    </w:p>
    <w:p w14:paraId="3537ACFD" w14:textId="3317121F"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Zákonem č. 39/2021 Sb. byla maximální hodnota bezúplatného plnění, o kterou mohou poplatníci daně z příjmů právnických osob podle § 20 odst. 8 zákona o daních z příjmů snížit svůj základ daně snížený o položky odčitatelné od základu daně (viz § 34 zákona o daních z příjmů), navýšena z původních 10 % na nynějších 30 % základu daně. Toto zvýšení </w:t>
      </w:r>
      <w:r w:rsidRPr="003730B5">
        <w:rPr>
          <w:rFonts w:ascii="Times New Roman" w:hAnsi="Times New Roman"/>
          <w:color w:val="auto"/>
          <w:sz w:val="24"/>
        </w:rPr>
        <w:lastRenderedPageBreak/>
        <w:t xml:space="preserve">maximální hodnoty bezúplatného plnění bylo dočasné a původně platilo pouze pro zdaňovací období skončená od 1. 3. 2020 do 28. 2. 2022. Zákonem </w:t>
      </w:r>
      <w:r w:rsidR="00A42930" w:rsidRPr="003730B5">
        <w:rPr>
          <w:rFonts w:ascii="Times New Roman" w:hAnsi="Times New Roman"/>
          <w:color w:val="auto"/>
          <w:sz w:val="24"/>
        </w:rPr>
        <w:t>č. </w:t>
      </w:r>
      <w:r w:rsidR="00F842C9" w:rsidRPr="003730B5">
        <w:rPr>
          <w:rFonts w:ascii="Times New Roman" w:hAnsi="Times New Roman"/>
          <w:color w:val="auto"/>
          <w:sz w:val="24"/>
        </w:rPr>
        <w:t xml:space="preserve">128/2022 Sb. </w:t>
      </w:r>
      <w:r w:rsidRPr="003730B5">
        <w:rPr>
          <w:rFonts w:ascii="Times New Roman" w:hAnsi="Times New Roman"/>
          <w:color w:val="auto"/>
          <w:sz w:val="24"/>
        </w:rPr>
        <w:t xml:space="preserve">došlo k prodloužení tohoto navýšení také na zdaňovací období, která skončila v období od 1. 3. 2022 do 28. 2. 2023. Cílem tohoto daňového opatření bylo podpořit financování veřejně prospěšných organizací tak, aby tato oblast byla ve větší míře spolufinancována také ze soukromých rozpočtů a její financování nebylo převážně záležitostí veřejných rozpočtů. Zároveň představovalo prostředek podpory dobročinné aktivity poplatníků směřující k pomoci Ukrajině a jejím obyvatelům ve válečném konfliktu vyvolaném invazí vojsk Ruské federace. S ohledem na aktuální situaci na území Ukrajiny a vývoji tohoto válečného konfliktu se navrhuje toto daňové opatření za stejných podmínek prodloužit i pro zdaňovací období skončená do 29. </w:t>
      </w:r>
      <w:r w:rsidR="00F842C9" w:rsidRPr="003730B5">
        <w:rPr>
          <w:rFonts w:ascii="Times New Roman" w:hAnsi="Times New Roman"/>
          <w:color w:val="auto"/>
          <w:sz w:val="24"/>
        </w:rPr>
        <w:t xml:space="preserve">2. </w:t>
      </w:r>
      <w:r w:rsidRPr="003730B5">
        <w:rPr>
          <w:rFonts w:ascii="Times New Roman" w:hAnsi="Times New Roman"/>
          <w:color w:val="auto"/>
          <w:sz w:val="24"/>
        </w:rPr>
        <w:t>2024.</w:t>
      </w:r>
    </w:p>
    <w:p w14:paraId="33F42D05" w14:textId="77777777" w:rsidR="00133AC8" w:rsidRPr="003730B5" w:rsidRDefault="00133AC8" w:rsidP="00133AC8">
      <w:pPr>
        <w:pStyle w:val="Dvodovzprvakbodu"/>
        <w:keepNext w:val="0"/>
        <w:widowControl w:val="0"/>
        <w:numPr>
          <w:ilvl w:val="0"/>
          <w:numId w:val="59"/>
        </w:numPr>
        <w:tabs>
          <w:tab w:val="left" w:pos="708"/>
        </w:tabs>
        <w:outlineLvl w:val="3"/>
        <w:rPr>
          <w:rFonts w:ascii="Times New Roman" w:hAnsi="Times New Roman"/>
          <w:color w:val="auto"/>
          <w:sz w:val="24"/>
          <w:szCs w:val="24"/>
        </w:rPr>
      </w:pPr>
      <w:r w:rsidRPr="003730B5">
        <w:rPr>
          <w:rFonts w:ascii="Times New Roman" w:hAnsi="Times New Roman"/>
          <w:color w:val="auto"/>
          <w:sz w:val="24"/>
          <w:szCs w:val="24"/>
        </w:rPr>
        <w:t> (§ 1 odst. 3, § 1 odst. 4, § 1 odst. 6, § 2 odst. 1 a § 3 odst. 1)</w:t>
      </w:r>
    </w:p>
    <w:p w14:paraId="396FDAC1" w14:textId="377C5955"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Dne 11. </w:t>
      </w:r>
      <w:r w:rsidR="00F842C9" w:rsidRPr="003730B5">
        <w:rPr>
          <w:rFonts w:ascii="Times New Roman" w:hAnsi="Times New Roman"/>
          <w:color w:val="auto"/>
          <w:sz w:val="24"/>
        </w:rPr>
        <w:t xml:space="preserve">5. </w:t>
      </w:r>
      <w:r w:rsidRPr="003730B5">
        <w:rPr>
          <w:rFonts w:ascii="Times New Roman" w:hAnsi="Times New Roman"/>
          <w:color w:val="auto"/>
          <w:sz w:val="24"/>
        </w:rPr>
        <w:t xml:space="preserve">2022 byl v reakci na vypuknuvší válečný konflikt na území Ukrajiny přijat zákon </w:t>
      </w:r>
      <w:r w:rsidR="00A42930" w:rsidRPr="003730B5">
        <w:rPr>
          <w:rFonts w:ascii="Times New Roman" w:hAnsi="Times New Roman"/>
          <w:color w:val="auto"/>
          <w:sz w:val="24"/>
        </w:rPr>
        <w:t>č. </w:t>
      </w:r>
      <w:r w:rsidR="001B6230" w:rsidRPr="003730B5">
        <w:rPr>
          <w:rFonts w:ascii="Times New Roman" w:hAnsi="Times New Roman"/>
          <w:color w:val="auto"/>
          <w:sz w:val="24"/>
        </w:rPr>
        <w:t>128/2022 Sb</w:t>
      </w:r>
      <w:r w:rsidRPr="003730B5">
        <w:rPr>
          <w:rFonts w:ascii="Times New Roman" w:hAnsi="Times New Roman"/>
          <w:color w:val="auto"/>
          <w:sz w:val="24"/>
        </w:rPr>
        <w:t xml:space="preserve">. Tímto zákonem byla provedena řada opatření v oblasti daní z příjmů za účelem podpory dobročinné aktivity poplatníků směřující k pomoci Ukrajině a jejím obyvatelům v probíhajícím válečném konfliktu. Tato opatření měla pouze dočasný charakter, a to pouze pro rok 2022 s tím, že daňová zvýhodnění tedy bylo možné využít pouze tehdy, pokud byly stanovené podmínky splněny v roce 2022 a to pouze za zdaňovací období, v němž byly podmínky splněny. Vzhledem k nepředvídatelnému vývoji a délce trvání válečného konfliktu na území Ukrajiny se navrhuje daňová opatření podle zákona </w:t>
      </w:r>
      <w:r w:rsidR="00A42930" w:rsidRPr="003730B5">
        <w:rPr>
          <w:rFonts w:ascii="Times New Roman" w:hAnsi="Times New Roman"/>
          <w:color w:val="auto"/>
          <w:sz w:val="24"/>
        </w:rPr>
        <w:t>č. </w:t>
      </w:r>
      <w:r w:rsidR="001B6230" w:rsidRPr="003730B5">
        <w:rPr>
          <w:rFonts w:ascii="Times New Roman" w:hAnsi="Times New Roman"/>
          <w:color w:val="auto"/>
          <w:sz w:val="24"/>
        </w:rPr>
        <w:t xml:space="preserve">128/2022 Sb. </w:t>
      </w:r>
      <w:r w:rsidRPr="003730B5">
        <w:rPr>
          <w:rFonts w:ascii="Times New Roman" w:hAnsi="Times New Roman"/>
          <w:color w:val="auto"/>
          <w:sz w:val="24"/>
        </w:rPr>
        <w:t xml:space="preserve">prodloužit i pro rok 2023, a to za dosavadních podmínek. </w:t>
      </w:r>
    </w:p>
    <w:p w14:paraId="1327F1F6"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 1 odst. 3:</w:t>
      </w:r>
    </w:p>
    <w:p w14:paraId="7E7A27A8" w14:textId="171A11D0"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Ustanovení § 1 odst. 3 zákona </w:t>
      </w:r>
      <w:r w:rsidR="00A42930" w:rsidRPr="003730B5">
        <w:rPr>
          <w:rFonts w:ascii="Times New Roman" w:hAnsi="Times New Roman"/>
          <w:color w:val="auto"/>
          <w:sz w:val="24"/>
        </w:rPr>
        <w:t>č. </w:t>
      </w:r>
      <w:r w:rsidR="001B6230" w:rsidRPr="003730B5">
        <w:rPr>
          <w:rFonts w:ascii="Times New Roman" w:hAnsi="Times New Roman"/>
          <w:color w:val="auto"/>
          <w:sz w:val="24"/>
        </w:rPr>
        <w:t xml:space="preserve">128/2022 Sb. </w:t>
      </w:r>
      <w:r w:rsidRPr="003730B5">
        <w:rPr>
          <w:rFonts w:ascii="Times New Roman" w:hAnsi="Times New Roman"/>
          <w:color w:val="auto"/>
          <w:sz w:val="24"/>
        </w:rPr>
        <w:t xml:space="preserve"> rozšiřuje jak okruh účelů, tak okruh příjemců bezúplatného plnění podle § 15 odst. 1 a § 20 odst. 8 zákona o daních z příjmů, jehož poměrnou výši lze za podmínek stanovených v těchto ustanoveních odečíst od základu daně. Od základu daně z příjmů lze tedy nad rámec ustanovení § 15 odst. 1 a § 20 odst. 8 zákona o daních z příjmů odečíst také hodnotu bezúplatného plnění poskytnutého vymezenému okruhu příjemců za účelem podpory obranného úsilí Ukrajiny nebo hodnotu bezúplatného plnění poskytnutého na některý z vymezených účelů přímo Ukrajině, jejím územně samosprávným celkům, právnickým nebo fyzickým osobám se sídlem nebo bydlištěm na Ukrajině. Toto ustanovení se však vztahuje pouze na bezúplatná plnění poskytnutá v roce 2022, a proto se, vzhledem k vývoji válečného konfliktu, navrhuje použitelnost tohoto ustanovení prodloužit i na bezúplatná plnění poskytnutá v roce 2023 za stejných podmínek, jako doposud.</w:t>
      </w:r>
    </w:p>
    <w:p w14:paraId="2F504833"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 1 odst. 4:</w:t>
      </w:r>
    </w:p>
    <w:p w14:paraId="35EEA338" w14:textId="673137A8"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Ustanovení § 1 odst. 4 zákona </w:t>
      </w:r>
      <w:r w:rsidR="00A42930" w:rsidRPr="003730B5">
        <w:rPr>
          <w:rFonts w:ascii="Times New Roman" w:hAnsi="Times New Roman"/>
          <w:color w:val="auto"/>
          <w:sz w:val="24"/>
        </w:rPr>
        <w:t>č. </w:t>
      </w:r>
      <w:r w:rsidR="001B6230" w:rsidRPr="003730B5">
        <w:rPr>
          <w:rFonts w:ascii="Times New Roman" w:hAnsi="Times New Roman"/>
          <w:color w:val="auto"/>
          <w:sz w:val="24"/>
        </w:rPr>
        <w:t xml:space="preserve">128/2022 Sb. </w:t>
      </w:r>
      <w:r w:rsidRPr="003730B5">
        <w:rPr>
          <w:rFonts w:ascii="Times New Roman" w:hAnsi="Times New Roman"/>
          <w:color w:val="auto"/>
          <w:sz w:val="24"/>
        </w:rPr>
        <w:t>podporuje dobročinné aktivity nejen poplatníků, kteří jsou daňovými rezidenty České republiky, členského státu Evropské unie nebo státu tvořícího Evropský hospodářský prostor, ale rovněž daňových rezidentů Ukrajiny, kteří budou moci za splnění ostatních podmínek § 15 odst. 9 zákona o daních z příjmů snížit svůj základ daně o hodnotu jimi poskytnutého bezúplatného plnění. Ustanovení je však omezeno pouze na bezúplatná plnění, která byla daňovými rezidenty Ukrajiny poskytnuta v roce 2022. Toto daňové opatření rovněž navrhuje prodloužit rovněž na bezúplatná plnění poskytnutá v roce 2023, a to za dosavadních podmínek.</w:t>
      </w:r>
    </w:p>
    <w:p w14:paraId="1EF87B41"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 xml:space="preserve">K § 1 odst. 6: </w:t>
      </w:r>
    </w:p>
    <w:p w14:paraId="3D9D3345" w14:textId="15E0C882"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Ustanovení § 1 odst. 6 zákona </w:t>
      </w:r>
      <w:r w:rsidR="00A42930" w:rsidRPr="003730B5">
        <w:rPr>
          <w:rFonts w:ascii="Times New Roman" w:hAnsi="Times New Roman"/>
          <w:color w:val="auto"/>
          <w:sz w:val="24"/>
        </w:rPr>
        <w:t>č. </w:t>
      </w:r>
      <w:r w:rsidR="001B6230" w:rsidRPr="003730B5">
        <w:rPr>
          <w:rFonts w:ascii="Times New Roman" w:hAnsi="Times New Roman"/>
          <w:color w:val="auto"/>
          <w:sz w:val="24"/>
        </w:rPr>
        <w:t xml:space="preserve">128/2022 Sb. </w:t>
      </w:r>
      <w:r w:rsidRPr="003730B5">
        <w:rPr>
          <w:rFonts w:ascii="Times New Roman" w:hAnsi="Times New Roman"/>
          <w:color w:val="auto"/>
          <w:sz w:val="24"/>
        </w:rPr>
        <w:t xml:space="preserve">stanoví poplatníkovi daně z příjmů fyzických osob s příjmy ze závislé činnosti výjimku z povinnosti podat daňové přiznání, pokud by mu povinnost podat daňové přiznání vznikla pouze z důvodu, že jako nezdanitelnou část základu daně uplatňuje hodnotu bezúplatného plnění poskytnutého do zahraničí (viz § 38g odst. 2 zákona o daních z příjmů). Poplatník, který by povinnost podat daňové přiznání měl pouze </w:t>
      </w:r>
      <w:r w:rsidRPr="003730B5">
        <w:rPr>
          <w:rFonts w:ascii="Times New Roman" w:hAnsi="Times New Roman"/>
          <w:color w:val="auto"/>
          <w:sz w:val="24"/>
        </w:rPr>
        <w:lastRenderedPageBreak/>
        <w:t>z důvodu, že uplatňované bezúplatné plnění poskytl Ukrajině prostřednictvím jejího zastupitelského úřadu v České republice, nebude muset daňové přiznání podávat. Tato výjimka se nicméně vztahuje pouze na daňové přiznání za zdaňovací období roku 2022 a na bezúplatná plnění poskytnutá Ukrajině prostřednictvím jejího zastupitelského úřadu na území České republiky v roce 2022. Vzhledem k přetrvávajícímu válečnému konfliktu se navrhuje tuto výjimku prodloužit také ve vztahu k bezúplatným plněním poskytnutým v roce 2023 a na daňové přiznání za zdaňovací období roku 2023.</w:t>
      </w:r>
    </w:p>
    <w:p w14:paraId="52C4C2EB"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 2 odst. 1:</w:t>
      </w:r>
    </w:p>
    <w:p w14:paraId="61769DF1" w14:textId="45DF6445"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Ustanovení § 2 odst. 1 zákona </w:t>
      </w:r>
      <w:r w:rsidR="00A42930" w:rsidRPr="003730B5">
        <w:rPr>
          <w:rFonts w:ascii="Times New Roman" w:hAnsi="Times New Roman"/>
          <w:color w:val="auto"/>
          <w:sz w:val="24"/>
        </w:rPr>
        <w:t>č. </w:t>
      </w:r>
      <w:r w:rsidR="001B6230" w:rsidRPr="003730B5">
        <w:rPr>
          <w:rFonts w:ascii="Times New Roman" w:hAnsi="Times New Roman"/>
          <w:color w:val="auto"/>
          <w:sz w:val="24"/>
        </w:rPr>
        <w:t>128/2022 Sb.</w:t>
      </w:r>
      <w:r w:rsidRPr="003730B5">
        <w:rPr>
          <w:rFonts w:ascii="Times New Roman" w:hAnsi="Times New Roman"/>
          <w:color w:val="auto"/>
          <w:sz w:val="24"/>
        </w:rPr>
        <w:t xml:space="preserve"> upravuje osvobození některých příjmů poplatníků daně z příjmů fyzických osob nad rámec zákona o daních z příjmů. Podle písmene a) se osvobozuje příjem ze závislé činnosti podle § 6 odst. 3 zákona o daních z příjmů a to za podmínky, že cenově zvýhodněné ubytování je poskytováno nejen zaměstnanci, ale taktéž jeho rodinným příslušníkům s bydlištěm na Ukrajině, kteří toto své bydliště z důvodu válečného konfliktu na území Ukrajiny opustili. </w:t>
      </w:r>
    </w:p>
    <w:p w14:paraId="1E9607F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Důvodem přijetí tohoto ustanovení byla nutnost reagovat na řešení bytové situace ukrajinských obyvatel opouštějících Ukrajinu v důsledku válečného konfliktu, přičemž ubytování jim často bylo poskytováno zaměstnavateli jejich rodinných příslušníků. Ze strany zaměstnavatele se přitom vůči nim jednalo o poskytování ubytování z charitativních či humanitárních účelů. Příjem zaměstnance, s nímž za stanovených podmínek sdílí zvýhodněné ubytování poskytované zaměstnavatelem jeho rodinní příslušníci, byl na základě tohoto ustanovení od daně z příjmů zcela osvobozen. Toto osvobození se však vztahuje pouze na příjem z cenově zvýhodněného ubytování ve smyslu § 6 odst. 3 zákona o daních z příjmů poskytovaného ve zdaňovacím období roku 2022. S ohledem na přetrvávající válečný konflikt na území Ukrajiny se toto osvobození navrhuje za dosavadních podmínek prodloužit také na zdaňovací období roku 2023. </w:t>
      </w:r>
    </w:p>
    <w:p w14:paraId="7CBC20EF" w14:textId="7AB8DB7D"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Vzhledem k tomu, že účinnost tohoto zákona nastane v okamžiku, kdy je do výpočtu výše záloh na daň z příjmů fyzických osob ze závislé činnosti srážených v průběhu zdaňovacího období roku 2023 tento osvobozený příjem zahrnován, navrhuje se současně přechodné ustanovení, na základě kterého bude možné, aby se rozdíl, o který úhrn záloh na daň z příjmů fyzických osob ze závislé činnosti sražených ve zdaňovacím období roku 2023 přede dnem nabytí účinnosti tohoto zákona odpovídající úhrnu záloh na daň z příjmu osvobozeného podle § 2 odst. 1 písm. a) zákona </w:t>
      </w:r>
      <w:r w:rsidR="00A42930" w:rsidRPr="003730B5">
        <w:rPr>
          <w:rFonts w:ascii="Times New Roman" w:hAnsi="Times New Roman"/>
          <w:color w:val="auto"/>
          <w:sz w:val="24"/>
        </w:rPr>
        <w:t>č. </w:t>
      </w:r>
      <w:r w:rsidR="001B6230" w:rsidRPr="003730B5">
        <w:rPr>
          <w:rFonts w:ascii="Times New Roman" w:hAnsi="Times New Roman"/>
          <w:color w:val="auto"/>
          <w:sz w:val="24"/>
        </w:rPr>
        <w:t>128/2022 Sb.</w:t>
      </w:r>
      <w:r w:rsidRPr="003730B5">
        <w:rPr>
          <w:rFonts w:ascii="Times New Roman" w:hAnsi="Times New Roman"/>
          <w:color w:val="auto"/>
          <w:sz w:val="24"/>
        </w:rPr>
        <w:t xml:space="preserve"> vrátil poplatníkovi jako přeplatek z ročního zúčtování záloh na daň z příjmů fyzických osob ze závislé činnosti a daňového zvýhodnění, popřípadě aby poplatník, kterému nebylo provedeno roční zúčtování záloh na daň z příjmů fyzických osob ze závislé činnosti a daňového zvýhodnění, uplatnil nárok na vrácení tohoto rozdílu v daňovém přiznání.</w:t>
      </w:r>
    </w:p>
    <w:p w14:paraId="58487658"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Písmeno b) upravuje osvobození bezúplatného příjmu obdrženého za účelem podpory obranného úsilí Ukrajiny z pohledu poplatníka, který je příjemcem tohoto příjmu a představuje tak rozšíření současného výčtu osvobozených bezúplatných příjmů v zákoně o daních z příjmů, podle kterého je možné v souvislosti se situací na Ukrajině osvobodit pouze bezúplatný příjem plynoucí do veřejné sbírky a bezúplatný příjem na humanitární nebo charitativní účely. Toto osvobození se však uplatní pouze na bezúplatné příjmy, které byly poskytnuty v roce 2022. Vzhledem k vývoji válečného konfliktu na území Ukrajiny se navrhuje toto osvobození za stejných podmínek prodloužit i pro bezúplatné příjmy poskytnuté v roce 2023.</w:t>
      </w:r>
    </w:p>
    <w:p w14:paraId="6EF1022E" w14:textId="77777777" w:rsidR="00133AC8" w:rsidRPr="003730B5" w:rsidRDefault="00133AC8" w:rsidP="00133AC8">
      <w:pPr>
        <w:pStyle w:val="Dvodovzprva"/>
        <w:widowControl w:val="0"/>
        <w:outlineLvl w:val="4"/>
        <w:rPr>
          <w:rFonts w:ascii="Times New Roman" w:hAnsi="Times New Roman"/>
          <w:color w:val="auto"/>
          <w:sz w:val="24"/>
          <w:u w:val="single"/>
        </w:rPr>
      </w:pPr>
      <w:r w:rsidRPr="003730B5">
        <w:rPr>
          <w:rFonts w:ascii="Times New Roman" w:hAnsi="Times New Roman"/>
          <w:color w:val="auto"/>
          <w:sz w:val="24"/>
          <w:u w:val="single"/>
        </w:rPr>
        <w:t>K § 3 odst. 1:</w:t>
      </w:r>
    </w:p>
    <w:p w14:paraId="2EED945A" w14:textId="595B9FEF"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Ustanovení § 3 odst. 1 zákona </w:t>
      </w:r>
      <w:r w:rsidR="00A42930" w:rsidRPr="003730B5">
        <w:rPr>
          <w:rFonts w:ascii="Times New Roman" w:hAnsi="Times New Roman"/>
          <w:color w:val="auto"/>
          <w:sz w:val="24"/>
        </w:rPr>
        <w:t>č. </w:t>
      </w:r>
      <w:r w:rsidR="001B6230" w:rsidRPr="003730B5">
        <w:rPr>
          <w:rFonts w:ascii="Times New Roman" w:hAnsi="Times New Roman"/>
          <w:color w:val="auto"/>
          <w:sz w:val="24"/>
        </w:rPr>
        <w:t>128/2022 Sb.</w:t>
      </w:r>
      <w:r w:rsidRPr="003730B5">
        <w:rPr>
          <w:rFonts w:ascii="Times New Roman" w:hAnsi="Times New Roman"/>
          <w:color w:val="auto"/>
          <w:sz w:val="24"/>
        </w:rPr>
        <w:t xml:space="preserve"> rozšiřuje okruh daňově uznatelných výdajů poplatníků daně z příjmů fyzických osob, když umožňuje uznat v základu daně těchto poplatníků také výdaje vynaložené na poskytnutí nepeněžitých darů, pokud byly tyto dary </w:t>
      </w:r>
      <w:r w:rsidRPr="003730B5">
        <w:rPr>
          <w:rFonts w:ascii="Times New Roman" w:hAnsi="Times New Roman"/>
          <w:color w:val="auto"/>
          <w:sz w:val="24"/>
        </w:rPr>
        <w:lastRenderedPageBreak/>
        <w:t xml:space="preserve">poskytnuty za stanovených podmínek. Daňově uznatelnými jsou na základě tohoto ustanovení pouze výdaje na nepeněžité dary, které byly poskytnuty Ukrajině, jejím územně správním celkům, právnickým nebo fyzickým osobám se sídlem nebo bydlištěm na území Ukrajiny, a to v souvislosti s ozbrojeným konfliktem na území Ukrajiny a na účely, pro které lze od základu daně odečíst hodnotu bezúplatného plnění podle § 15 odst. 1, § 20 odst. 8 zákona o daních z příjmů a taktéž § 1 odst. 3 písm. a) zákona </w:t>
      </w:r>
      <w:r w:rsidR="00A42930" w:rsidRPr="003730B5">
        <w:rPr>
          <w:rFonts w:ascii="Times New Roman" w:hAnsi="Times New Roman"/>
          <w:color w:val="auto"/>
          <w:sz w:val="24"/>
        </w:rPr>
        <w:t>č. </w:t>
      </w:r>
      <w:r w:rsidR="001B6230" w:rsidRPr="003730B5">
        <w:rPr>
          <w:rFonts w:ascii="Times New Roman" w:hAnsi="Times New Roman"/>
          <w:color w:val="auto"/>
          <w:sz w:val="24"/>
        </w:rPr>
        <w:t>128/2022 Sb</w:t>
      </w:r>
      <w:r w:rsidRPr="003730B5">
        <w:rPr>
          <w:rFonts w:ascii="Times New Roman" w:hAnsi="Times New Roman"/>
          <w:color w:val="auto"/>
          <w:sz w:val="24"/>
        </w:rPr>
        <w:t>. Výdaje vynaložené na poskytnutí takovýchto nepeněžitých darů jsou však daňově uznatelné pouze tehdy, pokud byly poskytnuty v roce 2022. Vzhledem k účelu tohoto ustanovení, kterým je podpora dobročinné aktivity poplatníků spočívající v poskytování naturálního plnění či služeb, se navrhuje účinnost tohoto ustanovení za dosavadních podmínek prodloužit i na nepeněžité dary, které byly poskytnuty v roce 2023.</w:t>
      </w:r>
    </w:p>
    <w:p w14:paraId="6B60FB10" w14:textId="18BBC474" w:rsidR="00133AC8" w:rsidRPr="003730B5" w:rsidRDefault="00133AC8" w:rsidP="00133AC8">
      <w:pPr>
        <w:widowControl w:val="0"/>
        <w:spacing w:before="240" w:after="120"/>
        <w:outlineLvl w:val="2"/>
        <w:rPr>
          <w:b/>
        </w:rPr>
      </w:pPr>
      <w:r w:rsidRPr="003730B5">
        <w:rPr>
          <w:b/>
        </w:rPr>
        <w:t>K čl. </w:t>
      </w:r>
      <w:r w:rsidR="002C6370" w:rsidRPr="003730B5">
        <w:rPr>
          <w:b/>
        </w:rPr>
        <w:t xml:space="preserve">XCV </w:t>
      </w:r>
      <w:r w:rsidRPr="003730B5">
        <w:rPr>
          <w:b/>
        </w:rPr>
        <w:t>(Přechodné ustanovení)</w:t>
      </w:r>
    </w:p>
    <w:p w14:paraId="028C81C3" w14:textId="1AD6CC36"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Toto přechodné ustanovení navazuje na § 2 odst. 1 písm. a) zákona </w:t>
      </w:r>
      <w:r w:rsidR="00A42930" w:rsidRPr="003730B5">
        <w:rPr>
          <w:rFonts w:ascii="Times New Roman" w:hAnsi="Times New Roman"/>
          <w:color w:val="auto"/>
          <w:sz w:val="24"/>
        </w:rPr>
        <w:t>č. </w:t>
      </w:r>
      <w:r w:rsidR="001B6230" w:rsidRPr="003730B5">
        <w:rPr>
          <w:rFonts w:ascii="Times New Roman" w:hAnsi="Times New Roman"/>
          <w:color w:val="auto"/>
          <w:sz w:val="24"/>
        </w:rPr>
        <w:t>128/2022 Sb.</w:t>
      </w:r>
      <w:r w:rsidRPr="003730B5">
        <w:rPr>
          <w:rFonts w:ascii="Times New Roman" w:hAnsi="Times New Roman"/>
          <w:color w:val="auto"/>
          <w:sz w:val="24"/>
        </w:rPr>
        <w:t xml:space="preserve">, podle kterého je příjem poplatníka daně z příjmů ze závislé činnosti v podobě poskytnutého ubytování zaměstnavatelem za splnění podmínek v tomto ustanovení osvobozen od daně z příjmů. Toto osvobození se nově bude týkat ubytování poskytnutého nejen ve zdaňovacím období roku 2022, ale rovněž ve zdaňovacím období roku 2023. Vzhledem k tomu, že účinnost tohoto zákona nastane v okamžiku, kdy je do výpočtu výše záloh na daň z příjmů fyzických osob ze závislé činnosti srážených v průběhu zdaňovacího období roku 2023 tento osvobozený příjem zahrnován, navrhuje se toto přechodné ustanovení. Na základě tohoto přechodného ustanovení bude možné, aby se rozdíl, o který úhrn záloh na daň z příjmů fyzických osob ze závislé činnosti sražených ve zdaňovacím období roku 2023 přede dnem nabytí účinnosti tohoto zákona odpovídající úhrnu záloh na daň z příjmu osvobozeného podle § 2 odst. 1 písm. a) zákona </w:t>
      </w:r>
      <w:r w:rsidR="00A42930" w:rsidRPr="003730B5">
        <w:rPr>
          <w:rFonts w:ascii="Times New Roman" w:hAnsi="Times New Roman"/>
          <w:color w:val="auto"/>
          <w:sz w:val="24"/>
        </w:rPr>
        <w:t>č. </w:t>
      </w:r>
      <w:r w:rsidR="001B6230" w:rsidRPr="003730B5">
        <w:rPr>
          <w:rFonts w:ascii="Times New Roman" w:hAnsi="Times New Roman"/>
          <w:color w:val="auto"/>
          <w:sz w:val="24"/>
        </w:rPr>
        <w:t>128/2022 Sb.</w:t>
      </w:r>
      <w:r w:rsidRPr="003730B5">
        <w:rPr>
          <w:rFonts w:ascii="Times New Roman" w:hAnsi="Times New Roman"/>
          <w:color w:val="auto"/>
          <w:sz w:val="24"/>
        </w:rPr>
        <w:t xml:space="preserve"> vrátil poplatníkovi jako přeplatek z ročního zúčtování záloh na daň z příjmů fyzických osob ze závislé činnosti a daňového zvýhodnění, popřípadě aby poplatník, kterému nebylo provedeno roční zúčtování záloh na daň z příjmů fyzických osob ze závislé činnosti a daňového zvýhodnění, uplatnil nárok na vrácení tohoto rozdílu v daňovém přiznání. </w:t>
      </w:r>
    </w:p>
    <w:p w14:paraId="635ACD82" w14:textId="31E693F2"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Účelem tohoto přechodného ustanovení je zamezit vzniku nedůvodné administrativní zátěže plátců, kteří sráží a odvádějí zálohy na daň z příjmů fyzických osob ze závislé činnosti a poskytují svým zaměstnancům zvýhodněné ubytování ve smyslu § 6 odst. 3 zákona o daních z příjmů, a kteří by v případě absence tohoto přechodného ustanovení museli v souladu s § 38i odst. 1 zákona o daních z příjmů zpětně provést úpravu výše jednotlivých záloh sražených přede dnem účinnosti tohoto zákona ve vyšší výši z důvodu osvobození podle § 2 odst. 1 písm. a) zákona </w:t>
      </w:r>
      <w:r w:rsidR="00A42930" w:rsidRPr="003730B5">
        <w:rPr>
          <w:rFonts w:ascii="Times New Roman" w:hAnsi="Times New Roman"/>
          <w:color w:val="auto"/>
          <w:sz w:val="24"/>
        </w:rPr>
        <w:t>č. </w:t>
      </w:r>
      <w:r w:rsidR="001B6230" w:rsidRPr="003730B5">
        <w:rPr>
          <w:rFonts w:ascii="Times New Roman" w:hAnsi="Times New Roman"/>
          <w:color w:val="auto"/>
          <w:sz w:val="24"/>
        </w:rPr>
        <w:t>128/2022 Sb</w:t>
      </w:r>
      <w:r w:rsidRPr="003730B5">
        <w:rPr>
          <w:rFonts w:ascii="Times New Roman" w:hAnsi="Times New Roman"/>
          <w:color w:val="auto"/>
          <w:sz w:val="24"/>
        </w:rPr>
        <w:t>. V případě záloh na daň z příjmů fyzických osob ze závislé činnosti sražených přede dnem nabytí účinnosti tohoto zákona tedy není plátce povinen výši sražených záloh zpětně upravovat a vypořádání přeplatků na zálohách bude provedeno po skončení zdaňovacího období způsobem odpovídajícím tomu, zda se jedná o poplatníka, kterému bylo provedeno roční zúčtování záloh na daň z příjmů fyzických osob ze závislé činnosti, nebo o poplatníka, který podává daňové přiznání.</w:t>
      </w:r>
    </w:p>
    <w:p w14:paraId="2D8AF2DC" w14:textId="77777777" w:rsidR="00133AC8" w:rsidRPr="003730B5" w:rsidRDefault="00133AC8" w:rsidP="00133AC8">
      <w:pPr>
        <w:widowControl w:val="0"/>
        <w:spacing w:before="240" w:after="120"/>
        <w:outlineLvl w:val="1"/>
        <w:rPr>
          <w:b/>
          <w:sz w:val="28"/>
        </w:rPr>
      </w:pPr>
      <w:r w:rsidRPr="003730B5">
        <w:rPr>
          <w:b/>
          <w:sz w:val="28"/>
        </w:rPr>
        <w:t>K části padesáté šesté – Změna zákona, kterým se mění zákon č. 56/2001 Sb., o podmínkách provozu vozidel na pozemních komunikacích a o změně zákona č. 168/1999 Sb., o pojištění odpovědnosti za škodu způsobenou provozem vozidla a o změně některých souvisejících zákonů (zákon o pojištění odpovědnosti z provozu vozidla), ve znění zákona č. 307/1999 Sb., ve znění pozdějších předpisů, a další související zákony</w:t>
      </w:r>
    </w:p>
    <w:p w14:paraId="4693AB5A" w14:textId="51FCB91D" w:rsidR="00133AC8" w:rsidRPr="003730B5" w:rsidRDefault="00133AC8" w:rsidP="00133AC8">
      <w:pPr>
        <w:widowControl w:val="0"/>
        <w:spacing w:after="120"/>
        <w:outlineLvl w:val="2"/>
        <w:rPr>
          <w:b/>
          <w:szCs w:val="24"/>
        </w:rPr>
      </w:pPr>
      <w:r w:rsidRPr="003730B5">
        <w:rPr>
          <w:b/>
        </w:rPr>
        <w:t>K čl. </w:t>
      </w:r>
      <w:r w:rsidR="002C6370" w:rsidRPr="003730B5">
        <w:rPr>
          <w:b/>
        </w:rPr>
        <w:t>XCVI</w:t>
      </w:r>
    </w:p>
    <w:p w14:paraId="2A2175D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lastRenderedPageBreak/>
        <w:t>Na základě článku 54 odst. 9 písm. a) Legislativních pravidel vlády se vzhledem ke kolizní úpravě ustanovení § 14a zákona o dani silniční ustanovení v tomto právním předpisu a v zákoně č. 432/2022 Sb. ustanovení upravené v zákoně č. 432/2022 Sb. ruší.</w:t>
      </w:r>
    </w:p>
    <w:p w14:paraId="60B259EC" w14:textId="77777777" w:rsidR="00133AC8" w:rsidRPr="003730B5" w:rsidRDefault="00133AC8" w:rsidP="00133AC8">
      <w:pPr>
        <w:widowControl w:val="0"/>
        <w:spacing w:before="240" w:after="120"/>
        <w:outlineLvl w:val="1"/>
        <w:rPr>
          <w:b/>
          <w:sz w:val="28"/>
        </w:rPr>
      </w:pPr>
      <w:r w:rsidRPr="003730B5">
        <w:rPr>
          <w:b/>
          <w:sz w:val="28"/>
        </w:rPr>
        <w:t>K části padesáté sedmé – Změna zákona o preventivní restrukturalizaci (sněmovní tisk č. 371)</w:t>
      </w:r>
    </w:p>
    <w:p w14:paraId="3530A201" w14:textId="77777777" w:rsidR="00133AC8" w:rsidRPr="003730B5" w:rsidRDefault="00133AC8" w:rsidP="00133AC8">
      <w:pPr>
        <w:pStyle w:val="Dvodovzprva"/>
        <w:widowControl w:val="0"/>
        <w:spacing w:before="0" w:after="120"/>
        <w:outlineLvl w:val="9"/>
        <w:rPr>
          <w:rFonts w:ascii="Times New Roman" w:hAnsi="Times New Roman"/>
          <w:color w:val="auto"/>
          <w:sz w:val="24"/>
        </w:rPr>
      </w:pPr>
      <w:r w:rsidRPr="003730B5">
        <w:rPr>
          <w:rFonts w:ascii="Times New Roman" w:hAnsi="Times New Roman"/>
          <w:color w:val="auto"/>
          <w:sz w:val="24"/>
        </w:rPr>
        <w:t>V rámci této části je řešen převod kompetence k vymáhání tzv. justičních pohledávek na orgány Celní správy České republiky. V podrobnostech lze odkázat na odůvodnění novely trestního řádu.</w:t>
      </w:r>
    </w:p>
    <w:p w14:paraId="25C3D017" w14:textId="21BF9F42" w:rsidR="00133AC8" w:rsidRPr="003730B5" w:rsidRDefault="00133AC8" w:rsidP="00133AC8">
      <w:pPr>
        <w:widowControl w:val="0"/>
        <w:spacing w:after="120"/>
        <w:outlineLvl w:val="2"/>
        <w:rPr>
          <w:b/>
          <w:szCs w:val="24"/>
        </w:rPr>
      </w:pPr>
      <w:r w:rsidRPr="003730B5">
        <w:rPr>
          <w:b/>
        </w:rPr>
        <w:t>K čl. </w:t>
      </w:r>
      <w:r w:rsidR="002C6370" w:rsidRPr="003730B5">
        <w:rPr>
          <w:b/>
        </w:rPr>
        <w:t xml:space="preserve">XCVII </w:t>
      </w:r>
      <w:r w:rsidRPr="003730B5">
        <w:rPr>
          <w:b/>
          <w:szCs w:val="24"/>
        </w:rPr>
        <w:t>(§ 120)</w:t>
      </w:r>
    </w:p>
    <w:p w14:paraId="6412C005" w14:textId="75C67E9B"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 souladu s obecnou částí důvodové zprávy se vypouští speciální ustanovení o příslušnosti k vybírání a vymáhání pokut uložených za přestupky podle zákona o preventivní restrukturalizaci. Díky tomu se tedy uplatní obecná úprava, kdy vybírat tyto pokuty bude Ministerstvo spravedlnosti jakožto orgán, který tyto pokuty uložil, vymáhat je budou </w:t>
      </w:r>
      <w:r w:rsidR="000C744B" w:rsidRPr="003730B5">
        <w:rPr>
          <w:rFonts w:ascii="Times New Roman" w:hAnsi="Times New Roman"/>
          <w:color w:val="auto"/>
          <w:sz w:val="24"/>
        </w:rPr>
        <w:t xml:space="preserve">orgány </w:t>
      </w:r>
      <w:r w:rsidRPr="003730B5">
        <w:rPr>
          <w:rFonts w:ascii="Times New Roman" w:hAnsi="Times New Roman"/>
          <w:color w:val="auto"/>
          <w:sz w:val="24"/>
        </w:rPr>
        <w:t xml:space="preserve">Celní správy České republiky (viz obecná část důvodové zprávy).  </w:t>
      </w:r>
    </w:p>
    <w:p w14:paraId="3E5D6C76" w14:textId="3634C6E2" w:rsidR="00133AC8" w:rsidRPr="003730B5" w:rsidRDefault="00133AC8" w:rsidP="00133AC8">
      <w:pPr>
        <w:widowControl w:val="0"/>
        <w:spacing w:before="240" w:after="120"/>
        <w:outlineLvl w:val="2"/>
        <w:rPr>
          <w:b/>
        </w:rPr>
      </w:pPr>
      <w:r w:rsidRPr="003730B5">
        <w:rPr>
          <w:b/>
        </w:rPr>
        <w:t>K čl. </w:t>
      </w:r>
      <w:r w:rsidR="002C6370" w:rsidRPr="003730B5">
        <w:rPr>
          <w:b/>
        </w:rPr>
        <w:t xml:space="preserve">XCVIII </w:t>
      </w:r>
      <w:r w:rsidRPr="003730B5">
        <w:rPr>
          <w:b/>
        </w:rPr>
        <w:t>(Přechodná ustanovení)</w:t>
      </w:r>
    </w:p>
    <w:p w14:paraId="2116D33F"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K vymáhání pokut podle zákona o preventivní restrukturalizaci bude celní úřad příslušný ode dne nabytí účinnosti tohoto zákona v případě těch pohledávek, které vzniknou ode dne nabytí účinnosti tohoto zákona.</w:t>
      </w:r>
    </w:p>
    <w:p w14:paraId="03B2CC57"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K vymáhání pokut podle zákona o preventivní restrukturalizaci, které vznikly přede dnem nabytí účinnosti tohoto zákona, nebyly však předány k vymáhání soudnímu exekutorovi nebo přihlášeny do veřejné dražby podle § 175 odst. 1 daňového řádu, bude celní úřad příslušný ode dne převzetí jejich vymáhání. Nebyla-li daňová exekuce pro takovou pohledávku ke dni nabytí účinnosti tohoto zákona nařízena vydáním exekučního příkazu, předá orgán, který je příslušný k jejímu vymáhání podle stávající právní úpravy, pohledávku k vymáhání celnímu úřadu bez zbytečného odkladu, nejpozději do 30. 6. 2024. Byla-li ke dni nabytí účinnosti tohoto zákona pro pohledávku nařízena daňová exekuce vydáním exekučního příkazu, postupují orgány příslušné k jejímu vymáhání podle stávající právní úpravy k jejímu vymožení. Pohledávky, které tímto postupem nebudou zcela vymoženy, předá orgán příslušný k jejich vymáhání podle stávající právní úpravy k vymáhání celnímu úřadu do 31. 12. 2024. </w:t>
      </w:r>
    </w:p>
    <w:p w14:paraId="7D55DEC6" w14:textId="77777777" w:rsidR="00133AC8" w:rsidRPr="003730B5" w:rsidRDefault="00133AC8" w:rsidP="00133AC8">
      <w:pPr>
        <w:pStyle w:val="Dvodovzprva"/>
        <w:widowControl w:val="0"/>
        <w:outlineLvl w:val="9"/>
        <w:rPr>
          <w:rFonts w:ascii="Times New Roman" w:hAnsi="Times New Roman"/>
          <w:color w:val="auto"/>
          <w:sz w:val="24"/>
        </w:rPr>
      </w:pPr>
      <w:r w:rsidRPr="003730B5">
        <w:rPr>
          <w:rFonts w:ascii="Times New Roman" w:hAnsi="Times New Roman"/>
          <w:color w:val="auto"/>
          <w:sz w:val="24"/>
        </w:rPr>
        <w:t>Příslušnost k vymáhání pohledávek, které vznikly přede dnem účinnosti tohoto zákona a byly předány k vymáhání soudnímu exekutorovi nebo přihlášeny do veřejné dražby podle § 175 odst. 1 daňového řádu, se z procesních důvodů nemění.</w:t>
      </w:r>
    </w:p>
    <w:p w14:paraId="62504278" w14:textId="77777777" w:rsidR="00133AC8" w:rsidRPr="003730B5" w:rsidRDefault="00133AC8" w:rsidP="00133AC8">
      <w:pPr>
        <w:widowControl w:val="0"/>
        <w:spacing w:before="240" w:after="120"/>
        <w:outlineLvl w:val="1"/>
        <w:rPr>
          <w:rFonts w:eastAsiaTheme="minorHAnsi"/>
          <w:szCs w:val="24"/>
          <w:lang w:eastAsia="en-US"/>
        </w:rPr>
      </w:pPr>
      <w:r w:rsidRPr="003730B5">
        <w:rPr>
          <w:b/>
          <w:sz w:val="28"/>
        </w:rPr>
        <w:t>K části padesáté osmé – Účinnost</w:t>
      </w:r>
    </w:p>
    <w:p w14:paraId="3C12EF34" w14:textId="529BB997" w:rsidR="00133AC8" w:rsidRPr="003730B5" w:rsidRDefault="00133AC8" w:rsidP="00133AC8">
      <w:pPr>
        <w:widowControl w:val="0"/>
        <w:spacing w:after="120"/>
        <w:outlineLvl w:val="2"/>
        <w:rPr>
          <w:b/>
        </w:rPr>
      </w:pPr>
      <w:r w:rsidRPr="003730B5">
        <w:rPr>
          <w:b/>
        </w:rPr>
        <w:t>K čl. </w:t>
      </w:r>
      <w:r w:rsidR="002C6370" w:rsidRPr="003730B5">
        <w:rPr>
          <w:b/>
        </w:rPr>
        <w:t>XCIX</w:t>
      </w:r>
    </w:p>
    <w:p w14:paraId="74E4E531" w14:textId="5AF3FC63" w:rsidR="00455CA9" w:rsidRPr="003730B5" w:rsidRDefault="00455CA9" w:rsidP="00455CA9">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Základní účinnost návrhu zákona se navrhuje stanovit dnem 1. </w:t>
      </w:r>
      <w:r w:rsidR="00D6156C" w:rsidRPr="003730B5">
        <w:rPr>
          <w:rFonts w:ascii="Times New Roman" w:hAnsi="Times New Roman"/>
          <w:color w:val="auto"/>
          <w:sz w:val="24"/>
        </w:rPr>
        <w:t>1.</w:t>
      </w:r>
      <w:r w:rsidRPr="003730B5">
        <w:rPr>
          <w:rFonts w:ascii="Times New Roman" w:hAnsi="Times New Roman"/>
          <w:color w:val="auto"/>
          <w:sz w:val="24"/>
        </w:rPr>
        <w:t xml:space="preserve"> 2024 s některými výjimkami.</w:t>
      </w:r>
    </w:p>
    <w:p w14:paraId="0C399059" w14:textId="0513567E" w:rsidR="00455CA9" w:rsidRPr="003730B5" w:rsidRDefault="00455CA9" w:rsidP="00455CA9">
      <w:pPr>
        <w:widowControl w:val="0"/>
        <w:spacing w:before="240" w:after="120"/>
        <w:outlineLvl w:val="3"/>
        <w:rPr>
          <w:u w:val="single"/>
        </w:rPr>
      </w:pPr>
      <w:r w:rsidRPr="003730B5">
        <w:rPr>
          <w:u w:val="single"/>
        </w:rPr>
        <w:t xml:space="preserve">Zákon </w:t>
      </w:r>
      <w:r w:rsidR="00A42930" w:rsidRPr="003730B5">
        <w:rPr>
          <w:u w:val="single"/>
        </w:rPr>
        <w:t>o </w:t>
      </w:r>
      <w:r w:rsidRPr="003730B5">
        <w:rPr>
          <w:u w:val="single"/>
        </w:rPr>
        <w:t>dani z nemovitých věcí:</w:t>
      </w:r>
    </w:p>
    <w:p w14:paraId="17637070" w14:textId="36642B6F" w:rsidR="00455CA9" w:rsidRPr="003730B5" w:rsidRDefault="00455CA9" w:rsidP="00455CA9">
      <w:pPr>
        <w:pStyle w:val="Dvodovzprva"/>
        <w:widowControl w:val="0"/>
        <w:outlineLvl w:val="9"/>
        <w:rPr>
          <w:rFonts w:ascii="Times New Roman" w:hAnsi="Times New Roman"/>
          <w:color w:val="auto"/>
          <w:sz w:val="24"/>
        </w:rPr>
      </w:pPr>
      <w:r w:rsidRPr="003730B5">
        <w:rPr>
          <w:rFonts w:ascii="Times New Roman" w:hAnsi="Times New Roman"/>
          <w:color w:val="auto"/>
          <w:sz w:val="24"/>
        </w:rPr>
        <w:t>V souladu s ustálenou praxí v daňové oblasti dochází k nabytí účinnosti tohoto zákona od 1. </w:t>
      </w:r>
      <w:r w:rsidR="00D6156C" w:rsidRPr="003730B5">
        <w:rPr>
          <w:rFonts w:ascii="Times New Roman" w:hAnsi="Times New Roman"/>
          <w:color w:val="auto"/>
          <w:sz w:val="24"/>
        </w:rPr>
        <w:t>1.</w:t>
      </w:r>
      <w:r w:rsidRPr="003730B5">
        <w:rPr>
          <w:rFonts w:ascii="Times New Roman" w:hAnsi="Times New Roman"/>
          <w:color w:val="auto"/>
          <w:sz w:val="24"/>
        </w:rPr>
        <w:t xml:space="preserve"> 2024. Ustanovení čl. XII bodů 3, 4 a </w:t>
      </w:r>
      <w:r w:rsidR="00B91D11" w:rsidRPr="003730B5">
        <w:rPr>
          <w:rFonts w:ascii="Times New Roman" w:hAnsi="Times New Roman"/>
          <w:color w:val="auto"/>
          <w:sz w:val="24"/>
        </w:rPr>
        <w:t>5</w:t>
      </w:r>
      <w:r w:rsidRPr="003730B5">
        <w:rPr>
          <w:rFonts w:ascii="Times New Roman" w:hAnsi="Times New Roman"/>
          <w:color w:val="auto"/>
          <w:sz w:val="24"/>
        </w:rPr>
        <w:t xml:space="preserve"> nicméně mají odloženou účinnost k 1. lednu 2025. V případě zrušení možnosti snížení koeficientů ve smyslu § 6 odst. 3 a § 11 odst. 3 zákona o dani z nemovitých věcí je k tomuto kroku přistoupeno z důvodu, že obce by neměly čas reagovat na toto omezení případnými změnami v místních koeficientech. Zároveň zrušení navazuje na nový podtyp místního koeficientu pro skupinu nemovitých věcí, který je zaváděn </w:t>
      </w:r>
      <w:r w:rsidRPr="003730B5">
        <w:rPr>
          <w:rFonts w:ascii="Times New Roman" w:hAnsi="Times New Roman"/>
          <w:color w:val="auto"/>
          <w:sz w:val="24"/>
        </w:rPr>
        <w:lastRenderedPageBreak/>
        <w:t>v rámci souběžné (již vypořádané) novely, jehož účinnost je navrhována taktéž až od 1. </w:t>
      </w:r>
      <w:r w:rsidR="00D6156C" w:rsidRPr="003730B5">
        <w:rPr>
          <w:rFonts w:ascii="Times New Roman" w:hAnsi="Times New Roman"/>
          <w:color w:val="auto"/>
          <w:sz w:val="24"/>
        </w:rPr>
        <w:t>1.</w:t>
      </w:r>
      <w:r w:rsidRPr="003730B5">
        <w:rPr>
          <w:rFonts w:ascii="Times New Roman" w:hAnsi="Times New Roman"/>
          <w:color w:val="auto"/>
          <w:sz w:val="24"/>
        </w:rPr>
        <w:t xml:space="preserve"> 2025.</w:t>
      </w:r>
    </w:p>
    <w:p w14:paraId="5CDD44D0" w14:textId="0B7A4156" w:rsidR="00455CA9" w:rsidRPr="003730B5" w:rsidRDefault="00455CA9" w:rsidP="00455CA9">
      <w:pPr>
        <w:widowControl w:val="0"/>
        <w:spacing w:before="240" w:after="120"/>
        <w:outlineLvl w:val="3"/>
        <w:rPr>
          <w:u w:val="single"/>
        </w:rPr>
      </w:pPr>
      <w:r w:rsidRPr="003730B5">
        <w:rPr>
          <w:u w:val="single"/>
        </w:rPr>
        <w:t xml:space="preserve">Zákon </w:t>
      </w:r>
      <w:r w:rsidR="00A42930" w:rsidRPr="003730B5">
        <w:rPr>
          <w:u w:val="single"/>
        </w:rPr>
        <w:t>o </w:t>
      </w:r>
      <w:r w:rsidRPr="003730B5">
        <w:rPr>
          <w:u w:val="single"/>
        </w:rPr>
        <w:t>pozemních komunikacích:</w:t>
      </w:r>
    </w:p>
    <w:p w14:paraId="2FA5CE62" w14:textId="3B0F295A" w:rsidR="00455CA9" w:rsidRPr="003730B5" w:rsidRDefault="00455CA9" w:rsidP="00455CA9">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stanovit účinnost navrženého zákona (až na 2 drobné výjimky) k 1. březnu 2024, a to s ohledem na závazky vyplývající České republice z jejího členství v Evropské unii a dobu potřebnou pro faktickou implementaci navržených změn. Naléhavým obecným zájmem odůvodňujícím odchylku od požadavku na jednotná data účinnosti právních předpisů, jenž stanoví § 3 odst. 3 zákona č. 309/1999 Sb., o Sbírce zákonů a o Sbírce mezinárodních smluv, ve znění pozdějších předpisů, ale rovněž § 9 odst. 2 zákona č. 222/2016 Sb., o Sbírce zákonů a mezinárodních smluv a o tvorbě právních předpisů vyhlašovaných ve Sbírce zákonů a mezinárodních smluv (zákon o Sbírce zákonů a mezinárodních smluv), ve znění pozdějších předpisů, který nabyde účinnosti 1. </w:t>
      </w:r>
      <w:r w:rsidR="00D6156C" w:rsidRPr="003730B5">
        <w:rPr>
          <w:rFonts w:ascii="Times New Roman" w:hAnsi="Times New Roman"/>
          <w:color w:val="auto"/>
          <w:sz w:val="24"/>
        </w:rPr>
        <w:t>1.</w:t>
      </w:r>
      <w:r w:rsidRPr="003730B5">
        <w:rPr>
          <w:rFonts w:ascii="Times New Roman" w:hAnsi="Times New Roman"/>
          <w:color w:val="auto"/>
          <w:sz w:val="24"/>
        </w:rPr>
        <w:t xml:space="preserve"> 2024 (tedy ještě před předpokládaným nabytím účinnosti předloženého návrhu zákona), je tedy zejména zajištění včasného přijetí potřebné transpoziční právní úpravy ve vztahu k relevantnímu unijnímu předpisu. Transpoziční lhůta směrnice (EU) 2022/362 totiž uplyne 25. </w:t>
      </w:r>
      <w:r w:rsidR="00820D28" w:rsidRPr="003730B5">
        <w:rPr>
          <w:rFonts w:ascii="Times New Roman" w:hAnsi="Times New Roman"/>
          <w:color w:val="auto"/>
          <w:sz w:val="24"/>
        </w:rPr>
        <w:t xml:space="preserve">3. </w:t>
      </w:r>
      <w:r w:rsidRPr="003730B5">
        <w:rPr>
          <w:rFonts w:ascii="Times New Roman" w:hAnsi="Times New Roman"/>
          <w:color w:val="auto"/>
          <w:sz w:val="24"/>
        </w:rPr>
        <w:t>2024 (viz čl. 4).</w:t>
      </w:r>
    </w:p>
    <w:p w14:paraId="06EB51E2" w14:textId="02B5316C" w:rsidR="00455CA9" w:rsidRPr="003730B5" w:rsidRDefault="00455CA9" w:rsidP="00455CA9">
      <w:pPr>
        <w:widowControl w:val="0"/>
        <w:spacing w:before="240" w:after="120"/>
        <w:outlineLvl w:val="3"/>
        <w:rPr>
          <w:u w:val="single"/>
        </w:rPr>
      </w:pPr>
      <w:r w:rsidRPr="003730B5">
        <w:rPr>
          <w:u w:val="single"/>
        </w:rPr>
        <w:t xml:space="preserve">Zákon </w:t>
      </w:r>
      <w:r w:rsidR="00A42930" w:rsidRPr="003730B5">
        <w:rPr>
          <w:u w:val="single"/>
        </w:rPr>
        <w:t>o </w:t>
      </w:r>
      <w:r w:rsidRPr="003730B5">
        <w:rPr>
          <w:u w:val="single"/>
        </w:rPr>
        <w:t>rozpočtovém určení daní:</w:t>
      </w:r>
    </w:p>
    <w:p w14:paraId="0CB0FB22" w14:textId="4FB2426D" w:rsidR="00455CA9" w:rsidRPr="003730B5" w:rsidRDefault="00455CA9" w:rsidP="00455CA9">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dělená účinnost novely zákona v návaznosti na postupný náběh finančních dopadů spojených se změnami v zákoně o daních z příjmů. Změna zákona o rozpočtovém určení daní má nabýt účinnosti k 1. lednu 2024, s výjimkou ustanovení čl. XXXIX bodů 3 a 6, která nabývají účinnosti dnem 1. </w:t>
      </w:r>
      <w:r w:rsidR="00D6156C" w:rsidRPr="003730B5">
        <w:rPr>
          <w:rFonts w:ascii="Times New Roman" w:hAnsi="Times New Roman"/>
          <w:color w:val="auto"/>
          <w:sz w:val="24"/>
        </w:rPr>
        <w:t>1.</w:t>
      </w:r>
      <w:r w:rsidRPr="003730B5">
        <w:rPr>
          <w:rFonts w:ascii="Times New Roman" w:hAnsi="Times New Roman"/>
          <w:color w:val="auto"/>
          <w:sz w:val="24"/>
        </w:rPr>
        <w:t xml:space="preserve"> 2025.</w:t>
      </w:r>
    </w:p>
    <w:p w14:paraId="7C9F0B62" w14:textId="7A6A10D9" w:rsidR="00455CA9" w:rsidRPr="003730B5" w:rsidRDefault="00455CA9" w:rsidP="00455CA9">
      <w:pPr>
        <w:widowControl w:val="0"/>
        <w:spacing w:before="240" w:after="120"/>
        <w:outlineLvl w:val="3"/>
        <w:rPr>
          <w:u w:val="single"/>
        </w:rPr>
      </w:pPr>
      <w:r w:rsidRPr="003730B5">
        <w:rPr>
          <w:u w:val="single"/>
        </w:rPr>
        <w:t xml:space="preserve">Zákon </w:t>
      </w:r>
      <w:r w:rsidR="00A42930" w:rsidRPr="003730B5">
        <w:rPr>
          <w:u w:val="single"/>
        </w:rPr>
        <w:t>o </w:t>
      </w:r>
      <w:r w:rsidRPr="003730B5">
        <w:rPr>
          <w:u w:val="single"/>
        </w:rPr>
        <w:t>spotřebních daních</w:t>
      </w:r>
    </w:p>
    <w:p w14:paraId="7C84AC1A" w14:textId="626C54B8" w:rsidR="00455CA9" w:rsidRPr="003730B5" w:rsidRDefault="00455CA9" w:rsidP="00455CA9">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standardní rozdělení termínů nabytí účinnosti jednotlivých ustanovení novely zákona </w:t>
      </w:r>
      <w:r w:rsidR="00A42930" w:rsidRPr="003730B5">
        <w:rPr>
          <w:rFonts w:ascii="Times New Roman" w:hAnsi="Times New Roman"/>
          <w:color w:val="auto"/>
          <w:sz w:val="24"/>
        </w:rPr>
        <w:t>o </w:t>
      </w:r>
      <w:r w:rsidRPr="003730B5">
        <w:rPr>
          <w:rFonts w:ascii="Times New Roman" w:hAnsi="Times New Roman"/>
          <w:color w:val="auto"/>
          <w:sz w:val="24"/>
        </w:rPr>
        <w:t xml:space="preserve">spotřebních daních </w:t>
      </w:r>
      <w:r w:rsidR="00A42930" w:rsidRPr="003730B5">
        <w:rPr>
          <w:rFonts w:ascii="Times New Roman" w:hAnsi="Times New Roman"/>
          <w:color w:val="auto"/>
          <w:sz w:val="24"/>
        </w:rPr>
        <w:t>v </w:t>
      </w:r>
      <w:r w:rsidRPr="003730B5">
        <w:rPr>
          <w:rFonts w:ascii="Times New Roman" w:hAnsi="Times New Roman"/>
          <w:color w:val="auto"/>
          <w:sz w:val="24"/>
        </w:rPr>
        <w:t>případech, kde dochází k postupnému zvyšování sazby určité spotřební daně.</w:t>
      </w:r>
    </w:p>
    <w:p w14:paraId="08CB6B3E" w14:textId="32F3F3A6" w:rsidR="00455CA9" w:rsidRPr="003730B5" w:rsidRDefault="00455CA9" w:rsidP="00455CA9">
      <w:pPr>
        <w:widowControl w:val="0"/>
        <w:spacing w:before="240" w:after="120"/>
        <w:outlineLvl w:val="3"/>
        <w:rPr>
          <w:u w:val="single"/>
        </w:rPr>
      </w:pPr>
      <w:r w:rsidRPr="003730B5">
        <w:rPr>
          <w:u w:val="single"/>
        </w:rPr>
        <w:t xml:space="preserve">Zákon </w:t>
      </w:r>
      <w:r w:rsidR="00A42930" w:rsidRPr="003730B5">
        <w:rPr>
          <w:u w:val="single"/>
        </w:rPr>
        <w:t>o </w:t>
      </w:r>
      <w:r w:rsidRPr="003730B5">
        <w:rPr>
          <w:u w:val="single"/>
        </w:rPr>
        <w:t xml:space="preserve">Celní správě České republiky </w:t>
      </w:r>
      <w:r w:rsidR="00A42930" w:rsidRPr="003730B5">
        <w:rPr>
          <w:u w:val="single"/>
        </w:rPr>
        <w:t>a </w:t>
      </w:r>
      <w:r w:rsidRPr="003730B5">
        <w:rPr>
          <w:u w:val="single"/>
        </w:rPr>
        <w:t>zákony související</w:t>
      </w:r>
    </w:p>
    <w:p w14:paraId="7EDDDE7F" w14:textId="04AB3C8C" w:rsidR="00455CA9" w:rsidRPr="003730B5" w:rsidRDefault="00455CA9" w:rsidP="00455CA9">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Snížení počtu celních úřadů, resp. územní reorganizace soustavy orgánů Celní správy České republiky, která je návrhem uvedených novel předpokládána, vyžaduje nezbytnou legisvakanční lhůtu pro přípravu její realizace, zejména v otázkách přípravy informačních systémů, dislokace </w:t>
      </w:r>
      <w:r w:rsidR="00A42930" w:rsidRPr="003730B5">
        <w:rPr>
          <w:rFonts w:ascii="Times New Roman" w:hAnsi="Times New Roman"/>
          <w:color w:val="auto"/>
          <w:sz w:val="24"/>
        </w:rPr>
        <w:t>i </w:t>
      </w:r>
      <w:r w:rsidRPr="003730B5">
        <w:rPr>
          <w:rFonts w:ascii="Times New Roman" w:hAnsi="Times New Roman"/>
          <w:color w:val="auto"/>
          <w:sz w:val="24"/>
        </w:rPr>
        <w:t>personálních otázek. Navrhuje se proto uvedenou změnu realizovat k 1. </w:t>
      </w:r>
      <w:r w:rsidR="00820D28" w:rsidRPr="003730B5">
        <w:rPr>
          <w:rFonts w:ascii="Times New Roman" w:hAnsi="Times New Roman"/>
          <w:color w:val="auto"/>
          <w:sz w:val="24"/>
        </w:rPr>
        <w:t>7.</w:t>
      </w:r>
      <w:r w:rsidRPr="003730B5">
        <w:rPr>
          <w:rFonts w:ascii="Times New Roman" w:hAnsi="Times New Roman"/>
          <w:color w:val="auto"/>
          <w:sz w:val="24"/>
        </w:rPr>
        <w:t xml:space="preserve"> 2025. </w:t>
      </w:r>
    </w:p>
    <w:p w14:paraId="20AD9816" w14:textId="4F34CB8F" w:rsidR="00455CA9" w:rsidRPr="003730B5" w:rsidRDefault="00455CA9" w:rsidP="00455CA9">
      <w:pPr>
        <w:widowControl w:val="0"/>
        <w:spacing w:before="240" w:after="120"/>
        <w:outlineLvl w:val="3"/>
        <w:rPr>
          <w:u w:val="single"/>
        </w:rPr>
      </w:pPr>
      <w:r w:rsidRPr="003730B5">
        <w:rPr>
          <w:u w:val="single"/>
        </w:rPr>
        <w:t xml:space="preserve">Zákon </w:t>
      </w:r>
      <w:r w:rsidR="00A42930" w:rsidRPr="003730B5">
        <w:rPr>
          <w:u w:val="single"/>
        </w:rPr>
        <w:t>o </w:t>
      </w:r>
      <w:r w:rsidRPr="003730B5">
        <w:rPr>
          <w:u w:val="single"/>
        </w:rPr>
        <w:t>přestupcích:</w:t>
      </w:r>
    </w:p>
    <w:p w14:paraId="3EB057D6" w14:textId="383E7E62" w:rsidR="00455CA9" w:rsidRPr="003730B5" w:rsidRDefault="00455CA9" w:rsidP="00455CA9">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Navrhuje se nabytí účinnosti dnem 1. </w:t>
      </w:r>
      <w:r w:rsidR="00D6156C" w:rsidRPr="003730B5">
        <w:rPr>
          <w:rFonts w:ascii="Times New Roman" w:hAnsi="Times New Roman"/>
          <w:color w:val="auto"/>
          <w:sz w:val="24"/>
        </w:rPr>
        <w:t>1.</w:t>
      </w:r>
      <w:r w:rsidRPr="003730B5">
        <w:rPr>
          <w:rFonts w:ascii="Times New Roman" w:hAnsi="Times New Roman"/>
          <w:color w:val="auto"/>
          <w:sz w:val="24"/>
        </w:rPr>
        <w:t xml:space="preserve"> 2025, aby byla zajištěna dostatečná časová rezerva na zabezpečení materiálního a technického vybavení orgánů Policie České republiky a Celní správy České republiky nezbytného pro realizaci digitalizace příkazního řízení na místě.  </w:t>
      </w:r>
    </w:p>
    <w:p w14:paraId="0E269066" w14:textId="260329CF" w:rsidR="00455CA9" w:rsidRPr="003730B5" w:rsidRDefault="00455CA9" w:rsidP="00455CA9">
      <w:pPr>
        <w:widowControl w:val="0"/>
        <w:spacing w:before="240" w:after="120"/>
        <w:outlineLvl w:val="3"/>
        <w:rPr>
          <w:u w:val="single"/>
        </w:rPr>
      </w:pPr>
      <w:r w:rsidRPr="003730B5">
        <w:rPr>
          <w:u w:val="single"/>
        </w:rPr>
        <w:t xml:space="preserve">Zákon </w:t>
      </w:r>
      <w:r w:rsidR="00A42930" w:rsidRPr="003730B5">
        <w:rPr>
          <w:u w:val="single"/>
        </w:rPr>
        <w:t>o </w:t>
      </w:r>
      <w:r w:rsidRPr="003730B5">
        <w:rPr>
          <w:u w:val="single"/>
        </w:rPr>
        <w:t xml:space="preserve">opatřeních </w:t>
      </w:r>
      <w:r w:rsidR="00A42930" w:rsidRPr="003730B5">
        <w:rPr>
          <w:u w:val="single"/>
        </w:rPr>
        <w:t>v </w:t>
      </w:r>
      <w:r w:rsidRPr="003730B5">
        <w:rPr>
          <w:u w:val="single"/>
        </w:rPr>
        <w:t xml:space="preserve">oblasti daní </w:t>
      </w:r>
      <w:r w:rsidR="00A42930" w:rsidRPr="003730B5">
        <w:rPr>
          <w:u w:val="single"/>
        </w:rPr>
        <w:t>v </w:t>
      </w:r>
      <w:r w:rsidRPr="003730B5">
        <w:rPr>
          <w:u w:val="single"/>
        </w:rPr>
        <w:t xml:space="preserve">souvislosti </w:t>
      </w:r>
      <w:r w:rsidR="00A42930" w:rsidRPr="003730B5">
        <w:rPr>
          <w:u w:val="single"/>
        </w:rPr>
        <w:t>s </w:t>
      </w:r>
      <w:r w:rsidRPr="003730B5">
        <w:rPr>
          <w:u w:val="single"/>
        </w:rPr>
        <w:t>ozbrojeným konfliktem na území Ukrajiny:</w:t>
      </w:r>
    </w:p>
    <w:p w14:paraId="787E62DB" w14:textId="75D80214" w:rsidR="00455CA9" w:rsidRPr="00CE296D" w:rsidRDefault="00455CA9" w:rsidP="00455CA9">
      <w:pPr>
        <w:pStyle w:val="Dvodovzprva"/>
        <w:widowControl w:val="0"/>
        <w:outlineLvl w:val="9"/>
        <w:rPr>
          <w:rFonts w:ascii="Times New Roman" w:hAnsi="Times New Roman"/>
          <w:color w:val="auto"/>
          <w:sz w:val="24"/>
        </w:rPr>
      </w:pPr>
      <w:r w:rsidRPr="003730B5">
        <w:rPr>
          <w:rFonts w:ascii="Times New Roman" w:hAnsi="Times New Roman"/>
          <w:color w:val="auto"/>
          <w:sz w:val="24"/>
        </w:rPr>
        <w:t xml:space="preserve">Vzhledem ke skutečnosti, že k prodloužení použitelnosti zákona </w:t>
      </w:r>
      <w:r w:rsidR="00A42930" w:rsidRPr="003730B5">
        <w:rPr>
          <w:rFonts w:ascii="Times New Roman" w:hAnsi="Times New Roman"/>
          <w:color w:val="auto"/>
          <w:sz w:val="24"/>
        </w:rPr>
        <w:t>č. </w:t>
      </w:r>
      <w:r w:rsidR="001B6230" w:rsidRPr="003730B5">
        <w:rPr>
          <w:rFonts w:ascii="Times New Roman" w:hAnsi="Times New Roman"/>
          <w:color w:val="auto"/>
          <w:sz w:val="24"/>
        </w:rPr>
        <w:t>128/2022 Sb.</w:t>
      </w:r>
      <w:r w:rsidRPr="003730B5">
        <w:rPr>
          <w:rFonts w:ascii="Times New Roman" w:hAnsi="Times New Roman"/>
          <w:color w:val="auto"/>
          <w:sz w:val="24"/>
        </w:rPr>
        <w:t xml:space="preserve"> na rok 2023 dojde retroaktivně, je nutné, aby zákon nabyl účinnosti co nejdříve, a nová úprava se v případě příjmů ze závislé činnosti promítla již při zúčtování mzdy a výpočtu zálohy na daň z příjmů fyzických osob za kalendářní měsíce roku 2023, ve kterých nabyde účinnosti tento zákon a za následující kalendářní měsíce. To platí obdobně i pro opatření v oblasti správních poplatků v souvislosti s ozbrojeným konfliktem na území Ukrajiny. Předmětná novela by proto měla nabýt účinnosti dnem následujícím po dni vyhlášení zákona.</w:t>
      </w:r>
    </w:p>
    <w:p w14:paraId="21543DFE" w14:textId="77777777" w:rsidR="006F504E" w:rsidRPr="004C3050" w:rsidRDefault="006F504E" w:rsidP="005808F7">
      <w:pPr>
        <w:widowControl w:val="0"/>
        <w:spacing w:before="240" w:after="120"/>
        <w:outlineLvl w:val="1"/>
      </w:pPr>
    </w:p>
    <w:sectPr w:rsidR="006F504E" w:rsidRPr="004C3050" w:rsidSect="00B02552">
      <w:headerReference w:type="even" r:id="rId28"/>
      <w:headerReference w:type="default" r:id="rId29"/>
      <w:headerReference w:type="first" r:id="rId30"/>
      <w:pgSz w:w="11906" w:h="16838"/>
      <w:pgMar w:top="1417" w:right="1417" w:bottom="1417" w:left="1417" w:header="708" w:footer="708" w:gutter="0"/>
      <w:pgNumType w:start="106"/>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CE53E9" w14:textId="77777777" w:rsidR="00C3498D" w:rsidRDefault="00C3498D">
      <w:r>
        <w:separator/>
      </w:r>
    </w:p>
  </w:endnote>
  <w:endnote w:type="continuationSeparator" w:id="0">
    <w:p w14:paraId="22DA2310" w14:textId="77777777" w:rsidR="00C3498D" w:rsidRDefault="00C34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7815A" w14:textId="77777777" w:rsidR="00C3498D" w:rsidRDefault="00C3498D">
      <w:r>
        <w:separator/>
      </w:r>
    </w:p>
  </w:footnote>
  <w:footnote w:type="continuationSeparator" w:id="0">
    <w:p w14:paraId="202D02B3" w14:textId="77777777" w:rsidR="00C3498D" w:rsidRDefault="00C3498D">
      <w:r>
        <w:continuationSeparator/>
      </w:r>
    </w:p>
  </w:footnote>
  <w:footnote w:id="1">
    <w:p w14:paraId="4C3FB820" w14:textId="77777777" w:rsidR="00C3498D" w:rsidRPr="005A1CF1" w:rsidRDefault="00C3498D" w:rsidP="00187C38">
      <w:pPr>
        <w:pStyle w:val="Textpoznpodarou"/>
      </w:pPr>
      <w:r w:rsidRPr="005A1CF1">
        <w:rPr>
          <w:rStyle w:val="Znakapoznpodarou"/>
        </w:rPr>
        <w:footnoteRef/>
      </w:r>
      <w:r w:rsidRPr="005A1CF1">
        <w:t xml:space="preserve"> </w:t>
      </w:r>
      <w:r>
        <w:t>D</w:t>
      </w:r>
      <w:r w:rsidRPr="005A1CF1">
        <w:t xml:space="preserve">o 31. 12. 2023, poté </w:t>
      </w:r>
      <w:r>
        <w:t xml:space="preserve">konec dočasné úlevy a návrat na </w:t>
      </w:r>
      <w:r w:rsidRPr="005A1CF1">
        <w:t>9 950 Kč/1000 l</w:t>
      </w:r>
      <w:r>
        <w:t>.</w:t>
      </w:r>
    </w:p>
  </w:footnote>
  <w:footnote w:id="2">
    <w:p w14:paraId="438790F2" w14:textId="77777777" w:rsidR="00C3498D" w:rsidRDefault="00C3498D" w:rsidP="00187C38">
      <w:pPr>
        <w:pStyle w:val="Textpoznpodarou"/>
      </w:pPr>
      <w:r w:rsidRPr="005A1CF1">
        <w:rPr>
          <w:rStyle w:val="Znakapoznpodarou"/>
        </w:rPr>
        <w:footnoteRef/>
      </w:r>
      <w:r w:rsidRPr="005A1CF1">
        <w:t xml:space="preserve"> </w:t>
      </w:r>
      <w:r>
        <w:t>D</w:t>
      </w:r>
      <w:r w:rsidRPr="005A1CF1">
        <w:t>o 31. 12. 2023, poté 9,95 Kč/l</w:t>
      </w:r>
      <w:r>
        <w:t>.</w:t>
      </w:r>
    </w:p>
  </w:footnote>
  <w:footnote w:id="3">
    <w:p w14:paraId="73E547D3" w14:textId="77777777" w:rsidR="00C3498D" w:rsidRPr="007027F9" w:rsidRDefault="00C3498D" w:rsidP="009D192D">
      <w:pPr>
        <w:pStyle w:val="Textpoznpodarou"/>
      </w:pPr>
      <w:r w:rsidRPr="007027F9">
        <w:rPr>
          <w:rStyle w:val="Znakapoznpodarou"/>
        </w:rPr>
        <w:footnoteRef/>
      </w:r>
      <w:r w:rsidRPr="007027F9">
        <w:t xml:space="preserve"> </w:t>
      </w:r>
      <w:hyperlink r:id="rId1" w:history="1">
        <w:r w:rsidRPr="007027F9">
          <w:rPr>
            <w:rStyle w:val="Hypertextovodkaz"/>
          </w:rPr>
          <w:t>Memorandum o dlouhodobé spolupráci v oblasti rozvoje vozidel na zemní plyn pro období do roku 2025 | MPO</w:t>
        </w:r>
      </w:hyperlink>
    </w:p>
  </w:footnote>
  <w:footnote w:id="4">
    <w:p w14:paraId="59CDB8FD" w14:textId="77777777" w:rsidR="00C3498D" w:rsidRPr="00A44556" w:rsidRDefault="00C3498D" w:rsidP="00A24C00">
      <w:pPr>
        <w:pStyle w:val="Textpoznpodarou"/>
        <w:ind w:left="0" w:firstLine="0"/>
        <w:rPr>
          <w:sz w:val="18"/>
          <w:szCs w:val="18"/>
        </w:rPr>
      </w:pPr>
      <w:r w:rsidRPr="00A44556">
        <w:rPr>
          <w:rStyle w:val="Znakapoznpodarou"/>
          <w:sz w:val="18"/>
          <w:szCs w:val="18"/>
        </w:rPr>
        <w:footnoteRef/>
      </w:r>
      <w:r w:rsidRPr="00A44556">
        <w:rPr>
          <w:sz w:val="18"/>
          <w:szCs w:val="18"/>
        </w:rPr>
        <w:t xml:space="preserve"> Solnař, V., Fenyk, J., Císařová, D., Vanduchová, M.: Systém českého trestního práva. Část třetí: Tresty a ochranná opatření. Praha: Novatrix, 2009. str. 137</w:t>
      </w:r>
    </w:p>
  </w:footnote>
  <w:footnote w:id="5">
    <w:p w14:paraId="443EAD5B" w14:textId="728DF682" w:rsidR="00C3498D" w:rsidRDefault="00C3498D" w:rsidP="00A24C00">
      <w:pPr>
        <w:pStyle w:val="Textpoznpodarou"/>
        <w:ind w:left="0" w:firstLine="0"/>
      </w:pPr>
      <w:r>
        <w:rPr>
          <w:rStyle w:val="Znakapoznpodarou"/>
        </w:rPr>
        <w:footnoteRef/>
      </w:r>
      <w:r>
        <w:t xml:space="preserve"> Nález Ústavního soudu </w:t>
      </w:r>
      <w:r w:rsidRPr="00380E80">
        <w:t xml:space="preserve">ze dne 23. </w:t>
      </w:r>
      <w:r>
        <w:t>4.</w:t>
      </w:r>
      <w:r w:rsidRPr="00380E80">
        <w:t xml:space="preserve"> 2008 ve věci návrhu na zrušení některých částí zákona č. 261/2007</w:t>
      </w:r>
      <w:r>
        <w:t> S</w:t>
      </w:r>
      <w:r w:rsidRPr="00380E80">
        <w:t>b.,</w:t>
      </w:r>
      <w:r>
        <w:t xml:space="preserve"> </w:t>
      </w:r>
      <w:r w:rsidRPr="00380E80">
        <w:t>o stabilizaci veřejných rozpočtů.</w:t>
      </w:r>
    </w:p>
  </w:footnote>
  <w:footnote w:id="6">
    <w:p w14:paraId="338D6808" w14:textId="77777777" w:rsidR="00C3498D" w:rsidRDefault="00C3498D" w:rsidP="00133AC8">
      <w:pPr>
        <w:pStyle w:val="Textpoznpodarou"/>
        <w:tabs>
          <w:tab w:val="left" w:pos="0"/>
        </w:tabs>
        <w:spacing w:after="120"/>
        <w:ind w:left="0" w:firstLine="0"/>
      </w:pPr>
      <w:r>
        <w:rPr>
          <w:rStyle w:val="Znakapoznpodarou"/>
        </w:rPr>
        <w:footnoteRef/>
      </w:r>
      <w:r>
        <w:t xml:space="preserve"> Jde o OSVČ, který odchází v roce 2023 do důchodu a zohledněné vyměřovací základy jsou do roku 2022. Minimální odvod pro rok 2023 je ze základu 10 081 Kč při platbě 2 823 Kč, přičemž důchod přiznaný z takového vyměřovacího základu v roce 2024 bude také vyšší, nicméně přesné parametry ještě nejsou známy.</w:t>
      </w:r>
    </w:p>
  </w:footnote>
  <w:footnote w:id="7">
    <w:p w14:paraId="52DCCAEE" w14:textId="77777777" w:rsidR="00C3498D" w:rsidRDefault="00C3498D" w:rsidP="00133AC8">
      <w:pPr>
        <w:pStyle w:val="Textpoznpodarou"/>
        <w:spacing w:after="120"/>
      </w:pPr>
      <w:r>
        <w:rPr>
          <w:rStyle w:val="Znakapoznpodarou"/>
        </w:rPr>
        <w:footnoteRef/>
      </w:r>
      <w:r>
        <w:t xml:space="preserve"> Přesně z této částky platí zhruba 50 % všech OSVČ (hlavních i vedlejších).</w:t>
      </w:r>
    </w:p>
  </w:footnote>
  <w:footnote w:id="8">
    <w:p w14:paraId="7B61E5FF" w14:textId="77777777" w:rsidR="00C3498D" w:rsidRDefault="00C3498D" w:rsidP="00133AC8">
      <w:pPr>
        <w:pStyle w:val="Textpoznpodarou"/>
        <w:tabs>
          <w:tab w:val="left" w:pos="0"/>
        </w:tabs>
        <w:ind w:left="0" w:firstLine="0"/>
      </w:pPr>
      <w:r>
        <w:rPr>
          <w:rStyle w:val="Znakapoznpodarou"/>
        </w:rPr>
        <w:footnoteRef/>
      </w:r>
      <w:r>
        <w:t xml:space="preserve"> Analyzovanou skupinou jsou osoby, které odešly do starobního důchodu v roce 2021 a po roce 1992 vykázaly vyměřovací základy pro pojistné na důchodové pojištění pouze ze samostatné výdělečné činnosti. Tyto osoby tvořily zhruba 4 % všech přiznaných starobních důchodů.</w:t>
      </w:r>
    </w:p>
  </w:footnote>
  <w:footnote w:id="9">
    <w:p w14:paraId="75C16A29" w14:textId="77777777" w:rsidR="00C3498D" w:rsidRDefault="00C3498D" w:rsidP="00133AC8">
      <w:pPr>
        <w:pStyle w:val="Textpoznpodarou"/>
        <w:tabs>
          <w:tab w:val="left" w:pos="0"/>
        </w:tabs>
        <w:ind w:left="0" w:firstLine="0"/>
      </w:pPr>
      <w:r>
        <w:rPr>
          <w:rStyle w:val="Znakapoznpodarou"/>
        </w:rPr>
        <w:footnoteRef/>
      </w:r>
      <w:r>
        <w:t xml:space="preserve"> Jde o průměr vyměřovacích základů, ze kterých bylo placeno pojistné na důchodového pojištění přepočtených na mzdovou úroveň roku před přiznáním důchodu, tj. roku 2020.</w:t>
      </w:r>
    </w:p>
  </w:footnote>
  <w:footnote w:id="10">
    <w:p w14:paraId="181290EC" w14:textId="77777777" w:rsidR="00C3498D" w:rsidRDefault="00C3498D" w:rsidP="00133AC8">
      <w:pPr>
        <w:pStyle w:val="Textpoznpodarou"/>
        <w:tabs>
          <w:tab w:val="left" w:pos="0"/>
        </w:tabs>
        <w:ind w:left="0" w:firstLine="0"/>
      </w:pPr>
      <w:r>
        <w:rPr>
          <w:rStyle w:val="Znakapoznpodarou"/>
        </w:rPr>
        <w:footnoteRef/>
      </w:r>
      <w:r>
        <w:t xml:space="preserve"> Částka 11 000 Kč u nově přiznávaných důchodů v roce 2021 s ohledem na vývoj mezd zhruba odpovídá částce 10 000 Kč pro nově přiznávané důchody v roce 2019 označená jako hranice nízkého důchodu (blíže Analýza nízkých důchodů)</w:t>
      </w:r>
    </w:p>
  </w:footnote>
  <w:footnote w:id="11">
    <w:p w14:paraId="1B4E621D" w14:textId="77777777" w:rsidR="00C3498D" w:rsidRDefault="00C3498D" w:rsidP="00133AC8">
      <w:pPr>
        <w:pStyle w:val="Textpoznpodarou"/>
      </w:pPr>
      <w:r>
        <w:rPr>
          <w:rStyle w:val="Znakapoznpodarou"/>
        </w:rPr>
        <w:footnoteRef/>
      </w:r>
      <w:r>
        <w:t xml:space="preserve"> Viz například </w:t>
      </w:r>
      <w:r w:rsidRPr="003F580C">
        <w:t>Rozsudek Nejvyššího správního soudu ze dne 25. 11. 2015, sp. zn. 2 Afs 242/2015-32</w:t>
      </w:r>
    </w:p>
  </w:footnote>
  <w:footnote w:id="12">
    <w:p w14:paraId="2916A4BD" w14:textId="1206A54C" w:rsidR="00C3498D" w:rsidRPr="00D47BE8" w:rsidRDefault="00C3498D" w:rsidP="00133AC8">
      <w:pPr>
        <w:pStyle w:val="Poznmkapodarou"/>
      </w:pPr>
      <w:r>
        <w:rPr>
          <w:rStyle w:val="Znakapoznpodarou"/>
        </w:rPr>
        <w:footnoteRef/>
      </w:r>
      <w:r>
        <w:t xml:space="preserve"> </w:t>
      </w:r>
      <w:r w:rsidRPr="00D47BE8">
        <w:t xml:space="preserve">Průměrně je za kalendářní rok vytištěno cca 680 000 ks tiskopisů příkazových bloků. Z toho cca 620 000 ks (tj. 91 %) tiskopisů spotřebuje Policie </w:t>
      </w:r>
      <w:r>
        <w:t>České republiky</w:t>
      </w:r>
      <w:r w:rsidRPr="00D47BE8">
        <w:t xml:space="preserve"> a 50 000 ks (tj. 7 %) Celní správa </w:t>
      </w:r>
      <w:r>
        <w:t>České republiky</w:t>
      </w:r>
      <w:r w:rsidRPr="00D47BE8">
        <w:t xml:space="preserve">. Zbytek, cca 10 000 ks, připadá na ostatní </w:t>
      </w:r>
      <w:r>
        <w:t xml:space="preserve">správní </w:t>
      </w:r>
      <w:r w:rsidRPr="00D47BE8">
        <w:t xml:space="preserve">orgány příslušné k rozhodování </w:t>
      </w:r>
      <w:r>
        <w:t xml:space="preserve">o přestupku </w:t>
      </w:r>
      <w:r w:rsidRPr="00D47BE8">
        <w:t>příkazem na</w:t>
      </w:r>
      <w:r>
        <w:t> </w:t>
      </w:r>
      <w:r w:rsidRPr="00D47BE8">
        <w:t xml:space="preserve">místě. </w:t>
      </w:r>
    </w:p>
    <w:p w14:paraId="64BAB4F5" w14:textId="77777777" w:rsidR="00C3498D" w:rsidRDefault="00C3498D" w:rsidP="00133AC8">
      <w:pPr>
        <w:pStyle w:val="Poznmkapodarou"/>
      </w:pPr>
    </w:p>
  </w:footnote>
  <w:footnote w:id="13">
    <w:p w14:paraId="69BD1416" w14:textId="77777777" w:rsidR="00C3498D" w:rsidRDefault="00C3498D" w:rsidP="00A24C00">
      <w:pPr>
        <w:pStyle w:val="Textpoznpodarou"/>
        <w:ind w:left="0" w:firstLine="0"/>
      </w:pPr>
      <w:r>
        <w:rPr>
          <w:rStyle w:val="Znakapoznpodarou"/>
        </w:rPr>
        <w:footnoteRef/>
      </w:r>
      <w:r>
        <w:t xml:space="preserve"> </w:t>
      </w:r>
      <w:r w:rsidRPr="000341D7">
        <w:t>Umožňuje-li to povaha dokumentu, orgán veřejné moci jej doručuje jinému orgánu veřejné moci prostřednictvím datové schránky, pokud se nedoručuje na místě.</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BAB5D" w14:textId="77777777" w:rsidR="00C3498D" w:rsidRDefault="00C3498D">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D39E9D2" w14:textId="77777777" w:rsidR="00C3498D" w:rsidRDefault="00C3498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9986B" w14:textId="2EBD3BF4" w:rsidR="00C3498D" w:rsidRPr="001915C1" w:rsidRDefault="00C3498D" w:rsidP="003F6906">
    <w:pPr>
      <w:pStyle w:val="Zhlav"/>
      <w:jc w:val="center"/>
    </w:pPr>
    <w:r w:rsidRPr="003F6906">
      <w:t xml:space="preserve">– </w:t>
    </w:r>
    <w:r w:rsidRPr="003F6906">
      <w:fldChar w:fldCharType="begin"/>
    </w:r>
    <w:r w:rsidRPr="003F6906">
      <w:instrText>PAGE   \* MERGEFORMAT</w:instrText>
    </w:r>
    <w:r w:rsidRPr="003F6906">
      <w:fldChar w:fldCharType="separate"/>
    </w:r>
    <w:r w:rsidR="007C4AB7">
      <w:rPr>
        <w:noProof/>
      </w:rPr>
      <w:t>337</w:t>
    </w:r>
    <w:r w:rsidRPr="003F6906">
      <w:fldChar w:fldCharType="end"/>
    </w:r>
    <w:r w:rsidRPr="003F690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48FC7" w14:textId="6511AFB1" w:rsidR="00C3498D" w:rsidRPr="00AB4355" w:rsidRDefault="00AB4355" w:rsidP="00A24C00">
    <w:pPr>
      <w:pStyle w:val="Zhlav"/>
      <w:jc w:val="right"/>
      <w:rPr>
        <w:b/>
      </w:rPr>
    </w:pPr>
    <w:r w:rsidRPr="00A24C00">
      <w:rPr>
        <w:b/>
      </w:rPr>
      <w:t>IV.</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90E4F14"/>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8C08B84E"/>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F42245F0"/>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8A9E3754"/>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A86E144E"/>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BEC0C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CCF034"/>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70DF2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03C94"/>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61A2FD7C"/>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011496A"/>
    <w:multiLevelType w:val="hybridMultilevel"/>
    <w:tmpl w:val="48C2CB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1280AFB"/>
    <w:multiLevelType w:val="hybridMultilevel"/>
    <w:tmpl w:val="A11E6A14"/>
    <w:lvl w:ilvl="0" w:tplc="22F8E07C">
      <w:start w:val="6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17F1270"/>
    <w:multiLevelType w:val="multilevel"/>
    <w:tmpl w:val="2F30AAD6"/>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4B378CE"/>
    <w:multiLevelType w:val="singleLevel"/>
    <w:tmpl w:val="4D58B58E"/>
    <w:lvl w:ilvl="0">
      <w:start w:val="1"/>
      <w:numFmt w:val="decimal"/>
      <w:pStyle w:val="Textpozmn"/>
      <w:lvlText w:val="%1."/>
      <w:lvlJc w:val="left"/>
      <w:pPr>
        <w:tabs>
          <w:tab w:val="num" w:pos="425"/>
        </w:tabs>
        <w:ind w:left="425" w:hanging="425"/>
      </w:pPr>
    </w:lvl>
  </w:abstractNum>
  <w:abstractNum w:abstractNumId="14" w15:restartNumberingAfterBreak="0">
    <w:nsid w:val="06092730"/>
    <w:multiLevelType w:val="singleLevel"/>
    <w:tmpl w:val="1C926EF8"/>
    <w:lvl w:ilvl="0">
      <w:start w:val="1"/>
      <w:numFmt w:val="upperLetter"/>
      <w:pStyle w:val="Oznaenpozmn"/>
      <w:lvlText w:val="%1."/>
      <w:lvlJc w:val="left"/>
      <w:pPr>
        <w:tabs>
          <w:tab w:val="num" w:pos="425"/>
        </w:tabs>
        <w:ind w:left="425" w:hanging="425"/>
      </w:pPr>
    </w:lvl>
  </w:abstractNum>
  <w:abstractNum w:abstractNumId="15" w15:restartNumberingAfterBreak="0">
    <w:nsid w:val="07DC27D6"/>
    <w:multiLevelType w:val="hybridMultilevel"/>
    <w:tmpl w:val="E3C240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AF344BE"/>
    <w:multiLevelType w:val="hybridMultilevel"/>
    <w:tmpl w:val="FEC8FB5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7" w15:restartNumberingAfterBreak="0">
    <w:nsid w:val="0E8E1C81"/>
    <w:multiLevelType w:val="hybridMultilevel"/>
    <w:tmpl w:val="3E22FC58"/>
    <w:lvl w:ilvl="0" w:tplc="3DA8D78C">
      <w:start w:val="1"/>
      <w:numFmt w:val="upperRoman"/>
      <w:pStyle w:val="Dvodovzprvaknovlnku"/>
      <w:suff w:val="nothing"/>
      <w:lvlText w:val="K čl. %1"/>
      <w:lvlJc w:val="left"/>
      <w:pPr>
        <w:ind w:left="0" w:firstLine="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4BE7CE8"/>
    <w:multiLevelType w:val="hybridMultilevel"/>
    <w:tmpl w:val="2348EF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612683D"/>
    <w:multiLevelType w:val="hybridMultilevel"/>
    <w:tmpl w:val="74AE9C52"/>
    <w:lvl w:ilvl="0" w:tplc="04050017">
      <w:start w:val="1"/>
      <w:numFmt w:val="decimal"/>
      <w:lvlText w:val="%1."/>
      <w:lvlJc w:val="left"/>
      <w:pPr>
        <w:ind w:left="720" w:hanging="360"/>
      </w:pPr>
    </w:lvl>
    <w:lvl w:ilvl="1" w:tplc="04050019">
      <w:start w:val="1"/>
      <w:numFmt w:val="decimal"/>
      <w:lvlText w:val="%2."/>
      <w:lvlJc w:val="left"/>
      <w:pPr>
        <w:ind w:left="1440" w:hanging="360"/>
      </w:pPr>
    </w:lvl>
    <w:lvl w:ilvl="2" w:tplc="04050017"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7C2176A"/>
    <w:multiLevelType w:val="hybridMultilevel"/>
    <w:tmpl w:val="CB1C6B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9371BD0"/>
    <w:multiLevelType w:val="singleLevel"/>
    <w:tmpl w:val="A920D918"/>
    <w:lvl w:ilvl="0">
      <w:start w:val="1"/>
      <w:numFmt w:val="decimal"/>
      <w:pStyle w:val="Novelizanbod"/>
      <w:lvlText w:val="%1."/>
      <w:lvlJc w:val="left"/>
      <w:pPr>
        <w:tabs>
          <w:tab w:val="num" w:pos="567"/>
        </w:tabs>
        <w:ind w:left="567" w:hanging="567"/>
      </w:pPr>
      <w:rPr>
        <w:b/>
        <w:i w:val="0"/>
      </w:rPr>
    </w:lvl>
  </w:abstractNum>
  <w:abstractNum w:abstractNumId="22" w15:restartNumberingAfterBreak="0">
    <w:nsid w:val="1952081E"/>
    <w:multiLevelType w:val="hybridMultilevel"/>
    <w:tmpl w:val="9DD2EA64"/>
    <w:lvl w:ilvl="0" w:tplc="6900938A">
      <w:start w:val="1"/>
      <w:numFmt w:val="upperRoman"/>
      <w:pStyle w:val="stDZ"/>
      <w:suff w:val="space"/>
      <w:lvlText w:val="%1."/>
      <w:lvlJc w:val="left"/>
      <w:pPr>
        <w:ind w:left="0" w:firstLine="0"/>
      </w:pPr>
      <w:rPr>
        <w:rFonts w:hint="default"/>
        <w:b/>
        <w:i w:val="0"/>
      </w:rPr>
    </w:lvl>
    <w:lvl w:ilvl="1" w:tplc="88A0070E" w:tentative="1">
      <w:start w:val="1"/>
      <w:numFmt w:val="lowerLetter"/>
      <w:lvlText w:val="%2."/>
      <w:lvlJc w:val="left"/>
      <w:pPr>
        <w:ind w:left="1800" w:hanging="360"/>
      </w:pPr>
    </w:lvl>
    <w:lvl w:ilvl="2" w:tplc="F40C316E" w:tentative="1">
      <w:start w:val="1"/>
      <w:numFmt w:val="lowerRoman"/>
      <w:lvlText w:val="%3."/>
      <w:lvlJc w:val="right"/>
      <w:pPr>
        <w:ind w:left="2520" w:hanging="180"/>
      </w:pPr>
    </w:lvl>
    <w:lvl w:ilvl="3" w:tplc="BDBEDA6A" w:tentative="1">
      <w:start w:val="1"/>
      <w:numFmt w:val="decimal"/>
      <w:lvlText w:val="%4."/>
      <w:lvlJc w:val="left"/>
      <w:pPr>
        <w:ind w:left="3240" w:hanging="360"/>
      </w:pPr>
    </w:lvl>
    <w:lvl w:ilvl="4" w:tplc="98F8E8D4" w:tentative="1">
      <w:start w:val="1"/>
      <w:numFmt w:val="lowerLetter"/>
      <w:lvlText w:val="%5."/>
      <w:lvlJc w:val="left"/>
      <w:pPr>
        <w:ind w:left="3960" w:hanging="360"/>
      </w:pPr>
    </w:lvl>
    <w:lvl w:ilvl="5" w:tplc="CE705996" w:tentative="1">
      <w:start w:val="1"/>
      <w:numFmt w:val="lowerRoman"/>
      <w:lvlText w:val="%6."/>
      <w:lvlJc w:val="right"/>
      <w:pPr>
        <w:ind w:left="4680" w:hanging="180"/>
      </w:pPr>
    </w:lvl>
    <w:lvl w:ilvl="6" w:tplc="44F6FE9E" w:tentative="1">
      <w:start w:val="1"/>
      <w:numFmt w:val="decimal"/>
      <w:lvlText w:val="%7."/>
      <w:lvlJc w:val="left"/>
      <w:pPr>
        <w:ind w:left="5400" w:hanging="360"/>
      </w:pPr>
    </w:lvl>
    <w:lvl w:ilvl="7" w:tplc="98AC85FA" w:tentative="1">
      <w:start w:val="1"/>
      <w:numFmt w:val="lowerLetter"/>
      <w:lvlText w:val="%8."/>
      <w:lvlJc w:val="left"/>
      <w:pPr>
        <w:ind w:left="6120" w:hanging="360"/>
      </w:pPr>
    </w:lvl>
    <w:lvl w:ilvl="8" w:tplc="5D5272E6" w:tentative="1">
      <w:start w:val="1"/>
      <w:numFmt w:val="lowerRoman"/>
      <w:lvlText w:val="%9."/>
      <w:lvlJc w:val="right"/>
      <w:pPr>
        <w:ind w:left="6840" w:hanging="180"/>
      </w:pPr>
    </w:lvl>
  </w:abstractNum>
  <w:abstractNum w:abstractNumId="23" w15:restartNumberingAfterBreak="0">
    <w:nsid w:val="220C5A9C"/>
    <w:multiLevelType w:val="multilevel"/>
    <w:tmpl w:val="0405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6356D21"/>
    <w:multiLevelType w:val="hybridMultilevel"/>
    <w:tmpl w:val="86BA2E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6E85E83"/>
    <w:multiLevelType w:val="multilevel"/>
    <w:tmpl w:val="EBDA8F54"/>
    <w:lvl w:ilvl="0">
      <w:start w:val="1"/>
      <w:numFmt w:val="none"/>
      <w:pStyle w:val="Paragraf"/>
      <w:isLgl/>
      <w:suff w:val="nothing"/>
      <w:lvlText w:val=""/>
      <w:lvlJc w:val="left"/>
      <w:pPr>
        <w:ind w:left="0" w:firstLine="0"/>
      </w:pPr>
      <w:rPr>
        <w:rFonts w:hint="default"/>
      </w:rPr>
    </w:lvl>
    <w:lvl w:ilvl="1">
      <w:start w:val="1"/>
      <w:numFmt w:val="none"/>
      <w:lvlRestart w:val="0"/>
      <w:pStyle w:val="lnek"/>
      <w:suff w:val="nothing"/>
      <w:lvlText w:val=""/>
      <w:lvlJc w:val="left"/>
      <w:pPr>
        <w:ind w:left="0" w:firstLine="0"/>
      </w:pPr>
      <w:rPr>
        <w:rFonts w:hint="default"/>
      </w:rPr>
    </w:lvl>
    <w:lvl w:ilvl="2">
      <w:start w:val="1"/>
      <w:numFmt w:val="decimal"/>
      <w:pStyle w:val="Textodstavce"/>
      <w:isLgl/>
      <w:lvlText w:val="(%3)"/>
      <w:lvlJc w:val="left"/>
      <w:pPr>
        <w:tabs>
          <w:tab w:val="num" w:pos="782"/>
        </w:tabs>
        <w:ind w:left="0" w:firstLine="425"/>
      </w:pPr>
      <w:rPr>
        <w:rFonts w:hint="default"/>
      </w:rPr>
    </w:lvl>
    <w:lvl w:ilvl="3">
      <w:start w:val="1"/>
      <w:numFmt w:val="lowerLetter"/>
      <w:lvlText w:val="%4)"/>
      <w:lvlJc w:val="left"/>
      <w:pPr>
        <w:tabs>
          <w:tab w:val="num" w:pos="425"/>
        </w:tabs>
        <w:ind w:left="425" w:hanging="425"/>
      </w:pPr>
      <w:rPr>
        <w:rFonts w:hint="default"/>
      </w:rPr>
    </w:lvl>
    <w:lvl w:ilvl="4">
      <w:start w:val="1"/>
      <w:numFmt w:val="decimal"/>
      <w:pStyle w:val="Textbodu"/>
      <w:isLgl/>
      <w:lvlText w:val="%5."/>
      <w:lvlJc w:val="left"/>
      <w:pPr>
        <w:tabs>
          <w:tab w:val="num" w:pos="851"/>
        </w:tabs>
        <w:ind w:left="851" w:hanging="426"/>
      </w:pPr>
      <w:rPr>
        <w:rFonts w:hint="default"/>
      </w:rPr>
    </w:lvl>
    <w:lvl w:ilvl="5">
      <w:start w:val="1"/>
      <w:numFmt w:val="none"/>
      <w:suff w:val="nothing"/>
      <w:lvlText w:val="%6"/>
      <w:lvlJc w:val="left"/>
      <w:pPr>
        <w:ind w:left="0" w:firstLine="0"/>
      </w:pPr>
      <w:rPr>
        <w:rFonts w:hint="default"/>
      </w:rPr>
    </w:lvl>
    <w:lvl w:ilvl="6">
      <w:start w:val="1"/>
      <w:numFmt w:val="none"/>
      <w:pStyle w:val="Nadpis7"/>
      <w:suff w:val="nothing"/>
      <w:lvlText w:val=""/>
      <w:lvlJc w:val="left"/>
      <w:pPr>
        <w:ind w:left="0" w:firstLine="0"/>
      </w:pPr>
      <w:rPr>
        <w:rFonts w:hint="default"/>
      </w:rPr>
    </w:lvl>
    <w:lvl w:ilvl="7">
      <w:start w:val="1"/>
      <w:numFmt w:val="none"/>
      <w:pStyle w:val="Nadpis8"/>
      <w:suff w:val="nothing"/>
      <w:lvlText w:val=""/>
      <w:lvlJc w:val="left"/>
      <w:pPr>
        <w:ind w:left="0" w:firstLine="0"/>
      </w:pPr>
      <w:rPr>
        <w:rFonts w:hint="default"/>
      </w:rPr>
    </w:lvl>
    <w:lvl w:ilvl="8">
      <w:start w:val="1"/>
      <w:numFmt w:val="none"/>
      <w:pStyle w:val="Nadpis9"/>
      <w:suff w:val="nothing"/>
      <w:lvlText w:val=""/>
      <w:lvlJc w:val="left"/>
      <w:pPr>
        <w:ind w:left="0" w:firstLine="0"/>
      </w:pPr>
      <w:rPr>
        <w:rFonts w:hint="default"/>
      </w:rPr>
    </w:lvl>
  </w:abstractNum>
  <w:abstractNum w:abstractNumId="26" w15:restartNumberingAfterBreak="0">
    <w:nsid w:val="2AF66ADF"/>
    <w:multiLevelType w:val="multilevel"/>
    <w:tmpl w:val="AEB4BCCC"/>
    <w:lvl w:ilvl="0">
      <w:start w:val="1"/>
      <w:numFmt w:val="none"/>
      <w:isLgl/>
      <w:suff w:val="nothing"/>
      <w:lvlText w:val=""/>
      <w:lvlJc w:val="left"/>
      <w:pPr>
        <w:ind w:left="0" w:firstLine="0"/>
      </w:pPr>
      <w:rPr>
        <w:rFonts w:hint="default"/>
      </w:rPr>
    </w:lvl>
    <w:lvl w:ilvl="1">
      <w:start w:val="1"/>
      <w:numFmt w:val="none"/>
      <w:lvlRestart w:val="0"/>
      <w:suff w:val="nothing"/>
      <w:lvlText w:val=""/>
      <w:lvlJc w:val="left"/>
      <w:pPr>
        <w:ind w:left="0" w:firstLine="0"/>
      </w:pPr>
      <w:rPr>
        <w:rFonts w:hint="default"/>
      </w:rPr>
    </w:lvl>
    <w:lvl w:ilvl="2">
      <w:start w:val="1"/>
      <w:numFmt w:val="decimal"/>
      <w:pStyle w:val="Textpechodka"/>
      <w:isLgl/>
      <w:lvlText w:val="%3."/>
      <w:lvlJc w:val="left"/>
      <w:pPr>
        <w:tabs>
          <w:tab w:val="num" w:pos="425"/>
        </w:tabs>
        <w:ind w:left="425" w:hanging="425"/>
      </w:pPr>
      <w:rPr>
        <w:rFonts w:hint="default"/>
        <w:b/>
      </w:rPr>
    </w:lvl>
    <w:lvl w:ilvl="3">
      <w:start w:val="1"/>
      <w:numFmt w:val="lowerLetter"/>
      <w:pStyle w:val="Textpechodkapsmene"/>
      <w:lvlText w:val="%4)"/>
      <w:lvlJc w:val="left"/>
      <w:pPr>
        <w:tabs>
          <w:tab w:val="num" w:pos="851"/>
        </w:tabs>
        <w:ind w:left="851" w:hanging="426"/>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2F255056"/>
    <w:multiLevelType w:val="multilevel"/>
    <w:tmpl w:val="F31870E4"/>
    <w:lvl w:ilvl="0">
      <w:start w:val="1"/>
      <w:numFmt w:val="upperRoman"/>
      <w:suff w:val="space"/>
      <w:lvlText w:val="%1."/>
      <w:lvlJc w:val="left"/>
      <w:pPr>
        <w:ind w:left="0" w:firstLine="0"/>
      </w:pPr>
      <w:rPr>
        <w:rFonts w:hint="default"/>
      </w:rPr>
    </w:lvl>
    <w:lvl w:ilvl="1">
      <w:start w:val="1"/>
      <w:numFmt w:val="lowerLetter"/>
      <w:isLgl/>
      <w:suff w:val="space"/>
      <w:lvlText w:val="%2."/>
      <w:lvlJc w:val="left"/>
      <w:pPr>
        <w:ind w:left="0" w:firstLine="0"/>
      </w:pPr>
      <w:rPr>
        <w:rFonts w:hint="default"/>
      </w:rPr>
    </w:lvl>
    <w:lvl w:ilvl="2">
      <w:start w:val="1"/>
      <w:numFmt w:val="lowerRoman"/>
      <w:isLgl/>
      <w:suff w:val="space"/>
      <w:lvlText w:val="%2.%3."/>
      <w:lvlJc w:val="left"/>
      <w:pPr>
        <w:ind w:left="0" w:firstLine="0"/>
      </w:pPr>
      <w:rPr>
        <w:rFonts w:hint="default"/>
        <w:sz w:val="28"/>
      </w:rPr>
    </w:lvl>
    <w:lvl w:ilvl="3">
      <w:start w:val="1"/>
      <w:numFmt w:val="decimal"/>
      <w:isLgl/>
      <w:suff w:val="space"/>
      <w:lvlText w:val="%2.%3.%4."/>
      <w:lvlJc w:val="left"/>
      <w:pPr>
        <w:ind w:left="0" w:firstLine="0"/>
      </w:pPr>
      <w:rPr>
        <w:rFonts w:hint="default"/>
        <w:i/>
        <w:sz w:val="24"/>
      </w:rPr>
    </w:lvl>
    <w:lvl w:ilvl="4">
      <w:start w:val="1"/>
      <w:numFmt w:val="lowerLetter"/>
      <w:lvlText w:val="%5)"/>
      <w:lvlJc w:val="left"/>
      <w:pPr>
        <w:ind w:left="0" w:firstLine="0"/>
      </w:pPr>
      <w:rPr>
        <w:rFonts w:hint="default"/>
        <w:b/>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325E0331"/>
    <w:multiLevelType w:val="hybridMultilevel"/>
    <w:tmpl w:val="671040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58F7D0B"/>
    <w:multiLevelType w:val="singleLevel"/>
    <w:tmpl w:val="15A0EFFC"/>
    <w:lvl w:ilvl="0">
      <w:start w:val="1"/>
      <w:numFmt w:val="decimal"/>
      <w:pStyle w:val="Novelizanbodvpozmn"/>
      <w:lvlText w:val="%1."/>
      <w:lvlJc w:val="left"/>
      <w:pPr>
        <w:tabs>
          <w:tab w:val="num" w:pos="851"/>
        </w:tabs>
        <w:ind w:left="851" w:hanging="851"/>
      </w:pPr>
    </w:lvl>
  </w:abstractNum>
  <w:abstractNum w:abstractNumId="30" w15:restartNumberingAfterBreak="0">
    <w:nsid w:val="384267F6"/>
    <w:multiLevelType w:val="hybridMultilevel"/>
    <w:tmpl w:val="19E4A3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39316A8"/>
    <w:multiLevelType w:val="hybridMultilevel"/>
    <w:tmpl w:val="9CB8B4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41777FC"/>
    <w:multiLevelType w:val="hybridMultilevel"/>
    <w:tmpl w:val="62782920"/>
    <w:lvl w:ilvl="0" w:tplc="97D66C12">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EEE35DB"/>
    <w:multiLevelType w:val="hybridMultilevel"/>
    <w:tmpl w:val="C27498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4AF0F5A"/>
    <w:multiLevelType w:val="multilevel"/>
    <w:tmpl w:val="97984D36"/>
    <w:lvl w:ilvl="0">
      <w:start w:val="1"/>
      <w:numFmt w:val="upperRoman"/>
      <w:pStyle w:val="Nadpis2"/>
      <w:suff w:val="space"/>
      <w:lvlText w:val="%1."/>
      <w:lvlJc w:val="left"/>
      <w:pPr>
        <w:ind w:left="0" w:firstLine="0"/>
      </w:pPr>
      <w:rPr>
        <w:rFonts w:hint="default"/>
      </w:rPr>
    </w:lvl>
    <w:lvl w:ilvl="1">
      <w:start w:val="1"/>
      <w:numFmt w:val="decimal"/>
      <w:pStyle w:val="Nadpis3"/>
      <w:suff w:val="space"/>
      <w:lvlText w:val="%2."/>
      <w:lvlJc w:val="left"/>
      <w:pPr>
        <w:ind w:left="0" w:firstLine="0"/>
      </w:pPr>
      <w:rPr>
        <w:rFonts w:hint="default"/>
      </w:rPr>
    </w:lvl>
    <w:lvl w:ilvl="2">
      <w:start w:val="1"/>
      <w:numFmt w:val="decimal"/>
      <w:pStyle w:val="Nadpis4"/>
      <w:suff w:val="space"/>
      <w:lvlText w:val="%2.%3."/>
      <w:lvlJc w:val="left"/>
      <w:pPr>
        <w:ind w:left="0" w:firstLine="0"/>
      </w:pPr>
      <w:rPr>
        <w:rFonts w:hint="default"/>
      </w:rPr>
    </w:lvl>
    <w:lvl w:ilvl="3">
      <w:start w:val="1"/>
      <w:numFmt w:val="decimal"/>
      <w:pStyle w:val="Nadpis5"/>
      <w:suff w:val="space"/>
      <w:lvlText w:val="%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5" w15:restartNumberingAfterBreak="0">
    <w:nsid w:val="56E42CD1"/>
    <w:multiLevelType w:val="hybridMultilevel"/>
    <w:tmpl w:val="00309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795255B"/>
    <w:multiLevelType w:val="hybridMultilevel"/>
    <w:tmpl w:val="9364DF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D3B592E"/>
    <w:multiLevelType w:val="hybridMultilevel"/>
    <w:tmpl w:val="0F72FC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EDE361D"/>
    <w:multiLevelType w:val="hybridMultilevel"/>
    <w:tmpl w:val="4A0AC7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F54556F"/>
    <w:multiLevelType w:val="hybridMultilevel"/>
    <w:tmpl w:val="A9163A2C"/>
    <w:lvl w:ilvl="0" w:tplc="CD02831E">
      <w:start w:val="1"/>
      <w:numFmt w:val="decimal"/>
      <w:pStyle w:val="Dvodovzprvakdlu"/>
      <w:suff w:val="nothing"/>
      <w:lvlText w:val="K dílu %1"/>
      <w:lvlJc w:val="left"/>
      <w:pPr>
        <w:ind w:left="0" w:firstLine="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31F7A8E"/>
    <w:multiLevelType w:val="hybridMultilevel"/>
    <w:tmpl w:val="F6F472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4446104"/>
    <w:multiLevelType w:val="hybridMultilevel"/>
    <w:tmpl w:val="13784192"/>
    <w:lvl w:ilvl="0" w:tplc="04050001">
      <w:start w:val="1"/>
      <w:numFmt w:val="lowerRoman"/>
      <w:pStyle w:val="Dslovnpsmenatun"/>
      <w:lvlText w:val="(%1)"/>
      <w:lvlJc w:val="left"/>
      <w:pPr>
        <w:tabs>
          <w:tab w:val="num" w:pos="1743"/>
        </w:tabs>
        <w:ind w:left="1743" w:hanging="975"/>
      </w:pPr>
      <w:rPr>
        <w:rFonts w:cs="Times New Roman" w:hint="default"/>
      </w:rPr>
    </w:lvl>
    <w:lvl w:ilvl="1" w:tplc="04050003">
      <w:start w:val="3"/>
      <w:numFmt w:val="decimal"/>
      <w:lvlText w:val="%2."/>
      <w:lvlJc w:val="left"/>
      <w:pPr>
        <w:tabs>
          <w:tab w:val="num" w:pos="1848"/>
        </w:tabs>
        <w:ind w:left="1848" w:hanging="360"/>
      </w:pPr>
      <w:rPr>
        <w:rFonts w:cs="Times New Roman" w:hint="default"/>
      </w:rPr>
    </w:lvl>
    <w:lvl w:ilvl="2" w:tplc="04050005" w:tentative="1">
      <w:start w:val="1"/>
      <w:numFmt w:val="lowerRoman"/>
      <w:lvlText w:val="%3."/>
      <w:lvlJc w:val="right"/>
      <w:pPr>
        <w:tabs>
          <w:tab w:val="num" w:pos="2568"/>
        </w:tabs>
        <w:ind w:left="2568" w:hanging="180"/>
      </w:pPr>
      <w:rPr>
        <w:rFonts w:cs="Times New Roman"/>
      </w:rPr>
    </w:lvl>
    <w:lvl w:ilvl="3" w:tplc="04050001" w:tentative="1">
      <w:start w:val="1"/>
      <w:numFmt w:val="decimal"/>
      <w:lvlText w:val="%4."/>
      <w:lvlJc w:val="left"/>
      <w:pPr>
        <w:tabs>
          <w:tab w:val="num" w:pos="3288"/>
        </w:tabs>
        <w:ind w:left="3288" w:hanging="360"/>
      </w:pPr>
      <w:rPr>
        <w:rFonts w:cs="Times New Roman"/>
      </w:rPr>
    </w:lvl>
    <w:lvl w:ilvl="4" w:tplc="04050003" w:tentative="1">
      <w:start w:val="1"/>
      <w:numFmt w:val="lowerLetter"/>
      <w:lvlText w:val="%5."/>
      <w:lvlJc w:val="left"/>
      <w:pPr>
        <w:tabs>
          <w:tab w:val="num" w:pos="4008"/>
        </w:tabs>
        <w:ind w:left="4008" w:hanging="360"/>
      </w:pPr>
      <w:rPr>
        <w:rFonts w:cs="Times New Roman"/>
      </w:rPr>
    </w:lvl>
    <w:lvl w:ilvl="5" w:tplc="04050005" w:tentative="1">
      <w:start w:val="1"/>
      <w:numFmt w:val="lowerRoman"/>
      <w:lvlText w:val="%6."/>
      <w:lvlJc w:val="right"/>
      <w:pPr>
        <w:tabs>
          <w:tab w:val="num" w:pos="4728"/>
        </w:tabs>
        <w:ind w:left="4728" w:hanging="180"/>
      </w:pPr>
      <w:rPr>
        <w:rFonts w:cs="Times New Roman"/>
      </w:rPr>
    </w:lvl>
    <w:lvl w:ilvl="6" w:tplc="04050001" w:tentative="1">
      <w:start w:val="1"/>
      <w:numFmt w:val="decimal"/>
      <w:lvlText w:val="%7."/>
      <w:lvlJc w:val="left"/>
      <w:pPr>
        <w:tabs>
          <w:tab w:val="num" w:pos="5448"/>
        </w:tabs>
        <w:ind w:left="5448" w:hanging="360"/>
      </w:pPr>
      <w:rPr>
        <w:rFonts w:cs="Times New Roman"/>
      </w:rPr>
    </w:lvl>
    <w:lvl w:ilvl="7" w:tplc="04050003" w:tentative="1">
      <w:start w:val="1"/>
      <w:numFmt w:val="lowerLetter"/>
      <w:lvlText w:val="%8."/>
      <w:lvlJc w:val="left"/>
      <w:pPr>
        <w:tabs>
          <w:tab w:val="num" w:pos="6168"/>
        </w:tabs>
        <w:ind w:left="6168" w:hanging="360"/>
      </w:pPr>
      <w:rPr>
        <w:rFonts w:cs="Times New Roman"/>
      </w:rPr>
    </w:lvl>
    <w:lvl w:ilvl="8" w:tplc="04050005" w:tentative="1">
      <w:start w:val="1"/>
      <w:numFmt w:val="lowerRoman"/>
      <w:lvlText w:val="%9."/>
      <w:lvlJc w:val="right"/>
      <w:pPr>
        <w:tabs>
          <w:tab w:val="num" w:pos="6888"/>
        </w:tabs>
        <w:ind w:left="6888" w:hanging="180"/>
      </w:pPr>
      <w:rPr>
        <w:rFonts w:cs="Times New Roman"/>
      </w:rPr>
    </w:lvl>
  </w:abstractNum>
  <w:abstractNum w:abstractNumId="42" w15:restartNumberingAfterBreak="0">
    <w:nsid w:val="644508CD"/>
    <w:multiLevelType w:val="hybridMultilevel"/>
    <w:tmpl w:val="C672B5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4E87370"/>
    <w:multiLevelType w:val="hybridMultilevel"/>
    <w:tmpl w:val="A8A8C5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702047C"/>
    <w:multiLevelType w:val="hybridMultilevel"/>
    <w:tmpl w:val="BA9A3A18"/>
    <w:lvl w:ilvl="0" w:tplc="62BE8CFA">
      <w:start w:val="1"/>
      <w:numFmt w:val="decimal"/>
      <w:pStyle w:val="Dvodovzprvakpododdlu"/>
      <w:suff w:val="nothing"/>
      <w:lvlText w:val="K pododdílu %1"/>
      <w:lvlJc w:val="left"/>
      <w:pPr>
        <w:ind w:left="0" w:firstLine="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688457A9"/>
    <w:multiLevelType w:val="hybridMultilevel"/>
    <w:tmpl w:val="4A6806EA"/>
    <w:lvl w:ilvl="0" w:tplc="04050011">
      <w:start w:val="1"/>
      <w:numFmt w:val="decimal"/>
      <w:lvlText w:val="%1)"/>
      <w:lvlJc w:val="left"/>
      <w:pPr>
        <w:ind w:left="644" w:hanging="360"/>
      </w:p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6" w15:restartNumberingAfterBreak="0">
    <w:nsid w:val="6D14627C"/>
    <w:multiLevelType w:val="hybridMultilevel"/>
    <w:tmpl w:val="D03AB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D2210EB"/>
    <w:multiLevelType w:val="hybridMultilevel"/>
    <w:tmpl w:val="52588E24"/>
    <w:lvl w:ilvl="0" w:tplc="C674CC82">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48" w15:restartNumberingAfterBreak="0">
    <w:nsid w:val="6E370F52"/>
    <w:multiLevelType w:val="hybridMultilevel"/>
    <w:tmpl w:val="D50E00CC"/>
    <w:lvl w:ilvl="0" w:tplc="437A026A">
      <w:start w:val="1"/>
      <w:numFmt w:val="decimal"/>
      <w:pStyle w:val="Dvodovzprvakoddlu"/>
      <w:suff w:val="nothing"/>
      <w:lvlText w:val="K oddílu %1"/>
      <w:lvlJc w:val="left"/>
      <w:pPr>
        <w:ind w:left="0" w:firstLine="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6EEA549D"/>
    <w:multiLevelType w:val="hybridMultilevel"/>
    <w:tmpl w:val="A49EE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1FB70A6"/>
    <w:multiLevelType w:val="hybridMultilevel"/>
    <w:tmpl w:val="38DE2E4C"/>
    <w:lvl w:ilvl="0" w:tplc="5DF85A00">
      <w:start w:val="38"/>
      <w:numFmt w:val="decimal"/>
      <w:pStyle w:val="Dvodovzprvakbodu"/>
      <w:suff w:val="space"/>
      <w:lvlText w:val="K bodu %1"/>
      <w:lvlJc w:val="left"/>
      <w:pPr>
        <w:ind w:left="0" w:firstLine="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723B245A"/>
    <w:multiLevelType w:val="hybridMultilevel"/>
    <w:tmpl w:val="9D7E7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2BF5EED"/>
    <w:multiLevelType w:val="hybridMultilevel"/>
    <w:tmpl w:val="D0806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8604A35"/>
    <w:multiLevelType w:val="hybridMultilevel"/>
    <w:tmpl w:val="2D2C538A"/>
    <w:lvl w:ilvl="0" w:tplc="04050017">
      <w:start w:val="1"/>
      <w:numFmt w:val="decimal"/>
      <w:pStyle w:val="StylDvodovzprva16bTun"/>
      <w:lvlText w:val="K bodu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9AB6F2F"/>
    <w:multiLevelType w:val="hybridMultilevel"/>
    <w:tmpl w:val="FE18A004"/>
    <w:lvl w:ilvl="0" w:tplc="3760B5A6">
      <w:start w:val="1"/>
      <w:numFmt w:val="decimal"/>
      <w:pStyle w:val="Dvodovzprvakbodu0"/>
      <w:suff w:val="space"/>
      <w:lvlText w:val="K bodu %1"/>
      <w:lvlJc w:val="left"/>
      <w:pPr>
        <w:ind w:left="0" w:firstLine="0"/>
      </w:pPr>
      <w:rPr>
        <w:rFonts w:ascii="Arial" w:hAnsi="Arial" w:cs="Arial"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7BA23D4F"/>
    <w:multiLevelType w:val="hybridMultilevel"/>
    <w:tmpl w:val="5D3E77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FE12532"/>
    <w:multiLevelType w:val="hybridMultilevel"/>
    <w:tmpl w:val="A410A940"/>
    <w:lvl w:ilvl="0" w:tplc="52C6C694">
      <w:start w:val="1"/>
      <w:numFmt w:val="upperRoman"/>
      <w:pStyle w:val="Dvodovzprvakhlav"/>
      <w:suff w:val="nothing"/>
      <w:lvlText w:val="K hlavě %1"/>
      <w:lvlJc w:val="left"/>
      <w:pPr>
        <w:ind w:left="0" w:firstLine="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9"/>
  </w:num>
  <w:num w:numId="2">
    <w:abstractNumId w:val="14"/>
  </w:num>
  <w:num w:numId="3">
    <w:abstractNumId w:val="13"/>
  </w:num>
  <w:num w:numId="4">
    <w:abstractNumId w:val="17"/>
  </w:num>
  <w:num w:numId="5">
    <w:abstractNumId w:val="56"/>
  </w:num>
  <w:num w:numId="6">
    <w:abstractNumId w:val="39"/>
  </w:num>
  <w:num w:numId="7">
    <w:abstractNumId w:val="48"/>
  </w:num>
  <w:num w:numId="8">
    <w:abstractNumId w:val="44"/>
  </w:num>
  <w:num w:numId="9">
    <w:abstractNumId w:val="8"/>
  </w:num>
  <w:num w:numId="10">
    <w:abstractNumId w:val="3"/>
  </w:num>
  <w:num w:numId="11">
    <w:abstractNumId w:val="2"/>
  </w:num>
  <w:num w:numId="12">
    <w:abstractNumId w:val="1"/>
  </w:num>
  <w:num w:numId="13">
    <w:abstractNumId w:val="0"/>
  </w:num>
  <w:num w:numId="14">
    <w:abstractNumId w:val="34"/>
  </w:num>
  <w:num w:numId="15">
    <w:abstractNumId w:val="9"/>
  </w:num>
  <w:num w:numId="16">
    <w:abstractNumId w:val="7"/>
  </w:num>
  <w:num w:numId="17">
    <w:abstractNumId w:val="6"/>
  </w:num>
  <w:num w:numId="18">
    <w:abstractNumId w:val="5"/>
  </w:num>
  <w:num w:numId="19">
    <w:abstractNumId w:val="4"/>
  </w:num>
  <w:num w:numId="20">
    <w:abstractNumId w:val="23"/>
  </w:num>
  <w:num w:numId="21">
    <w:abstractNumId w:val="25"/>
  </w:num>
  <w:num w:numId="22">
    <w:abstractNumId w:val="54"/>
    <w:lvlOverride w:ilvl="0">
      <w:startOverride w:val="1"/>
    </w:lvlOverride>
  </w:num>
  <w:num w:numId="23">
    <w:abstractNumId w:val="26"/>
  </w:num>
  <w:num w:numId="24">
    <w:abstractNumId w:val="21"/>
  </w:num>
  <w:num w:numId="25">
    <w:abstractNumId w:val="53"/>
  </w:num>
  <w:num w:numId="26">
    <w:abstractNumId w:val="41"/>
  </w:num>
  <w:num w:numId="27">
    <w:abstractNumId w:val="22"/>
  </w:num>
  <w:num w:numId="28">
    <w:abstractNumId w:val="27"/>
  </w:num>
  <w:num w:numId="29">
    <w:abstractNumId w:val="45"/>
  </w:num>
  <w:num w:numId="30">
    <w:abstractNumId w:val="50"/>
  </w:num>
  <w:num w:numId="31">
    <w:abstractNumId w:val="43"/>
  </w:num>
  <w:num w:numId="32">
    <w:abstractNumId w:val="36"/>
  </w:num>
  <w:num w:numId="33">
    <w:abstractNumId w:val="46"/>
  </w:num>
  <w:num w:numId="34">
    <w:abstractNumId w:val="37"/>
  </w:num>
  <w:num w:numId="35">
    <w:abstractNumId w:val="49"/>
  </w:num>
  <w:num w:numId="36">
    <w:abstractNumId w:val="52"/>
  </w:num>
  <w:num w:numId="37">
    <w:abstractNumId w:val="28"/>
  </w:num>
  <w:num w:numId="38">
    <w:abstractNumId w:val="19"/>
  </w:num>
  <w:num w:numId="39">
    <w:abstractNumId w:val="35"/>
  </w:num>
  <w:num w:numId="40">
    <w:abstractNumId w:val="47"/>
  </w:num>
  <w:num w:numId="41">
    <w:abstractNumId w:val="40"/>
  </w:num>
  <w:num w:numId="42">
    <w:abstractNumId w:val="12"/>
  </w:num>
  <w:num w:numId="43">
    <w:abstractNumId w:val="20"/>
  </w:num>
  <w:num w:numId="44">
    <w:abstractNumId w:val="38"/>
  </w:num>
  <w:num w:numId="45">
    <w:abstractNumId w:val="55"/>
  </w:num>
  <w:num w:numId="46">
    <w:abstractNumId w:val="18"/>
  </w:num>
  <w:num w:numId="47">
    <w:abstractNumId w:val="15"/>
  </w:num>
  <w:num w:numId="48">
    <w:abstractNumId w:val="30"/>
  </w:num>
  <w:num w:numId="49">
    <w:abstractNumId w:val="33"/>
  </w:num>
  <w:num w:numId="50">
    <w:abstractNumId w:val="10"/>
  </w:num>
  <w:num w:numId="51">
    <w:abstractNumId w:val="51"/>
  </w:num>
  <w:num w:numId="52">
    <w:abstractNumId w:val="31"/>
  </w:num>
  <w:num w:numId="53">
    <w:abstractNumId w:val="50"/>
    <w:lvlOverride w:ilvl="0">
      <w:startOverride w:val="1"/>
    </w:lvlOverride>
  </w:num>
  <w:num w:numId="54">
    <w:abstractNumId w:val="50"/>
    <w:lvlOverride w:ilvl="0">
      <w:startOverride w:val="1"/>
    </w:lvlOverride>
  </w:num>
  <w:num w:numId="55">
    <w:abstractNumId w:val="50"/>
    <w:lvlOverride w:ilvl="0">
      <w:startOverride w:val="1"/>
    </w:lvlOverride>
  </w:num>
  <w:num w:numId="56">
    <w:abstractNumId w:val="50"/>
    <w:lvlOverride w:ilvl="0">
      <w:startOverride w:val="1"/>
    </w:lvlOverride>
  </w:num>
  <w:num w:numId="57">
    <w:abstractNumId w:val="50"/>
    <w:lvlOverride w:ilvl="0">
      <w:startOverride w:val="1"/>
    </w:lvlOverride>
  </w:num>
  <w:num w:numId="58">
    <w:abstractNumId w:val="50"/>
    <w:lvlOverride w:ilvl="0">
      <w:startOverride w:val="1"/>
    </w:lvlOverride>
  </w:num>
  <w:num w:numId="59">
    <w:abstractNumId w:val="50"/>
    <w:lvlOverride w:ilvl="0">
      <w:startOverride w:val="1"/>
    </w:lvlOverride>
  </w:num>
  <w:num w:numId="60">
    <w:abstractNumId w:val="50"/>
    <w:lvlOverride w:ilvl="0">
      <w:startOverride w:val="1"/>
    </w:lvlOverride>
  </w:num>
  <w:num w:numId="61">
    <w:abstractNumId w:val="50"/>
    <w:lvlOverride w:ilvl="0">
      <w:startOverride w:val="1"/>
    </w:lvlOverride>
  </w:num>
  <w:num w:numId="62">
    <w:abstractNumId w:val="50"/>
    <w:lvlOverride w:ilvl="0">
      <w:startOverride w:val="1"/>
    </w:lvlOverride>
  </w:num>
  <w:num w:numId="63">
    <w:abstractNumId w:val="50"/>
    <w:lvlOverride w:ilvl="0">
      <w:startOverride w:val="1"/>
    </w:lvlOverride>
  </w:num>
  <w:num w:numId="64">
    <w:abstractNumId w:val="50"/>
  </w:num>
  <w:num w:numId="65">
    <w:abstractNumId w:val="50"/>
    <w:lvlOverride w:ilvl="0">
      <w:startOverride w:val="5"/>
    </w:lvlOverride>
  </w:num>
  <w:num w:numId="66">
    <w:abstractNumId w:val="50"/>
    <w:lvlOverride w:ilvl="0">
      <w:startOverride w:val="1"/>
    </w:lvlOverride>
  </w:num>
  <w:num w:numId="67">
    <w:abstractNumId w:val="50"/>
    <w:lvlOverride w:ilvl="0">
      <w:startOverride w:val="1"/>
    </w:lvlOverride>
  </w:num>
  <w:num w:numId="68">
    <w:abstractNumId w:val="50"/>
    <w:lvlOverride w:ilvl="0">
      <w:startOverride w:val="1"/>
    </w:lvlOverride>
  </w:num>
  <w:num w:numId="69">
    <w:abstractNumId w:val="50"/>
    <w:lvlOverride w:ilvl="0">
      <w:startOverride w:val="1"/>
    </w:lvlOverride>
  </w:num>
  <w:num w:numId="70">
    <w:abstractNumId w:val="50"/>
    <w:lvlOverride w:ilvl="0">
      <w:startOverride w:val="4"/>
    </w:lvlOverride>
  </w:num>
  <w:num w:numId="71">
    <w:abstractNumId w:val="50"/>
    <w:lvlOverride w:ilvl="0">
      <w:startOverride w:val="3"/>
    </w:lvlOverride>
  </w:num>
  <w:num w:numId="72">
    <w:abstractNumId w:val="50"/>
    <w:lvlOverride w:ilvl="0">
      <w:startOverride w:val="1"/>
    </w:lvlOverride>
  </w:num>
  <w:num w:numId="73">
    <w:abstractNumId w:val="50"/>
  </w:num>
  <w:num w:numId="74">
    <w:abstractNumId w:val="50"/>
    <w:lvlOverride w:ilvl="0">
      <w:startOverride w:val="5"/>
    </w:lvlOverride>
  </w:num>
  <w:num w:numId="75">
    <w:abstractNumId w:val="50"/>
    <w:lvlOverride w:ilvl="0">
      <w:startOverride w:val="1"/>
    </w:lvlOverride>
  </w:num>
  <w:num w:numId="76">
    <w:abstractNumId w:val="50"/>
    <w:lvlOverride w:ilvl="0">
      <w:startOverride w:val="5"/>
    </w:lvlOverride>
  </w:num>
  <w:num w:numId="77">
    <w:abstractNumId w:val="50"/>
    <w:lvlOverride w:ilvl="0">
      <w:startOverride w:val="15"/>
    </w:lvlOverride>
  </w:num>
  <w:num w:numId="78">
    <w:abstractNumId w:val="50"/>
    <w:lvlOverride w:ilvl="0">
      <w:startOverride w:val="1"/>
    </w:lvlOverride>
  </w:num>
  <w:num w:numId="79">
    <w:abstractNumId w:val="50"/>
    <w:lvlOverride w:ilvl="0">
      <w:startOverride w:val="1"/>
    </w:lvlOverride>
  </w:num>
  <w:num w:numId="80">
    <w:abstractNumId w:val="50"/>
    <w:lvlOverride w:ilvl="0">
      <w:startOverride w:val="4"/>
    </w:lvlOverride>
  </w:num>
  <w:num w:numId="81">
    <w:abstractNumId w:val="50"/>
    <w:lvlOverride w:ilvl="0">
      <w:startOverride w:val="1"/>
    </w:lvlOverride>
  </w:num>
  <w:num w:numId="82">
    <w:abstractNumId w:val="50"/>
    <w:lvlOverride w:ilvl="0">
      <w:startOverride w:val="1"/>
    </w:lvlOverride>
  </w:num>
  <w:num w:numId="83">
    <w:abstractNumId w:val="50"/>
    <w:lvlOverride w:ilvl="0">
      <w:startOverride w:val="1"/>
    </w:lvlOverride>
  </w:num>
  <w:num w:numId="84">
    <w:abstractNumId w:val="42"/>
  </w:num>
  <w:num w:numId="85">
    <w:abstractNumId w:val="50"/>
    <w:lvlOverride w:ilvl="0">
      <w:startOverride w:val="1"/>
    </w:lvlOverride>
  </w:num>
  <w:num w:numId="86">
    <w:abstractNumId w:val="50"/>
    <w:lvlOverride w:ilvl="0">
      <w:startOverride w:val="1"/>
    </w:lvlOverride>
  </w:num>
  <w:num w:numId="87">
    <w:abstractNumId w:val="50"/>
    <w:lvlOverride w:ilvl="0">
      <w:startOverride w:val="1"/>
    </w:lvlOverride>
  </w:num>
  <w:num w:numId="88">
    <w:abstractNumId w:val="50"/>
    <w:lvlOverride w:ilvl="0">
      <w:startOverride w:val="1"/>
    </w:lvlOverride>
  </w:num>
  <w:num w:numId="89">
    <w:abstractNumId w:val="16"/>
  </w:num>
  <w:num w:numId="90">
    <w:abstractNumId w:val="11"/>
  </w:num>
  <w:num w:numId="91">
    <w:abstractNumId w:val="32"/>
  </w:num>
  <w:num w:numId="92">
    <w:abstractNumId w:val="24"/>
  </w:num>
  <w:num w:numId="93">
    <w:abstractNumId w:val="50"/>
    <w:lvlOverride w:ilvl="0">
      <w:startOverride w:val="1"/>
    </w:lvlOverride>
  </w:num>
  <w:num w:numId="94">
    <w:abstractNumId w:val="50"/>
    <w:lvlOverride w:ilvl="0">
      <w:startOverride w:val="38"/>
    </w:lvlOverride>
  </w:num>
  <w:num w:numId="95">
    <w:abstractNumId w:val="50"/>
    <w:lvlOverride w:ilvl="0">
      <w:startOverride w:val="1"/>
    </w:lvlOverride>
  </w:num>
  <w:num w:numId="96">
    <w:abstractNumId w:val="50"/>
    <w:lvlOverride w:ilvl="0">
      <w:startOverride w:val="8"/>
    </w:lvlOverride>
  </w:num>
  <w:num w:numId="97">
    <w:abstractNumId w:val="50"/>
  </w:num>
  <w:num w:numId="98">
    <w:abstractNumId w:val="50"/>
    <w:lvlOverride w:ilvl="0">
      <w:startOverride w:val="14"/>
    </w:lvlOverride>
  </w:num>
  <w:num w:numId="99">
    <w:abstractNumId w:val="50"/>
  </w:num>
  <w:num w:numId="100">
    <w:abstractNumId w:val="50"/>
    <w:lvlOverride w:ilvl="0">
      <w:startOverride w:val="1"/>
    </w:lvlOverride>
  </w:num>
  <w:num w:numId="101">
    <w:abstractNumId w:val="50"/>
  </w:num>
  <w:num w:numId="102">
    <w:abstractNumId w:val="50"/>
    <w:lvlOverride w:ilvl="0">
      <w:startOverride w:val="39"/>
    </w:lvlOverride>
  </w:num>
  <w:num w:numId="103">
    <w:abstractNumId w:val="50"/>
  </w:num>
  <w:num w:numId="104">
    <w:abstractNumId w:val="5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ze_sablony" w:val="2.1"/>
  </w:docVars>
  <w:rsids>
    <w:rsidRoot w:val="00F155E3"/>
    <w:rsid w:val="00000517"/>
    <w:rsid w:val="00000B3D"/>
    <w:rsid w:val="00000EE7"/>
    <w:rsid w:val="00001CDA"/>
    <w:rsid w:val="00001FC4"/>
    <w:rsid w:val="00003551"/>
    <w:rsid w:val="00003E66"/>
    <w:rsid w:val="00006511"/>
    <w:rsid w:val="00006E88"/>
    <w:rsid w:val="00007419"/>
    <w:rsid w:val="00007767"/>
    <w:rsid w:val="00007BB3"/>
    <w:rsid w:val="0001089A"/>
    <w:rsid w:val="00011EBD"/>
    <w:rsid w:val="00016975"/>
    <w:rsid w:val="0002324C"/>
    <w:rsid w:val="000236AC"/>
    <w:rsid w:val="000241CF"/>
    <w:rsid w:val="000255CF"/>
    <w:rsid w:val="000259CC"/>
    <w:rsid w:val="0003045D"/>
    <w:rsid w:val="000309BC"/>
    <w:rsid w:val="00031743"/>
    <w:rsid w:val="00031AC0"/>
    <w:rsid w:val="00034232"/>
    <w:rsid w:val="00036C30"/>
    <w:rsid w:val="00043735"/>
    <w:rsid w:val="00044791"/>
    <w:rsid w:val="00044A17"/>
    <w:rsid w:val="00046156"/>
    <w:rsid w:val="000501C5"/>
    <w:rsid w:val="00051435"/>
    <w:rsid w:val="0005195D"/>
    <w:rsid w:val="000536BE"/>
    <w:rsid w:val="00054A1A"/>
    <w:rsid w:val="00055257"/>
    <w:rsid w:val="0006180E"/>
    <w:rsid w:val="00062714"/>
    <w:rsid w:val="000628A2"/>
    <w:rsid w:val="00063044"/>
    <w:rsid w:val="000633E8"/>
    <w:rsid w:val="000679BB"/>
    <w:rsid w:val="0007000C"/>
    <w:rsid w:val="00075C38"/>
    <w:rsid w:val="00080B72"/>
    <w:rsid w:val="000816F7"/>
    <w:rsid w:val="000826E9"/>
    <w:rsid w:val="00082966"/>
    <w:rsid w:val="00083067"/>
    <w:rsid w:val="00083D0A"/>
    <w:rsid w:val="00085029"/>
    <w:rsid w:val="0008510D"/>
    <w:rsid w:val="0008643B"/>
    <w:rsid w:val="0009017A"/>
    <w:rsid w:val="0009084F"/>
    <w:rsid w:val="000913CB"/>
    <w:rsid w:val="00091514"/>
    <w:rsid w:val="00094223"/>
    <w:rsid w:val="00094A77"/>
    <w:rsid w:val="000954FA"/>
    <w:rsid w:val="0009651E"/>
    <w:rsid w:val="0009796B"/>
    <w:rsid w:val="000A08A5"/>
    <w:rsid w:val="000A47CE"/>
    <w:rsid w:val="000A77E2"/>
    <w:rsid w:val="000B0FE2"/>
    <w:rsid w:val="000B19BE"/>
    <w:rsid w:val="000B310A"/>
    <w:rsid w:val="000C07E6"/>
    <w:rsid w:val="000C1375"/>
    <w:rsid w:val="000C17B5"/>
    <w:rsid w:val="000C744B"/>
    <w:rsid w:val="000C74B4"/>
    <w:rsid w:val="000C777F"/>
    <w:rsid w:val="000D2C40"/>
    <w:rsid w:val="000D3220"/>
    <w:rsid w:val="000D5789"/>
    <w:rsid w:val="000D5DA3"/>
    <w:rsid w:val="000D67D8"/>
    <w:rsid w:val="000D6A0B"/>
    <w:rsid w:val="000D6C02"/>
    <w:rsid w:val="000E03D2"/>
    <w:rsid w:val="000E1BD6"/>
    <w:rsid w:val="000E7679"/>
    <w:rsid w:val="000E7A0F"/>
    <w:rsid w:val="000E7EB6"/>
    <w:rsid w:val="000F03EC"/>
    <w:rsid w:val="000F09D3"/>
    <w:rsid w:val="000F0D2C"/>
    <w:rsid w:val="000F1079"/>
    <w:rsid w:val="000F35D0"/>
    <w:rsid w:val="000F4B3B"/>
    <w:rsid w:val="000F5235"/>
    <w:rsid w:val="0010099C"/>
    <w:rsid w:val="001011AA"/>
    <w:rsid w:val="001021E6"/>
    <w:rsid w:val="00104DD9"/>
    <w:rsid w:val="00105EBC"/>
    <w:rsid w:val="0010722F"/>
    <w:rsid w:val="00107C8D"/>
    <w:rsid w:val="001104BC"/>
    <w:rsid w:val="00110E69"/>
    <w:rsid w:val="00111412"/>
    <w:rsid w:val="0011155F"/>
    <w:rsid w:val="00111E8A"/>
    <w:rsid w:val="00112A50"/>
    <w:rsid w:val="00112BFA"/>
    <w:rsid w:val="001151C4"/>
    <w:rsid w:val="00115AF3"/>
    <w:rsid w:val="00115EBC"/>
    <w:rsid w:val="001171D6"/>
    <w:rsid w:val="0012081A"/>
    <w:rsid w:val="001241F1"/>
    <w:rsid w:val="001338D2"/>
    <w:rsid w:val="00133AC8"/>
    <w:rsid w:val="00133C3C"/>
    <w:rsid w:val="00134DA6"/>
    <w:rsid w:val="001355A9"/>
    <w:rsid w:val="001356F0"/>
    <w:rsid w:val="00136991"/>
    <w:rsid w:val="00141831"/>
    <w:rsid w:val="0014446B"/>
    <w:rsid w:val="001445B7"/>
    <w:rsid w:val="00146A6E"/>
    <w:rsid w:val="001508AD"/>
    <w:rsid w:val="00151BE2"/>
    <w:rsid w:val="00152E20"/>
    <w:rsid w:val="00161287"/>
    <w:rsid w:val="00165236"/>
    <w:rsid w:val="0016664C"/>
    <w:rsid w:val="00173A01"/>
    <w:rsid w:val="00173D20"/>
    <w:rsid w:val="0017468A"/>
    <w:rsid w:val="00175219"/>
    <w:rsid w:val="0017762B"/>
    <w:rsid w:val="001777C7"/>
    <w:rsid w:val="001826DA"/>
    <w:rsid w:val="001845FC"/>
    <w:rsid w:val="001854F7"/>
    <w:rsid w:val="00185FDA"/>
    <w:rsid w:val="0018605F"/>
    <w:rsid w:val="00187C38"/>
    <w:rsid w:val="00190372"/>
    <w:rsid w:val="00190CFB"/>
    <w:rsid w:val="001915C1"/>
    <w:rsid w:val="001A1A4C"/>
    <w:rsid w:val="001A219F"/>
    <w:rsid w:val="001A42A7"/>
    <w:rsid w:val="001A4798"/>
    <w:rsid w:val="001A7602"/>
    <w:rsid w:val="001A7676"/>
    <w:rsid w:val="001B0FBF"/>
    <w:rsid w:val="001B1F20"/>
    <w:rsid w:val="001B2C55"/>
    <w:rsid w:val="001B3EE9"/>
    <w:rsid w:val="001B5767"/>
    <w:rsid w:val="001B6230"/>
    <w:rsid w:val="001B63F9"/>
    <w:rsid w:val="001C113E"/>
    <w:rsid w:val="001C1C2B"/>
    <w:rsid w:val="001C212E"/>
    <w:rsid w:val="001C3B07"/>
    <w:rsid w:val="001C6AAD"/>
    <w:rsid w:val="001D034F"/>
    <w:rsid w:val="001D04BE"/>
    <w:rsid w:val="001D1106"/>
    <w:rsid w:val="001D1467"/>
    <w:rsid w:val="001D18E3"/>
    <w:rsid w:val="001D2A0A"/>
    <w:rsid w:val="001D2E90"/>
    <w:rsid w:val="001D35C4"/>
    <w:rsid w:val="001D5AF5"/>
    <w:rsid w:val="001D7B0D"/>
    <w:rsid w:val="001E237F"/>
    <w:rsid w:val="001E25C2"/>
    <w:rsid w:val="001E320A"/>
    <w:rsid w:val="001E3580"/>
    <w:rsid w:val="001E4421"/>
    <w:rsid w:val="001E512F"/>
    <w:rsid w:val="001E6BD7"/>
    <w:rsid w:val="001F0C2B"/>
    <w:rsid w:val="001F128B"/>
    <w:rsid w:val="001F2310"/>
    <w:rsid w:val="001F2E0A"/>
    <w:rsid w:val="001F35D0"/>
    <w:rsid w:val="001F408E"/>
    <w:rsid w:val="001F4A02"/>
    <w:rsid w:val="001F652C"/>
    <w:rsid w:val="001F77CD"/>
    <w:rsid w:val="001F7A66"/>
    <w:rsid w:val="001F7B93"/>
    <w:rsid w:val="002016FB"/>
    <w:rsid w:val="002030CD"/>
    <w:rsid w:val="002035B5"/>
    <w:rsid w:val="00203DEE"/>
    <w:rsid w:val="00204962"/>
    <w:rsid w:val="00204DCF"/>
    <w:rsid w:val="002053F4"/>
    <w:rsid w:val="002078EA"/>
    <w:rsid w:val="00211CFF"/>
    <w:rsid w:val="0021431A"/>
    <w:rsid w:val="00215692"/>
    <w:rsid w:val="002207EF"/>
    <w:rsid w:val="00220AF2"/>
    <w:rsid w:val="0022218B"/>
    <w:rsid w:val="00224710"/>
    <w:rsid w:val="002249CC"/>
    <w:rsid w:val="00225A14"/>
    <w:rsid w:val="002279B6"/>
    <w:rsid w:val="00227FF5"/>
    <w:rsid w:val="002337C5"/>
    <w:rsid w:val="00234F34"/>
    <w:rsid w:val="00236EAF"/>
    <w:rsid w:val="00242478"/>
    <w:rsid w:val="0024590C"/>
    <w:rsid w:val="002464EA"/>
    <w:rsid w:val="00246BB5"/>
    <w:rsid w:val="00246EFA"/>
    <w:rsid w:val="00251FED"/>
    <w:rsid w:val="00252E2F"/>
    <w:rsid w:val="00253839"/>
    <w:rsid w:val="002546A2"/>
    <w:rsid w:val="0025516E"/>
    <w:rsid w:val="002554F8"/>
    <w:rsid w:val="00257EF4"/>
    <w:rsid w:val="0026267D"/>
    <w:rsid w:val="00264680"/>
    <w:rsid w:val="00264913"/>
    <w:rsid w:val="0026519B"/>
    <w:rsid w:val="00266A0C"/>
    <w:rsid w:val="00272B36"/>
    <w:rsid w:val="00276053"/>
    <w:rsid w:val="002767E3"/>
    <w:rsid w:val="00277677"/>
    <w:rsid w:val="002830D2"/>
    <w:rsid w:val="0028418C"/>
    <w:rsid w:val="00286B5C"/>
    <w:rsid w:val="0028774D"/>
    <w:rsid w:val="002908E8"/>
    <w:rsid w:val="00291098"/>
    <w:rsid w:val="00291454"/>
    <w:rsid w:val="00291F63"/>
    <w:rsid w:val="00292FD9"/>
    <w:rsid w:val="002941DD"/>
    <w:rsid w:val="00295E44"/>
    <w:rsid w:val="0029743D"/>
    <w:rsid w:val="002A0627"/>
    <w:rsid w:val="002A177E"/>
    <w:rsid w:val="002A356D"/>
    <w:rsid w:val="002A394C"/>
    <w:rsid w:val="002A5C9A"/>
    <w:rsid w:val="002A5EE6"/>
    <w:rsid w:val="002A786B"/>
    <w:rsid w:val="002A7DEB"/>
    <w:rsid w:val="002B1D12"/>
    <w:rsid w:val="002B2ABC"/>
    <w:rsid w:val="002B65C6"/>
    <w:rsid w:val="002B68BC"/>
    <w:rsid w:val="002B6A39"/>
    <w:rsid w:val="002C01C3"/>
    <w:rsid w:val="002C25E4"/>
    <w:rsid w:val="002C3C6D"/>
    <w:rsid w:val="002C6370"/>
    <w:rsid w:val="002D06D7"/>
    <w:rsid w:val="002D120D"/>
    <w:rsid w:val="002D2693"/>
    <w:rsid w:val="002D3D35"/>
    <w:rsid w:val="002D4228"/>
    <w:rsid w:val="002D4821"/>
    <w:rsid w:val="002D5563"/>
    <w:rsid w:val="002D61B4"/>
    <w:rsid w:val="002D722B"/>
    <w:rsid w:val="002D7F0D"/>
    <w:rsid w:val="002E0474"/>
    <w:rsid w:val="002E0A88"/>
    <w:rsid w:val="002E0E11"/>
    <w:rsid w:val="002E31EE"/>
    <w:rsid w:val="002E4675"/>
    <w:rsid w:val="002E4B46"/>
    <w:rsid w:val="002E6C27"/>
    <w:rsid w:val="002E6E80"/>
    <w:rsid w:val="002F0FF8"/>
    <w:rsid w:val="002F14DF"/>
    <w:rsid w:val="002F167A"/>
    <w:rsid w:val="002F30D5"/>
    <w:rsid w:val="002F4F76"/>
    <w:rsid w:val="002F5167"/>
    <w:rsid w:val="002F5BB6"/>
    <w:rsid w:val="0030172C"/>
    <w:rsid w:val="00303BE0"/>
    <w:rsid w:val="00304C76"/>
    <w:rsid w:val="0030578F"/>
    <w:rsid w:val="00310181"/>
    <w:rsid w:val="00310960"/>
    <w:rsid w:val="00312E4E"/>
    <w:rsid w:val="003156D9"/>
    <w:rsid w:val="00316C31"/>
    <w:rsid w:val="0031713D"/>
    <w:rsid w:val="00317159"/>
    <w:rsid w:val="00317A3D"/>
    <w:rsid w:val="00320E9D"/>
    <w:rsid w:val="003224FE"/>
    <w:rsid w:val="00322E95"/>
    <w:rsid w:val="00322EC1"/>
    <w:rsid w:val="0032328A"/>
    <w:rsid w:val="0032458F"/>
    <w:rsid w:val="00325A54"/>
    <w:rsid w:val="00325B22"/>
    <w:rsid w:val="0032713E"/>
    <w:rsid w:val="00330CC6"/>
    <w:rsid w:val="00332DF9"/>
    <w:rsid w:val="0033309F"/>
    <w:rsid w:val="00333371"/>
    <w:rsid w:val="003333B0"/>
    <w:rsid w:val="00333E3A"/>
    <w:rsid w:val="00336AA2"/>
    <w:rsid w:val="0034135A"/>
    <w:rsid w:val="0034475B"/>
    <w:rsid w:val="00344D39"/>
    <w:rsid w:val="00345643"/>
    <w:rsid w:val="00346EE6"/>
    <w:rsid w:val="00347451"/>
    <w:rsid w:val="00351787"/>
    <w:rsid w:val="00351BA0"/>
    <w:rsid w:val="00352C61"/>
    <w:rsid w:val="0035431C"/>
    <w:rsid w:val="00356681"/>
    <w:rsid w:val="00362D7F"/>
    <w:rsid w:val="003632D9"/>
    <w:rsid w:val="00364DC1"/>
    <w:rsid w:val="0036754F"/>
    <w:rsid w:val="00371697"/>
    <w:rsid w:val="00371849"/>
    <w:rsid w:val="00372590"/>
    <w:rsid w:val="00372C4F"/>
    <w:rsid w:val="003730B5"/>
    <w:rsid w:val="00373185"/>
    <w:rsid w:val="00374BC5"/>
    <w:rsid w:val="003765AA"/>
    <w:rsid w:val="003803D3"/>
    <w:rsid w:val="003823CD"/>
    <w:rsid w:val="00383825"/>
    <w:rsid w:val="00384505"/>
    <w:rsid w:val="00386276"/>
    <w:rsid w:val="00386C5B"/>
    <w:rsid w:val="00392323"/>
    <w:rsid w:val="00393FB0"/>
    <w:rsid w:val="003958E4"/>
    <w:rsid w:val="00395B3A"/>
    <w:rsid w:val="00397F34"/>
    <w:rsid w:val="003A09C7"/>
    <w:rsid w:val="003A0F82"/>
    <w:rsid w:val="003A2393"/>
    <w:rsid w:val="003A6162"/>
    <w:rsid w:val="003A7AD8"/>
    <w:rsid w:val="003C155A"/>
    <w:rsid w:val="003C1921"/>
    <w:rsid w:val="003C2C81"/>
    <w:rsid w:val="003D00CD"/>
    <w:rsid w:val="003D0701"/>
    <w:rsid w:val="003D0993"/>
    <w:rsid w:val="003D0F3B"/>
    <w:rsid w:val="003D1C1E"/>
    <w:rsid w:val="003D260A"/>
    <w:rsid w:val="003D32E9"/>
    <w:rsid w:val="003D402D"/>
    <w:rsid w:val="003D4418"/>
    <w:rsid w:val="003D665E"/>
    <w:rsid w:val="003D733C"/>
    <w:rsid w:val="003E09B3"/>
    <w:rsid w:val="003E1250"/>
    <w:rsid w:val="003E1A4D"/>
    <w:rsid w:val="003E3ABD"/>
    <w:rsid w:val="003E53B1"/>
    <w:rsid w:val="003E6118"/>
    <w:rsid w:val="003E62F3"/>
    <w:rsid w:val="003E7AAC"/>
    <w:rsid w:val="003F0554"/>
    <w:rsid w:val="003F0AAD"/>
    <w:rsid w:val="003F0E37"/>
    <w:rsid w:val="003F22E2"/>
    <w:rsid w:val="003F4CFF"/>
    <w:rsid w:val="003F6906"/>
    <w:rsid w:val="00402150"/>
    <w:rsid w:val="0040478D"/>
    <w:rsid w:val="00405AC4"/>
    <w:rsid w:val="00406755"/>
    <w:rsid w:val="00411B3A"/>
    <w:rsid w:val="004125E1"/>
    <w:rsid w:val="00415C18"/>
    <w:rsid w:val="00415E9C"/>
    <w:rsid w:val="0041776B"/>
    <w:rsid w:val="00417F99"/>
    <w:rsid w:val="00420FAE"/>
    <w:rsid w:val="004217F9"/>
    <w:rsid w:val="004220CA"/>
    <w:rsid w:val="0042731E"/>
    <w:rsid w:val="00427F33"/>
    <w:rsid w:val="004335B0"/>
    <w:rsid w:val="00433E29"/>
    <w:rsid w:val="004343FA"/>
    <w:rsid w:val="00434DA4"/>
    <w:rsid w:val="0043685D"/>
    <w:rsid w:val="004375B8"/>
    <w:rsid w:val="00443017"/>
    <w:rsid w:val="00445C88"/>
    <w:rsid w:val="00447D7F"/>
    <w:rsid w:val="004520BF"/>
    <w:rsid w:val="004528EA"/>
    <w:rsid w:val="004546FF"/>
    <w:rsid w:val="00455519"/>
    <w:rsid w:val="00455CA9"/>
    <w:rsid w:val="00461E35"/>
    <w:rsid w:val="00462525"/>
    <w:rsid w:val="0046385B"/>
    <w:rsid w:val="004638D1"/>
    <w:rsid w:val="004648C2"/>
    <w:rsid w:val="004667C1"/>
    <w:rsid w:val="00470679"/>
    <w:rsid w:val="004747B6"/>
    <w:rsid w:val="004748E6"/>
    <w:rsid w:val="00476E2C"/>
    <w:rsid w:val="00480419"/>
    <w:rsid w:val="00481C48"/>
    <w:rsid w:val="00482497"/>
    <w:rsid w:val="00482599"/>
    <w:rsid w:val="00483675"/>
    <w:rsid w:val="0048428C"/>
    <w:rsid w:val="00486A36"/>
    <w:rsid w:val="00486E13"/>
    <w:rsid w:val="00490383"/>
    <w:rsid w:val="004915B9"/>
    <w:rsid w:val="0049236B"/>
    <w:rsid w:val="004A08D2"/>
    <w:rsid w:val="004A650E"/>
    <w:rsid w:val="004A6B0F"/>
    <w:rsid w:val="004B46CD"/>
    <w:rsid w:val="004B658A"/>
    <w:rsid w:val="004C0569"/>
    <w:rsid w:val="004C3050"/>
    <w:rsid w:val="004C44F1"/>
    <w:rsid w:val="004C5898"/>
    <w:rsid w:val="004C5A7D"/>
    <w:rsid w:val="004C6F2A"/>
    <w:rsid w:val="004C7A7A"/>
    <w:rsid w:val="004D2154"/>
    <w:rsid w:val="004E0410"/>
    <w:rsid w:val="004E057A"/>
    <w:rsid w:val="004E17C8"/>
    <w:rsid w:val="004E1ADB"/>
    <w:rsid w:val="004E201A"/>
    <w:rsid w:val="004E27CF"/>
    <w:rsid w:val="004E296A"/>
    <w:rsid w:val="004E3065"/>
    <w:rsid w:val="004E5C52"/>
    <w:rsid w:val="004E687E"/>
    <w:rsid w:val="004F24FF"/>
    <w:rsid w:val="004F32C5"/>
    <w:rsid w:val="004F67A8"/>
    <w:rsid w:val="004F69DA"/>
    <w:rsid w:val="0050156B"/>
    <w:rsid w:val="00502584"/>
    <w:rsid w:val="005034BC"/>
    <w:rsid w:val="00503E5C"/>
    <w:rsid w:val="005046A1"/>
    <w:rsid w:val="0051368F"/>
    <w:rsid w:val="00514176"/>
    <w:rsid w:val="00515412"/>
    <w:rsid w:val="00521904"/>
    <w:rsid w:val="00522DC8"/>
    <w:rsid w:val="00523C17"/>
    <w:rsid w:val="00526BD3"/>
    <w:rsid w:val="005300C6"/>
    <w:rsid w:val="00530EBC"/>
    <w:rsid w:val="00531249"/>
    <w:rsid w:val="00532881"/>
    <w:rsid w:val="00532993"/>
    <w:rsid w:val="005331F9"/>
    <w:rsid w:val="005332AB"/>
    <w:rsid w:val="00534ED9"/>
    <w:rsid w:val="00535ACE"/>
    <w:rsid w:val="00536E27"/>
    <w:rsid w:val="00540D7D"/>
    <w:rsid w:val="005436E9"/>
    <w:rsid w:val="00543A62"/>
    <w:rsid w:val="005449EE"/>
    <w:rsid w:val="00552598"/>
    <w:rsid w:val="00552FDF"/>
    <w:rsid w:val="00553011"/>
    <w:rsid w:val="005532B5"/>
    <w:rsid w:val="00554791"/>
    <w:rsid w:val="00554927"/>
    <w:rsid w:val="005570E0"/>
    <w:rsid w:val="005571FF"/>
    <w:rsid w:val="0055726C"/>
    <w:rsid w:val="00561A19"/>
    <w:rsid w:val="00562F2D"/>
    <w:rsid w:val="00571989"/>
    <w:rsid w:val="005719D2"/>
    <w:rsid w:val="00571C59"/>
    <w:rsid w:val="00571E64"/>
    <w:rsid w:val="0057297A"/>
    <w:rsid w:val="00574EFE"/>
    <w:rsid w:val="0057710E"/>
    <w:rsid w:val="005808F7"/>
    <w:rsid w:val="00581D37"/>
    <w:rsid w:val="00582C7E"/>
    <w:rsid w:val="00584D8D"/>
    <w:rsid w:val="00585FB2"/>
    <w:rsid w:val="00587541"/>
    <w:rsid w:val="00591EE2"/>
    <w:rsid w:val="00592D19"/>
    <w:rsid w:val="0059309B"/>
    <w:rsid w:val="00593E7D"/>
    <w:rsid w:val="0059506E"/>
    <w:rsid w:val="0059600A"/>
    <w:rsid w:val="00596676"/>
    <w:rsid w:val="00597283"/>
    <w:rsid w:val="005978B4"/>
    <w:rsid w:val="005A245F"/>
    <w:rsid w:val="005A26EF"/>
    <w:rsid w:val="005A2743"/>
    <w:rsid w:val="005A2C88"/>
    <w:rsid w:val="005A2E48"/>
    <w:rsid w:val="005A61D3"/>
    <w:rsid w:val="005A63B8"/>
    <w:rsid w:val="005A6834"/>
    <w:rsid w:val="005A6F04"/>
    <w:rsid w:val="005A7C53"/>
    <w:rsid w:val="005B0FEF"/>
    <w:rsid w:val="005B24B6"/>
    <w:rsid w:val="005B326B"/>
    <w:rsid w:val="005B40AF"/>
    <w:rsid w:val="005B4AFA"/>
    <w:rsid w:val="005B5079"/>
    <w:rsid w:val="005B599E"/>
    <w:rsid w:val="005B5D56"/>
    <w:rsid w:val="005B7E57"/>
    <w:rsid w:val="005C0EBB"/>
    <w:rsid w:val="005C2748"/>
    <w:rsid w:val="005C2CDE"/>
    <w:rsid w:val="005C43BC"/>
    <w:rsid w:val="005C5ECA"/>
    <w:rsid w:val="005C6372"/>
    <w:rsid w:val="005C6E0B"/>
    <w:rsid w:val="005C734D"/>
    <w:rsid w:val="005D1539"/>
    <w:rsid w:val="005D326C"/>
    <w:rsid w:val="005D3435"/>
    <w:rsid w:val="005D5E8D"/>
    <w:rsid w:val="005D6343"/>
    <w:rsid w:val="005D655E"/>
    <w:rsid w:val="005D7B6F"/>
    <w:rsid w:val="005E162F"/>
    <w:rsid w:val="005E198B"/>
    <w:rsid w:val="005E2AF9"/>
    <w:rsid w:val="005E2D1C"/>
    <w:rsid w:val="005E415E"/>
    <w:rsid w:val="005E6177"/>
    <w:rsid w:val="005E6F98"/>
    <w:rsid w:val="005F03E3"/>
    <w:rsid w:val="005F23A5"/>
    <w:rsid w:val="005F4532"/>
    <w:rsid w:val="005F5FDA"/>
    <w:rsid w:val="005F65F8"/>
    <w:rsid w:val="005F6B33"/>
    <w:rsid w:val="005F72A8"/>
    <w:rsid w:val="005F7349"/>
    <w:rsid w:val="0060087E"/>
    <w:rsid w:val="00604EEB"/>
    <w:rsid w:val="00606F3C"/>
    <w:rsid w:val="00607084"/>
    <w:rsid w:val="00611C04"/>
    <w:rsid w:val="00614E85"/>
    <w:rsid w:val="0061608F"/>
    <w:rsid w:val="006168C6"/>
    <w:rsid w:val="006203CD"/>
    <w:rsid w:val="00620FAB"/>
    <w:rsid w:val="006211BA"/>
    <w:rsid w:val="006217D3"/>
    <w:rsid w:val="006248B8"/>
    <w:rsid w:val="00624AE9"/>
    <w:rsid w:val="006253C1"/>
    <w:rsid w:val="006277E6"/>
    <w:rsid w:val="006304BD"/>
    <w:rsid w:val="00632246"/>
    <w:rsid w:val="00633319"/>
    <w:rsid w:val="006348FF"/>
    <w:rsid w:val="006351B6"/>
    <w:rsid w:val="00637107"/>
    <w:rsid w:val="00637FCC"/>
    <w:rsid w:val="00640668"/>
    <w:rsid w:val="00643A3B"/>
    <w:rsid w:val="00644468"/>
    <w:rsid w:val="00646109"/>
    <w:rsid w:val="00647530"/>
    <w:rsid w:val="00647568"/>
    <w:rsid w:val="00647800"/>
    <w:rsid w:val="006478EB"/>
    <w:rsid w:val="0065097F"/>
    <w:rsid w:val="00650BE2"/>
    <w:rsid w:val="00650D85"/>
    <w:rsid w:val="00652E91"/>
    <w:rsid w:val="006545B6"/>
    <w:rsid w:val="006546C1"/>
    <w:rsid w:val="00654709"/>
    <w:rsid w:val="00654894"/>
    <w:rsid w:val="006571FA"/>
    <w:rsid w:val="00657C80"/>
    <w:rsid w:val="00661A4F"/>
    <w:rsid w:val="00662BB7"/>
    <w:rsid w:val="00663853"/>
    <w:rsid w:val="00663B75"/>
    <w:rsid w:val="00664872"/>
    <w:rsid w:val="00665B73"/>
    <w:rsid w:val="00670F34"/>
    <w:rsid w:val="00672F10"/>
    <w:rsid w:val="006734C7"/>
    <w:rsid w:val="006803FA"/>
    <w:rsid w:val="00680A90"/>
    <w:rsid w:val="00683FE9"/>
    <w:rsid w:val="006852DE"/>
    <w:rsid w:val="0068551F"/>
    <w:rsid w:val="00685C74"/>
    <w:rsid w:val="00687A67"/>
    <w:rsid w:val="006927CA"/>
    <w:rsid w:val="00696B6D"/>
    <w:rsid w:val="00697FF1"/>
    <w:rsid w:val="006A2E5A"/>
    <w:rsid w:val="006A6740"/>
    <w:rsid w:val="006B0EF4"/>
    <w:rsid w:val="006B18D5"/>
    <w:rsid w:val="006B1DA9"/>
    <w:rsid w:val="006B3746"/>
    <w:rsid w:val="006B5DDC"/>
    <w:rsid w:val="006B685F"/>
    <w:rsid w:val="006C5BCD"/>
    <w:rsid w:val="006C635A"/>
    <w:rsid w:val="006D088B"/>
    <w:rsid w:val="006D1546"/>
    <w:rsid w:val="006D1FF6"/>
    <w:rsid w:val="006D236B"/>
    <w:rsid w:val="006D3DCB"/>
    <w:rsid w:val="006D5A40"/>
    <w:rsid w:val="006D6E5F"/>
    <w:rsid w:val="006D76DE"/>
    <w:rsid w:val="006D7BF5"/>
    <w:rsid w:val="006E010F"/>
    <w:rsid w:val="006E298C"/>
    <w:rsid w:val="006E2A67"/>
    <w:rsid w:val="006E5359"/>
    <w:rsid w:val="006E5679"/>
    <w:rsid w:val="006F0F9F"/>
    <w:rsid w:val="006F3F7D"/>
    <w:rsid w:val="006F504E"/>
    <w:rsid w:val="006F67BD"/>
    <w:rsid w:val="006F6B81"/>
    <w:rsid w:val="0070029F"/>
    <w:rsid w:val="00700E20"/>
    <w:rsid w:val="00705601"/>
    <w:rsid w:val="00705719"/>
    <w:rsid w:val="00705D14"/>
    <w:rsid w:val="00707625"/>
    <w:rsid w:val="0070768D"/>
    <w:rsid w:val="00711278"/>
    <w:rsid w:val="00712268"/>
    <w:rsid w:val="00717BC7"/>
    <w:rsid w:val="00717F32"/>
    <w:rsid w:val="00720360"/>
    <w:rsid w:val="007209F5"/>
    <w:rsid w:val="00720D6E"/>
    <w:rsid w:val="007213AA"/>
    <w:rsid w:val="007255EB"/>
    <w:rsid w:val="00726767"/>
    <w:rsid w:val="00731CBA"/>
    <w:rsid w:val="00736304"/>
    <w:rsid w:val="00736CD0"/>
    <w:rsid w:val="00737613"/>
    <w:rsid w:val="00741DDF"/>
    <w:rsid w:val="00747CE0"/>
    <w:rsid w:val="00750B66"/>
    <w:rsid w:val="00750D6A"/>
    <w:rsid w:val="00750D7F"/>
    <w:rsid w:val="00751874"/>
    <w:rsid w:val="00754765"/>
    <w:rsid w:val="0075550E"/>
    <w:rsid w:val="00757C9F"/>
    <w:rsid w:val="00760027"/>
    <w:rsid w:val="00761DB4"/>
    <w:rsid w:val="00765926"/>
    <w:rsid w:val="00767E2C"/>
    <w:rsid w:val="007716A0"/>
    <w:rsid w:val="00772873"/>
    <w:rsid w:val="007775AB"/>
    <w:rsid w:val="0077782A"/>
    <w:rsid w:val="0078301D"/>
    <w:rsid w:val="00785095"/>
    <w:rsid w:val="00786BD4"/>
    <w:rsid w:val="007938FD"/>
    <w:rsid w:val="00793F42"/>
    <w:rsid w:val="007943C3"/>
    <w:rsid w:val="007945EB"/>
    <w:rsid w:val="00796356"/>
    <w:rsid w:val="007A29B5"/>
    <w:rsid w:val="007A3BD1"/>
    <w:rsid w:val="007A481E"/>
    <w:rsid w:val="007A4A53"/>
    <w:rsid w:val="007A5D6F"/>
    <w:rsid w:val="007A668B"/>
    <w:rsid w:val="007A718A"/>
    <w:rsid w:val="007A7289"/>
    <w:rsid w:val="007B0773"/>
    <w:rsid w:val="007B2CE5"/>
    <w:rsid w:val="007B4266"/>
    <w:rsid w:val="007B4FB9"/>
    <w:rsid w:val="007B6905"/>
    <w:rsid w:val="007B7A15"/>
    <w:rsid w:val="007C1448"/>
    <w:rsid w:val="007C2297"/>
    <w:rsid w:val="007C2C99"/>
    <w:rsid w:val="007C379C"/>
    <w:rsid w:val="007C4AB7"/>
    <w:rsid w:val="007C4D72"/>
    <w:rsid w:val="007C6C1D"/>
    <w:rsid w:val="007C6D93"/>
    <w:rsid w:val="007D0F8C"/>
    <w:rsid w:val="007D2009"/>
    <w:rsid w:val="007D4378"/>
    <w:rsid w:val="007D52CC"/>
    <w:rsid w:val="007D707D"/>
    <w:rsid w:val="007E166C"/>
    <w:rsid w:val="007E1EBF"/>
    <w:rsid w:val="007E2A6D"/>
    <w:rsid w:val="007E2BFF"/>
    <w:rsid w:val="007E392A"/>
    <w:rsid w:val="007E50E0"/>
    <w:rsid w:val="007E5E45"/>
    <w:rsid w:val="007E60EF"/>
    <w:rsid w:val="007F11A6"/>
    <w:rsid w:val="007F3575"/>
    <w:rsid w:val="007F43F2"/>
    <w:rsid w:val="007F78C7"/>
    <w:rsid w:val="007F7CDE"/>
    <w:rsid w:val="00800776"/>
    <w:rsid w:val="0080408D"/>
    <w:rsid w:val="00805C42"/>
    <w:rsid w:val="008068C8"/>
    <w:rsid w:val="00807A79"/>
    <w:rsid w:val="00811452"/>
    <w:rsid w:val="00811C11"/>
    <w:rsid w:val="00813663"/>
    <w:rsid w:val="00814DE4"/>
    <w:rsid w:val="00817366"/>
    <w:rsid w:val="0082018C"/>
    <w:rsid w:val="00820AEF"/>
    <w:rsid w:val="00820D28"/>
    <w:rsid w:val="0082120E"/>
    <w:rsid w:val="008218E8"/>
    <w:rsid w:val="00822B53"/>
    <w:rsid w:val="00822ECD"/>
    <w:rsid w:val="0082579C"/>
    <w:rsid w:val="0083045A"/>
    <w:rsid w:val="008313C8"/>
    <w:rsid w:val="00831C2E"/>
    <w:rsid w:val="00832BD7"/>
    <w:rsid w:val="00834C03"/>
    <w:rsid w:val="008402A7"/>
    <w:rsid w:val="00841B70"/>
    <w:rsid w:val="008438FA"/>
    <w:rsid w:val="00845AA1"/>
    <w:rsid w:val="008462C9"/>
    <w:rsid w:val="00847086"/>
    <w:rsid w:val="00847427"/>
    <w:rsid w:val="00851FAA"/>
    <w:rsid w:val="00855A87"/>
    <w:rsid w:val="0085637B"/>
    <w:rsid w:val="00856698"/>
    <w:rsid w:val="00860E8A"/>
    <w:rsid w:val="0086633A"/>
    <w:rsid w:val="008666A8"/>
    <w:rsid w:val="00866FA9"/>
    <w:rsid w:val="00870304"/>
    <w:rsid w:val="008730AD"/>
    <w:rsid w:val="00873EFF"/>
    <w:rsid w:val="00873FC2"/>
    <w:rsid w:val="00874289"/>
    <w:rsid w:val="00874BDA"/>
    <w:rsid w:val="00874ED2"/>
    <w:rsid w:val="008752B2"/>
    <w:rsid w:val="008764C5"/>
    <w:rsid w:val="00876574"/>
    <w:rsid w:val="008778E3"/>
    <w:rsid w:val="00880F33"/>
    <w:rsid w:val="008816E3"/>
    <w:rsid w:val="00885F1A"/>
    <w:rsid w:val="00886DF4"/>
    <w:rsid w:val="00887D92"/>
    <w:rsid w:val="0089122E"/>
    <w:rsid w:val="00894763"/>
    <w:rsid w:val="00894839"/>
    <w:rsid w:val="00894DF5"/>
    <w:rsid w:val="00894F3F"/>
    <w:rsid w:val="008950CA"/>
    <w:rsid w:val="00896D3C"/>
    <w:rsid w:val="008A02B9"/>
    <w:rsid w:val="008A096F"/>
    <w:rsid w:val="008A0E83"/>
    <w:rsid w:val="008A25A3"/>
    <w:rsid w:val="008A2F3F"/>
    <w:rsid w:val="008A681A"/>
    <w:rsid w:val="008A7C31"/>
    <w:rsid w:val="008B0892"/>
    <w:rsid w:val="008B0C6E"/>
    <w:rsid w:val="008B3B35"/>
    <w:rsid w:val="008B5453"/>
    <w:rsid w:val="008C1624"/>
    <w:rsid w:val="008C279A"/>
    <w:rsid w:val="008C3D29"/>
    <w:rsid w:val="008C4623"/>
    <w:rsid w:val="008C6414"/>
    <w:rsid w:val="008D1369"/>
    <w:rsid w:val="008D39BC"/>
    <w:rsid w:val="008D3DE1"/>
    <w:rsid w:val="008D5516"/>
    <w:rsid w:val="008D5875"/>
    <w:rsid w:val="008D5BC0"/>
    <w:rsid w:val="008D5E63"/>
    <w:rsid w:val="008D60C4"/>
    <w:rsid w:val="008D7527"/>
    <w:rsid w:val="008D7C25"/>
    <w:rsid w:val="008E009A"/>
    <w:rsid w:val="008E00F4"/>
    <w:rsid w:val="008E0602"/>
    <w:rsid w:val="008E141A"/>
    <w:rsid w:val="008E1D08"/>
    <w:rsid w:val="008E26B2"/>
    <w:rsid w:val="008E2C85"/>
    <w:rsid w:val="008E41EC"/>
    <w:rsid w:val="008F02D8"/>
    <w:rsid w:val="008F1383"/>
    <w:rsid w:val="008F2906"/>
    <w:rsid w:val="008F4C53"/>
    <w:rsid w:val="008F7681"/>
    <w:rsid w:val="00900533"/>
    <w:rsid w:val="00902B5E"/>
    <w:rsid w:val="00902CC0"/>
    <w:rsid w:val="009048CA"/>
    <w:rsid w:val="00904B11"/>
    <w:rsid w:val="009112ED"/>
    <w:rsid w:val="009115F6"/>
    <w:rsid w:val="00912062"/>
    <w:rsid w:val="00912750"/>
    <w:rsid w:val="00914E1E"/>
    <w:rsid w:val="00916B72"/>
    <w:rsid w:val="00922401"/>
    <w:rsid w:val="00923195"/>
    <w:rsid w:val="009267EF"/>
    <w:rsid w:val="00927892"/>
    <w:rsid w:val="00930038"/>
    <w:rsid w:val="00930367"/>
    <w:rsid w:val="00930589"/>
    <w:rsid w:val="00930703"/>
    <w:rsid w:val="00930D70"/>
    <w:rsid w:val="0093381D"/>
    <w:rsid w:val="00933E1A"/>
    <w:rsid w:val="00935A7B"/>
    <w:rsid w:val="0093628E"/>
    <w:rsid w:val="009414EF"/>
    <w:rsid w:val="009440D2"/>
    <w:rsid w:val="00946A15"/>
    <w:rsid w:val="009473DE"/>
    <w:rsid w:val="00951CBE"/>
    <w:rsid w:val="00952971"/>
    <w:rsid w:val="009531D6"/>
    <w:rsid w:val="00953714"/>
    <w:rsid w:val="0095593F"/>
    <w:rsid w:val="00957240"/>
    <w:rsid w:val="00962A3E"/>
    <w:rsid w:val="009655EE"/>
    <w:rsid w:val="00966775"/>
    <w:rsid w:val="00967A4F"/>
    <w:rsid w:val="0097044E"/>
    <w:rsid w:val="00972568"/>
    <w:rsid w:val="00972ECB"/>
    <w:rsid w:val="00976462"/>
    <w:rsid w:val="00977108"/>
    <w:rsid w:val="00981265"/>
    <w:rsid w:val="00981546"/>
    <w:rsid w:val="009818A3"/>
    <w:rsid w:val="009818DC"/>
    <w:rsid w:val="00981FA7"/>
    <w:rsid w:val="00983E3A"/>
    <w:rsid w:val="00984687"/>
    <w:rsid w:val="009847A1"/>
    <w:rsid w:val="0098771D"/>
    <w:rsid w:val="009906AC"/>
    <w:rsid w:val="00991744"/>
    <w:rsid w:val="009922DC"/>
    <w:rsid w:val="00993927"/>
    <w:rsid w:val="0099476C"/>
    <w:rsid w:val="009957F9"/>
    <w:rsid w:val="00995ECD"/>
    <w:rsid w:val="009A06DA"/>
    <w:rsid w:val="009A086C"/>
    <w:rsid w:val="009A45C8"/>
    <w:rsid w:val="009A4AAD"/>
    <w:rsid w:val="009A4E6D"/>
    <w:rsid w:val="009A6629"/>
    <w:rsid w:val="009A7995"/>
    <w:rsid w:val="009B1C38"/>
    <w:rsid w:val="009B2ECB"/>
    <w:rsid w:val="009B3F89"/>
    <w:rsid w:val="009B5E90"/>
    <w:rsid w:val="009C0FA0"/>
    <w:rsid w:val="009C1041"/>
    <w:rsid w:val="009C2F17"/>
    <w:rsid w:val="009C46CC"/>
    <w:rsid w:val="009C5615"/>
    <w:rsid w:val="009D192D"/>
    <w:rsid w:val="009D2CC9"/>
    <w:rsid w:val="009D48A6"/>
    <w:rsid w:val="009D5E1A"/>
    <w:rsid w:val="009D7472"/>
    <w:rsid w:val="009D75AC"/>
    <w:rsid w:val="009E1540"/>
    <w:rsid w:val="009E35CE"/>
    <w:rsid w:val="009E6B22"/>
    <w:rsid w:val="009F0189"/>
    <w:rsid w:val="009F0B72"/>
    <w:rsid w:val="00A00D58"/>
    <w:rsid w:val="00A012DF"/>
    <w:rsid w:val="00A0176A"/>
    <w:rsid w:val="00A01929"/>
    <w:rsid w:val="00A07014"/>
    <w:rsid w:val="00A07B0B"/>
    <w:rsid w:val="00A10AC7"/>
    <w:rsid w:val="00A121B3"/>
    <w:rsid w:val="00A133AA"/>
    <w:rsid w:val="00A13A21"/>
    <w:rsid w:val="00A1482F"/>
    <w:rsid w:val="00A209AB"/>
    <w:rsid w:val="00A23526"/>
    <w:rsid w:val="00A24738"/>
    <w:rsid w:val="00A24C00"/>
    <w:rsid w:val="00A24E8E"/>
    <w:rsid w:val="00A27A02"/>
    <w:rsid w:val="00A30A55"/>
    <w:rsid w:val="00A31D79"/>
    <w:rsid w:val="00A32AAA"/>
    <w:rsid w:val="00A34A80"/>
    <w:rsid w:val="00A37521"/>
    <w:rsid w:val="00A410DC"/>
    <w:rsid w:val="00A42930"/>
    <w:rsid w:val="00A446D5"/>
    <w:rsid w:val="00A44BFD"/>
    <w:rsid w:val="00A44E05"/>
    <w:rsid w:val="00A52416"/>
    <w:rsid w:val="00A524D2"/>
    <w:rsid w:val="00A55600"/>
    <w:rsid w:val="00A556D5"/>
    <w:rsid w:val="00A608C3"/>
    <w:rsid w:val="00A60D39"/>
    <w:rsid w:val="00A63E96"/>
    <w:rsid w:val="00A65FF7"/>
    <w:rsid w:val="00A6654D"/>
    <w:rsid w:val="00A678D3"/>
    <w:rsid w:val="00A730F9"/>
    <w:rsid w:val="00A73768"/>
    <w:rsid w:val="00A74B9F"/>
    <w:rsid w:val="00A803B4"/>
    <w:rsid w:val="00A81DD3"/>
    <w:rsid w:val="00A85542"/>
    <w:rsid w:val="00A87414"/>
    <w:rsid w:val="00A8774F"/>
    <w:rsid w:val="00A90ED7"/>
    <w:rsid w:val="00A9335C"/>
    <w:rsid w:val="00A946FF"/>
    <w:rsid w:val="00A94757"/>
    <w:rsid w:val="00AA0F8A"/>
    <w:rsid w:val="00AA1800"/>
    <w:rsid w:val="00AA291A"/>
    <w:rsid w:val="00AA312D"/>
    <w:rsid w:val="00AA39F2"/>
    <w:rsid w:val="00AA4378"/>
    <w:rsid w:val="00AA4723"/>
    <w:rsid w:val="00AA4A62"/>
    <w:rsid w:val="00AA5272"/>
    <w:rsid w:val="00AA531F"/>
    <w:rsid w:val="00AA5BC0"/>
    <w:rsid w:val="00AA63C8"/>
    <w:rsid w:val="00AB36AE"/>
    <w:rsid w:val="00AB39A1"/>
    <w:rsid w:val="00AB4355"/>
    <w:rsid w:val="00AB58F5"/>
    <w:rsid w:val="00AC224B"/>
    <w:rsid w:val="00AC226B"/>
    <w:rsid w:val="00AC2F32"/>
    <w:rsid w:val="00AD0239"/>
    <w:rsid w:val="00AD1DB2"/>
    <w:rsid w:val="00AD29B3"/>
    <w:rsid w:val="00AD2BB1"/>
    <w:rsid w:val="00AD524A"/>
    <w:rsid w:val="00AD686B"/>
    <w:rsid w:val="00AD6BB6"/>
    <w:rsid w:val="00AE0DAC"/>
    <w:rsid w:val="00AE2A56"/>
    <w:rsid w:val="00AE2A62"/>
    <w:rsid w:val="00AE6BD7"/>
    <w:rsid w:val="00AE7114"/>
    <w:rsid w:val="00AE7E17"/>
    <w:rsid w:val="00AF0EE0"/>
    <w:rsid w:val="00AF43AE"/>
    <w:rsid w:val="00AF5BD5"/>
    <w:rsid w:val="00AF5CFB"/>
    <w:rsid w:val="00AF7052"/>
    <w:rsid w:val="00AF742A"/>
    <w:rsid w:val="00AF747C"/>
    <w:rsid w:val="00B009DA"/>
    <w:rsid w:val="00B00BF6"/>
    <w:rsid w:val="00B02552"/>
    <w:rsid w:val="00B02ECC"/>
    <w:rsid w:val="00B059B8"/>
    <w:rsid w:val="00B1298C"/>
    <w:rsid w:val="00B147A9"/>
    <w:rsid w:val="00B15589"/>
    <w:rsid w:val="00B16813"/>
    <w:rsid w:val="00B16ED6"/>
    <w:rsid w:val="00B16FEB"/>
    <w:rsid w:val="00B1763C"/>
    <w:rsid w:val="00B2021F"/>
    <w:rsid w:val="00B23C7C"/>
    <w:rsid w:val="00B23C9A"/>
    <w:rsid w:val="00B24CAD"/>
    <w:rsid w:val="00B25D4E"/>
    <w:rsid w:val="00B279D7"/>
    <w:rsid w:val="00B27F82"/>
    <w:rsid w:val="00B30584"/>
    <w:rsid w:val="00B310F5"/>
    <w:rsid w:val="00B31746"/>
    <w:rsid w:val="00B34FBA"/>
    <w:rsid w:val="00B353F9"/>
    <w:rsid w:val="00B36ADC"/>
    <w:rsid w:val="00B377C9"/>
    <w:rsid w:val="00B41E18"/>
    <w:rsid w:val="00B43196"/>
    <w:rsid w:val="00B443C3"/>
    <w:rsid w:val="00B52A8F"/>
    <w:rsid w:val="00B53118"/>
    <w:rsid w:val="00B559A9"/>
    <w:rsid w:val="00B56764"/>
    <w:rsid w:val="00B56C0C"/>
    <w:rsid w:val="00B5791E"/>
    <w:rsid w:val="00B613E5"/>
    <w:rsid w:val="00B6157E"/>
    <w:rsid w:val="00B621CC"/>
    <w:rsid w:val="00B64C7C"/>
    <w:rsid w:val="00B66482"/>
    <w:rsid w:val="00B70317"/>
    <w:rsid w:val="00B73DEE"/>
    <w:rsid w:val="00B74A55"/>
    <w:rsid w:val="00B7533D"/>
    <w:rsid w:val="00B77A79"/>
    <w:rsid w:val="00B77BE5"/>
    <w:rsid w:val="00B8212D"/>
    <w:rsid w:val="00B82291"/>
    <w:rsid w:val="00B83030"/>
    <w:rsid w:val="00B85AAB"/>
    <w:rsid w:val="00B86B7B"/>
    <w:rsid w:val="00B90309"/>
    <w:rsid w:val="00B90858"/>
    <w:rsid w:val="00B9174A"/>
    <w:rsid w:val="00B91D11"/>
    <w:rsid w:val="00B921BF"/>
    <w:rsid w:val="00B93D13"/>
    <w:rsid w:val="00B957E1"/>
    <w:rsid w:val="00B9686C"/>
    <w:rsid w:val="00BA1745"/>
    <w:rsid w:val="00BA1D83"/>
    <w:rsid w:val="00BA46B1"/>
    <w:rsid w:val="00BA5C9A"/>
    <w:rsid w:val="00BB141F"/>
    <w:rsid w:val="00BB19FB"/>
    <w:rsid w:val="00BB1F8E"/>
    <w:rsid w:val="00BB2A18"/>
    <w:rsid w:val="00BB35DF"/>
    <w:rsid w:val="00BB364C"/>
    <w:rsid w:val="00BB3CA7"/>
    <w:rsid w:val="00BB5779"/>
    <w:rsid w:val="00BB63B4"/>
    <w:rsid w:val="00BB6639"/>
    <w:rsid w:val="00BB72B7"/>
    <w:rsid w:val="00BC09D1"/>
    <w:rsid w:val="00BC193B"/>
    <w:rsid w:val="00BC1C36"/>
    <w:rsid w:val="00BC3D75"/>
    <w:rsid w:val="00BC6F09"/>
    <w:rsid w:val="00BC6F5F"/>
    <w:rsid w:val="00BD0062"/>
    <w:rsid w:val="00BD0187"/>
    <w:rsid w:val="00BD2946"/>
    <w:rsid w:val="00BD4E0F"/>
    <w:rsid w:val="00BD5818"/>
    <w:rsid w:val="00BD5E28"/>
    <w:rsid w:val="00BD6075"/>
    <w:rsid w:val="00BD74E5"/>
    <w:rsid w:val="00BD7C48"/>
    <w:rsid w:val="00BE0E7F"/>
    <w:rsid w:val="00BE15E1"/>
    <w:rsid w:val="00BE18CE"/>
    <w:rsid w:val="00BE48D6"/>
    <w:rsid w:val="00BE7627"/>
    <w:rsid w:val="00BF0E7A"/>
    <w:rsid w:val="00BF5AE9"/>
    <w:rsid w:val="00BF6D00"/>
    <w:rsid w:val="00BF77BA"/>
    <w:rsid w:val="00BF7A36"/>
    <w:rsid w:val="00C01CC0"/>
    <w:rsid w:val="00C0200B"/>
    <w:rsid w:val="00C1054C"/>
    <w:rsid w:val="00C10B16"/>
    <w:rsid w:val="00C110CF"/>
    <w:rsid w:val="00C122CF"/>
    <w:rsid w:val="00C13373"/>
    <w:rsid w:val="00C13AC2"/>
    <w:rsid w:val="00C15D00"/>
    <w:rsid w:val="00C17D0E"/>
    <w:rsid w:val="00C20D9D"/>
    <w:rsid w:val="00C22741"/>
    <w:rsid w:val="00C3005F"/>
    <w:rsid w:val="00C33EFE"/>
    <w:rsid w:val="00C345BF"/>
    <w:rsid w:val="00C3498D"/>
    <w:rsid w:val="00C36F36"/>
    <w:rsid w:val="00C41B1A"/>
    <w:rsid w:val="00C424BE"/>
    <w:rsid w:val="00C46CC6"/>
    <w:rsid w:val="00C47754"/>
    <w:rsid w:val="00C50648"/>
    <w:rsid w:val="00C51680"/>
    <w:rsid w:val="00C5281A"/>
    <w:rsid w:val="00C537FE"/>
    <w:rsid w:val="00C53AD9"/>
    <w:rsid w:val="00C55409"/>
    <w:rsid w:val="00C56E91"/>
    <w:rsid w:val="00C57351"/>
    <w:rsid w:val="00C63EF8"/>
    <w:rsid w:val="00C6740F"/>
    <w:rsid w:val="00C67662"/>
    <w:rsid w:val="00C705B1"/>
    <w:rsid w:val="00C74707"/>
    <w:rsid w:val="00C75037"/>
    <w:rsid w:val="00C75D4F"/>
    <w:rsid w:val="00C810C4"/>
    <w:rsid w:val="00C83506"/>
    <w:rsid w:val="00C858DD"/>
    <w:rsid w:val="00C862B4"/>
    <w:rsid w:val="00C872C9"/>
    <w:rsid w:val="00C90958"/>
    <w:rsid w:val="00C916AB"/>
    <w:rsid w:val="00C92CB3"/>
    <w:rsid w:val="00C946BA"/>
    <w:rsid w:val="00C94F22"/>
    <w:rsid w:val="00C950DC"/>
    <w:rsid w:val="00C97081"/>
    <w:rsid w:val="00CA0BCB"/>
    <w:rsid w:val="00CA40A9"/>
    <w:rsid w:val="00CA6201"/>
    <w:rsid w:val="00CA68EC"/>
    <w:rsid w:val="00CB15CD"/>
    <w:rsid w:val="00CB186F"/>
    <w:rsid w:val="00CB3A66"/>
    <w:rsid w:val="00CB6D6B"/>
    <w:rsid w:val="00CC1F3E"/>
    <w:rsid w:val="00CC2EF2"/>
    <w:rsid w:val="00CC4AC4"/>
    <w:rsid w:val="00CC6060"/>
    <w:rsid w:val="00CC6237"/>
    <w:rsid w:val="00CD044B"/>
    <w:rsid w:val="00CD090B"/>
    <w:rsid w:val="00CD6AE0"/>
    <w:rsid w:val="00CE0F3B"/>
    <w:rsid w:val="00CE1D0B"/>
    <w:rsid w:val="00CE2AFF"/>
    <w:rsid w:val="00CE2FEF"/>
    <w:rsid w:val="00CE77FB"/>
    <w:rsid w:val="00CF0023"/>
    <w:rsid w:val="00CF0903"/>
    <w:rsid w:val="00CF111D"/>
    <w:rsid w:val="00CF70FD"/>
    <w:rsid w:val="00D0091A"/>
    <w:rsid w:val="00D02A7D"/>
    <w:rsid w:val="00D02F1E"/>
    <w:rsid w:val="00D03256"/>
    <w:rsid w:val="00D0576B"/>
    <w:rsid w:val="00D0750C"/>
    <w:rsid w:val="00D07592"/>
    <w:rsid w:val="00D10F14"/>
    <w:rsid w:val="00D1404E"/>
    <w:rsid w:val="00D16775"/>
    <w:rsid w:val="00D16931"/>
    <w:rsid w:val="00D179B7"/>
    <w:rsid w:val="00D21874"/>
    <w:rsid w:val="00D24854"/>
    <w:rsid w:val="00D24C53"/>
    <w:rsid w:val="00D269B9"/>
    <w:rsid w:val="00D321AF"/>
    <w:rsid w:val="00D33864"/>
    <w:rsid w:val="00D357DB"/>
    <w:rsid w:val="00D367D4"/>
    <w:rsid w:val="00D37A9A"/>
    <w:rsid w:val="00D37A9C"/>
    <w:rsid w:val="00D40244"/>
    <w:rsid w:val="00D40290"/>
    <w:rsid w:val="00D43ABE"/>
    <w:rsid w:val="00D447F8"/>
    <w:rsid w:val="00D46038"/>
    <w:rsid w:val="00D5059D"/>
    <w:rsid w:val="00D50A87"/>
    <w:rsid w:val="00D50D3B"/>
    <w:rsid w:val="00D50DEC"/>
    <w:rsid w:val="00D5160D"/>
    <w:rsid w:val="00D5484C"/>
    <w:rsid w:val="00D54C80"/>
    <w:rsid w:val="00D56908"/>
    <w:rsid w:val="00D60660"/>
    <w:rsid w:val="00D6156C"/>
    <w:rsid w:val="00D626E9"/>
    <w:rsid w:val="00D71638"/>
    <w:rsid w:val="00D73FC3"/>
    <w:rsid w:val="00D7497C"/>
    <w:rsid w:val="00D7518A"/>
    <w:rsid w:val="00D7561F"/>
    <w:rsid w:val="00D76E2B"/>
    <w:rsid w:val="00D800B0"/>
    <w:rsid w:val="00D81696"/>
    <w:rsid w:val="00D8203B"/>
    <w:rsid w:val="00D82240"/>
    <w:rsid w:val="00D83734"/>
    <w:rsid w:val="00D843F4"/>
    <w:rsid w:val="00D84516"/>
    <w:rsid w:val="00D8498B"/>
    <w:rsid w:val="00D8720C"/>
    <w:rsid w:val="00D91758"/>
    <w:rsid w:val="00D93D42"/>
    <w:rsid w:val="00D95720"/>
    <w:rsid w:val="00D96AED"/>
    <w:rsid w:val="00D97F39"/>
    <w:rsid w:val="00DA01CA"/>
    <w:rsid w:val="00DA06B4"/>
    <w:rsid w:val="00DA0750"/>
    <w:rsid w:val="00DA5FE5"/>
    <w:rsid w:val="00DA7930"/>
    <w:rsid w:val="00DB0259"/>
    <w:rsid w:val="00DB05A5"/>
    <w:rsid w:val="00DB10B1"/>
    <w:rsid w:val="00DB15BF"/>
    <w:rsid w:val="00DB1E0A"/>
    <w:rsid w:val="00DB335D"/>
    <w:rsid w:val="00DB5D9E"/>
    <w:rsid w:val="00DB7668"/>
    <w:rsid w:val="00DB79A7"/>
    <w:rsid w:val="00DC04BA"/>
    <w:rsid w:val="00DC0B23"/>
    <w:rsid w:val="00DC0CD0"/>
    <w:rsid w:val="00DC19E6"/>
    <w:rsid w:val="00DC1D9A"/>
    <w:rsid w:val="00DC291F"/>
    <w:rsid w:val="00DC3062"/>
    <w:rsid w:val="00DC4917"/>
    <w:rsid w:val="00DC6045"/>
    <w:rsid w:val="00DC6CC6"/>
    <w:rsid w:val="00DD02AB"/>
    <w:rsid w:val="00DD3365"/>
    <w:rsid w:val="00DD35A1"/>
    <w:rsid w:val="00DD4F22"/>
    <w:rsid w:val="00DD6612"/>
    <w:rsid w:val="00DD7EE4"/>
    <w:rsid w:val="00DE12AC"/>
    <w:rsid w:val="00DE3176"/>
    <w:rsid w:val="00DE464D"/>
    <w:rsid w:val="00DE61B3"/>
    <w:rsid w:val="00DE6290"/>
    <w:rsid w:val="00DE7693"/>
    <w:rsid w:val="00DF38EA"/>
    <w:rsid w:val="00DF5749"/>
    <w:rsid w:val="00DF5FC2"/>
    <w:rsid w:val="00DF6595"/>
    <w:rsid w:val="00DF6A70"/>
    <w:rsid w:val="00DF729A"/>
    <w:rsid w:val="00E02141"/>
    <w:rsid w:val="00E03228"/>
    <w:rsid w:val="00E06083"/>
    <w:rsid w:val="00E06966"/>
    <w:rsid w:val="00E07625"/>
    <w:rsid w:val="00E07B4B"/>
    <w:rsid w:val="00E13B70"/>
    <w:rsid w:val="00E21711"/>
    <w:rsid w:val="00E22EEC"/>
    <w:rsid w:val="00E237D9"/>
    <w:rsid w:val="00E237EA"/>
    <w:rsid w:val="00E23AF3"/>
    <w:rsid w:val="00E24D2D"/>
    <w:rsid w:val="00E253CB"/>
    <w:rsid w:val="00E25BE8"/>
    <w:rsid w:val="00E30A44"/>
    <w:rsid w:val="00E32F60"/>
    <w:rsid w:val="00E340B0"/>
    <w:rsid w:val="00E34861"/>
    <w:rsid w:val="00E34E00"/>
    <w:rsid w:val="00E353BE"/>
    <w:rsid w:val="00E368F5"/>
    <w:rsid w:val="00E37489"/>
    <w:rsid w:val="00E37D08"/>
    <w:rsid w:val="00E4190C"/>
    <w:rsid w:val="00E44236"/>
    <w:rsid w:val="00E443C4"/>
    <w:rsid w:val="00E44C28"/>
    <w:rsid w:val="00E614D6"/>
    <w:rsid w:val="00E61BE8"/>
    <w:rsid w:val="00E6620E"/>
    <w:rsid w:val="00E67DA8"/>
    <w:rsid w:val="00E70FF2"/>
    <w:rsid w:val="00E712DE"/>
    <w:rsid w:val="00E718A2"/>
    <w:rsid w:val="00E75ADB"/>
    <w:rsid w:val="00E75D9A"/>
    <w:rsid w:val="00E769D6"/>
    <w:rsid w:val="00E81C9D"/>
    <w:rsid w:val="00E828B3"/>
    <w:rsid w:val="00E84355"/>
    <w:rsid w:val="00E84683"/>
    <w:rsid w:val="00E8792E"/>
    <w:rsid w:val="00E9008A"/>
    <w:rsid w:val="00E952A8"/>
    <w:rsid w:val="00E9592A"/>
    <w:rsid w:val="00E960A8"/>
    <w:rsid w:val="00E97239"/>
    <w:rsid w:val="00EA0748"/>
    <w:rsid w:val="00EA2269"/>
    <w:rsid w:val="00EA45EB"/>
    <w:rsid w:val="00EA4D6F"/>
    <w:rsid w:val="00EA6AD0"/>
    <w:rsid w:val="00EA6BA7"/>
    <w:rsid w:val="00EA7196"/>
    <w:rsid w:val="00EA770A"/>
    <w:rsid w:val="00EB055A"/>
    <w:rsid w:val="00EB13B1"/>
    <w:rsid w:val="00EB441F"/>
    <w:rsid w:val="00EB5F51"/>
    <w:rsid w:val="00EC3132"/>
    <w:rsid w:val="00EC4F94"/>
    <w:rsid w:val="00EC65BC"/>
    <w:rsid w:val="00EC67B9"/>
    <w:rsid w:val="00ED14F8"/>
    <w:rsid w:val="00ED5FCF"/>
    <w:rsid w:val="00ED651F"/>
    <w:rsid w:val="00ED66D1"/>
    <w:rsid w:val="00ED739B"/>
    <w:rsid w:val="00ED76F8"/>
    <w:rsid w:val="00EE2C07"/>
    <w:rsid w:val="00EE2EE9"/>
    <w:rsid w:val="00EE5A74"/>
    <w:rsid w:val="00EE6C12"/>
    <w:rsid w:val="00EE7119"/>
    <w:rsid w:val="00EF1271"/>
    <w:rsid w:val="00EF2FCE"/>
    <w:rsid w:val="00EF62FB"/>
    <w:rsid w:val="00EF782D"/>
    <w:rsid w:val="00EF7C63"/>
    <w:rsid w:val="00EF7E74"/>
    <w:rsid w:val="00F00316"/>
    <w:rsid w:val="00F06B84"/>
    <w:rsid w:val="00F10FC0"/>
    <w:rsid w:val="00F11F83"/>
    <w:rsid w:val="00F12C3E"/>
    <w:rsid w:val="00F13862"/>
    <w:rsid w:val="00F155E3"/>
    <w:rsid w:val="00F16767"/>
    <w:rsid w:val="00F20459"/>
    <w:rsid w:val="00F2152C"/>
    <w:rsid w:val="00F22C3B"/>
    <w:rsid w:val="00F22CAE"/>
    <w:rsid w:val="00F23126"/>
    <w:rsid w:val="00F24C8A"/>
    <w:rsid w:val="00F25099"/>
    <w:rsid w:val="00F25A0C"/>
    <w:rsid w:val="00F3513D"/>
    <w:rsid w:val="00F4041E"/>
    <w:rsid w:val="00F40C8F"/>
    <w:rsid w:val="00F42E90"/>
    <w:rsid w:val="00F4409F"/>
    <w:rsid w:val="00F44E88"/>
    <w:rsid w:val="00F464B8"/>
    <w:rsid w:val="00F47239"/>
    <w:rsid w:val="00F472A2"/>
    <w:rsid w:val="00F50197"/>
    <w:rsid w:val="00F50BAD"/>
    <w:rsid w:val="00F525C9"/>
    <w:rsid w:val="00F526CA"/>
    <w:rsid w:val="00F552DB"/>
    <w:rsid w:val="00F60EA0"/>
    <w:rsid w:val="00F62167"/>
    <w:rsid w:val="00F631D9"/>
    <w:rsid w:val="00F637B3"/>
    <w:rsid w:val="00F6420A"/>
    <w:rsid w:val="00F644FB"/>
    <w:rsid w:val="00F667C9"/>
    <w:rsid w:val="00F70038"/>
    <w:rsid w:val="00F706C0"/>
    <w:rsid w:val="00F70F7B"/>
    <w:rsid w:val="00F720EF"/>
    <w:rsid w:val="00F725B0"/>
    <w:rsid w:val="00F72E79"/>
    <w:rsid w:val="00F73797"/>
    <w:rsid w:val="00F74800"/>
    <w:rsid w:val="00F749E1"/>
    <w:rsid w:val="00F75610"/>
    <w:rsid w:val="00F76691"/>
    <w:rsid w:val="00F80B71"/>
    <w:rsid w:val="00F8101D"/>
    <w:rsid w:val="00F81FD6"/>
    <w:rsid w:val="00F8306A"/>
    <w:rsid w:val="00F8398F"/>
    <w:rsid w:val="00F84032"/>
    <w:rsid w:val="00F842C9"/>
    <w:rsid w:val="00F85B87"/>
    <w:rsid w:val="00F86080"/>
    <w:rsid w:val="00F87680"/>
    <w:rsid w:val="00F87A50"/>
    <w:rsid w:val="00F91027"/>
    <w:rsid w:val="00F91F28"/>
    <w:rsid w:val="00F92E68"/>
    <w:rsid w:val="00F9310C"/>
    <w:rsid w:val="00F94C5E"/>
    <w:rsid w:val="00F951D0"/>
    <w:rsid w:val="00F952F1"/>
    <w:rsid w:val="00F9548E"/>
    <w:rsid w:val="00F9689E"/>
    <w:rsid w:val="00F970FB"/>
    <w:rsid w:val="00F97D99"/>
    <w:rsid w:val="00FA1FF6"/>
    <w:rsid w:val="00FA375F"/>
    <w:rsid w:val="00FA3978"/>
    <w:rsid w:val="00FA65D4"/>
    <w:rsid w:val="00FA6F01"/>
    <w:rsid w:val="00FB07B5"/>
    <w:rsid w:val="00FB0F11"/>
    <w:rsid w:val="00FB154C"/>
    <w:rsid w:val="00FB1567"/>
    <w:rsid w:val="00FB658E"/>
    <w:rsid w:val="00FB67D3"/>
    <w:rsid w:val="00FC204D"/>
    <w:rsid w:val="00FC3B64"/>
    <w:rsid w:val="00FC42A6"/>
    <w:rsid w:val="00FC4CE6"/>
    <w:rsid w:val="00FC5213"/>
    <w:rsid w:val="00FD03E1"/>
    <w:rsid w:val="00FD0E76"/>
    <w:rsid w:val="00FD3E44"/>
    <w:rsid w:val="00FD5D33"/>
    <w:rsid w:val="00FE140E"/>
    <w:rsid w:val="00FE3367"/>
    <w:rsid w:val="00FE454D"/>
    <w:rsid w:val="00FE7CAF"/>
    <w:rsid w:val="00FF65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610C9211"/>
  <w15:docId w15:val="{F20964E9-ECC4-4EE5-A136-9554C485D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D6A0B"/>
    <w:pPr>
      <w:jc w:val="both"/>
    </w:pPr>
    <w:rPr>
      <w:sz w:val="24"/>
    </w:rPr>
  </w:style>
  <w:style w:type="paragraph" w:styleId="Nadpis1">
    <w:name w:val="heading 1"/>
    <w:basedOn w:val="Normln"/>
    <w:next w:val="Normln"/>
    <w:link w:val="Nadpis1Char"/>
    <w:qFormat/>
    <w:rsid w:val="00D0576B"/>
    <w:pPr>
      <w:keepNext/>
      <w:spacing w:before="240" w:after="120"/>
      <w:jc w:val="center"/>
      <w:outlineLvl w:val="0"/>
    </w:pPr>
    <w:rPr>
      <w:rFonts w:eastAsiaTheme="majorEastAsia" w:cs="Arial"/>
      <w:b/>
      <w:bCs/>
      <w:kern w:val="32"/>
      <w:sz w:val="36"/>
      <w:szCs w:val="32"/>
    </w:rPr>
  </w:style>
  <w:style w:type="paragraph" w:styleId="Nadpis2">
    <w:name w:val="heading 2"/>
    <w:basedOn w:val="Normln"/>
    <w:next w:val="Normln"/>
    <w:link w:val="Nadpis2Char"/>
    <w:unhideWhenUsed/>
    <w:qFormat/>
    <w:rsid w:val="00D0576B"/>
    <w:pPr>
      <w:keepNext/>
      <w:numPr>
        <w:numId w:val="14"/>
      </w:numPr>
      <w:spacing w:before="240" w:after="120"/>
      <w:jc w:val="center"/>
      <w:outlineLvl w:val="1"/>
    </w:pPr>
    <w:rPr>
      <w:rFonts w:cs="Arial"/>
      <w:b/>
      <w:bCs/>
      <w:iCs/>
      <w:sz w:val="32"/>
      <w:szCs w:val="28"/>
    </w:rPr>
  </w:style>
  <w:style w:type="paragraph" w:styleId="Nadpis3">
    <w:name w:val="heading 3"/>
    <w:basedOn w:val="Normln"/>
    <w:next w:val="Normln"/>
    <w:link w:val="Nadpis3Char"/>
    <w:uiPriority w:val="9"/>
    <w:unhideWhenUsed/>
    <w:qFormat/>
    <w:rsid w:val="00D0576B"/>
    <w:pPr>
      <w:keepNext/>
      <w:numPr>
        <w:ilvl w:val="1"/>
        <w:numId w:val="14"/>
      </w:numPr>
      <w:spacing w:before="240" w:after="120"/>
      <w:jc w:val="left"/>
      <w:outlineLvl w:val="2"/>
    </w:pPr>
    <w:rPr>
      <w:rFonts w:eastAsiaTheme="majorEastAsia" w:cs="Arial"/>
      <w:b/>
      <w:bCs/>
      <w:iCs/>
      <w:sz w:val="28"/>
      <w:szCs w:val="28"/>
    </w:rPr>
  </w:style>
  <w:style w:type="paragraph" w:styleId="Nadpis4">
    <w:name w:val="heading 4"/>
    <w:basedOn w:val="Normln"/>
    <w:next w:val="Normln"/>
    <w:link w:val="Nadpis4Char"/>
    <w:uiPriority w:val="9"/>
    <w:unhideWhenUsed/>
    <w:qFormat/>
    <w:rsid w:val="00D0576B"/>
    <w:pPr>
      <w:keepNext/>
      <w:numPr>
        <w:ilvl w:val="2"/>
        <w:numId w:val="14"/>
      </w:numPr>
      <w:spacing w:before="240" w:after="120"/>
      <w:jc w:val="left"/>
      <w:outlineLvl w:val="3"/>
    </w:pPr>
    <w:rPr>
      <w:rFonts w:eastAsiaTheme="majorEastAsia" w:cs="Arial"/>
      <w:b/>
      <w:bCs/>
      <w:iCs/>
      <w:szCs w:val="24"/>
      <w:u w:val="single"/>
    </w:rPr>
  </w:style>
  <w:style w:type="paragraph" w:styleId="Nadpis5">
    <w:name w:val="heading 5"/>
    <w:basedOn w:val="Normln"/>
    <w:next w:val="Normln"/>
    <w:link w:val="Nadpis5Char"/>
    <w:uiPriority w:val="9"/>
    <w:unhideWhenUsed/>
    <w:qFormat/>
    <w:rsid w:val="00D0576B"/>
    <w:pPr>
      <w:keepNext/>
      <w:keepLines/>
      <w:numPr>
        <w:ilvl w:val="3"/>
        <w:numId w:val="14"/>
      </w:numPr>
      <w:spacing w:before="200" w:after="120"/>
      <w:outlineLvl w:val="4"/>
    </w:pPr>
    <w:rPr>
      <w:rFonts w:eastAsia="Calibri" w:cstheme="majorBidi"/>
      <w:b/>
      <w:lang w:eastAsia="en-US"/>
    </w:rPr>
  </w:style>
  <w:style w:type="paragraph" w:styleId="Nadpis6">
    <w:name w:val="heading 6"/>
    <w:basedOn w:val="Normln"/>
    <w:next w:val="Normln"/>
    <w:link w:val="Nadpis6Char"/>
    <w:uiPriority w:val="9"/>
    <w:unhideWhenUsed/>
    <w:qFormat/>
    <w:rsid w:val="00AA39F2"/>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unhideWhenUsed/>
    <w:qFormat/>
    <w:rsid w:val="00AA39F2"/>
    <w:pPr>
      <w:keepNext/>
      <w:keepLines/>
      <w:numPr>
        <w:ilvl w:val="6"/>
        <w:numId w:val="21"/>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unhideWhenUsed/>
    <w:qFormat/>
    <w:rsid w:val="00AA39F2"/>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unhideWhenUsed/>
    <w:qFormat/>
    <w:rsid w:val="00AA39F2"/>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pPr>
      <w:tabs>
        <w:tab w:val="center" w:pos="4536"/>
        <w:tab w:val="right" w:pos="9072"/>
      </w:tabs>
    </w:pPr>
  </w:style>
  <w:style w:type="paragraph" w:customStyle="1" w:styleId="Textparagrafu">
    <w:name w:val="Text paragrafu"/>
    <w:basedOn w:val="Normln"/>
    <w:pPr>
      <w:spacing w:before="240"/>
      <w:ind w:firstLine="425"/>
      <w:outlineLvl w:val="5"/>
    </w:pPr>
  </w:style>
  <w:style w:type="paragraph" w:customStyle="1" w:styleId="Paragraf">
    <w:name w:val="Paragraf"/>
    <w:basedOn w:val="Normln"/>
    <w:next w:val="Textodstavce"/>
    <w:link w:val="ParagrafChar"/>
    <w:qFormat/>
    <w:pPr>
      <w:keepNext/>
      <w:keepLines/>
      <w:numPr>
        <w:numId w:val="21"/>
      </w:numPr>
      <w:spacing w:before="240"/>
      <w:jc w:val="center"/>
      <w:outlineLvl w:val="5"/>
    </w:pPr>
  </w:style>
  <w:style w:type="paragraph" w:customStyle="1" w:styleId="Oddl">
    <w:name w:val="Oddíl"/>
    <w:basedOn w:val="Normln"/>
    <w:next w:val="Nadpisoddlu"/>
    <w:pPr>
      <w:keepNext/>
      <w:keepLines/>
      <w:spacing w:before="240"/>
      <w:jc w:val="center"/>
      <w:outlineLvl w:val="4"/>
    </w:pPr>
  </w:style>
  <w:style w:type="paragraph" w:customStyle="1" w:styleId="Nadpisoddlu">
    <w:name w:val="Nadpis oddílu"/>
    <w:basedOn w:val="Normln"/>
    <w:next w:val="Paragraf"/>
    <w:pPr>
      <w:keepNext/>
      <w:keepLines/>
      <w:jc w:val="center"/>
      <w:outlineLvl w:val="4"/>
    </w:pPr>
    <w:rPr>
      <w:b/>
    </w:rPr>
  </w:style>
  <w:style w:type="paragraph" w:customStyle="1" w:styleId="Dl">
    <w:name w:val="Díl"/>
    <w:basedOn w:val="Normln"/>
    <w:next w:val="Nadpisdlu"/>
    <w:pPr>
      <w:keepNext/>
      <w:keepLines/>
      <w:spacing w:before="240"/>
      <w:jc w:val="center"/>
      <w:outlineLvl w:val="3"/>
    </w:pPr>
  </w:style>
  <w:style w:type="paragraph" w:customStyle="1" w:styleId="Nadpisdlu">
    <w:name w:val="Nadpis dílu"/>
    <w:basedOn w:val="Normln"/>
    <w:next w:val="Oddl"/>
    <w:pPr>
      <w:keepNext/>
      <w:keepLines/>
      <w:jc w:val="center"/>
      <w:outlineLvl w:val="3"/>
    </w:pPr>
    <w:rPr>
      <w:b/>
    </w:rPr>
  </w:style>
  <w:style w:type="paragraph" w:customStyle="1" w:styleId="Hlava">
    <w:name w:val="Hlava"/>
    <w:basedOn w:val="Normln"/>
    <w:next w:val="Nadpishlavy"/>
    <w:pPr>
      <w:keepNext/>
      <w:keepLines/>
      <w:spacing w:before="240"/>
      <w:jc w:val="center"/>
      <w:outlineLvl w:val="2"/>
    </w:pPr>
  </w:style>
  <w:style w:type="paragraph" w:customStyle="1" w:styleId="Nadpishlavy">
    <w:name w:val="Nadpis hlavy"/>
    <w:basedOn w:val="Normln"/>
    <w:next w:val="Dl"/>
    <w:pPr>
      <w:keepNext/>
      <w:keepLines/>
      <w:jc w:val="center"/>
      <w:outlineLvl w:val="2"/>
    </w:pPr>
    <w:rPr>
      <w:b/>
    </w:rPr>
  </w:style>
  <w:style w:type="paragraph" w:customStyle="1" w:styleId="ST">
    <w:name w:val="ČÁST"/>
    <w:basedOn w:val="Normln"/>
    <w:next w:val="NADPISSTI"/>
    <w:pPr>
      <w:keepNext/>
      <w:keepLines/>
      <w:spacing w:before="240" w:after="120"/>
      <w:jc w:val="center"/>
      <w:outlineLvl w:val="1"/>
    </w:pPr>
    <w:rPr>
      <w:caps/>
    </w:rPr>
  </w:style>
  <w:style w:type="paragraph" w:customStyle="1" w:styleId="NADPISSTI">
    <w:name w:val="NADPIS ČÁSTI"/>
    <w:basedOn w:val="Normln"/>
    <w:next w:val="Hlava"/>
    <w:link w:val="NADPISSTIChar"/>
    <w:pPr>
      <w:keepNext/>
      <w:keepLines/>
      <w:jc w:val="center"/>
      <w:outlineLvl w:val="1"/>
    </w:pPr>
    <w:rPr>
      <w:b/>
    </w:rPr>
  </w:style>
  <w:style w:type="paragraph" w:customStyle="1" w:styleId="ZKON">
    <w:name w:val="ZÁKON"/>
    <w:basedOn w:val="Normln"/>
    <w:next w:val="nadpiszkona"/>
    <w:pPr>
      <w:keepNext/>
      <w:keepLines/>
      <w:jc w:val="center"/>
      <w:outlineLvl w:val="0"/>
    </w:pPr>
    <w:rPr>
      <w:b/>
      <w:caps/>
    </w:rPr>
  </w:style>
  <w:style w:type="paragraph" w:customStyle="1" w:styleId="nadpiszkona">
    <w:name w:val="nadpis zákona"/>
    <w:basedOn w:val="Normln"/>
    <w:next w:val="Parlament"/>
    <w:pPr>
      <w:keepNext/>
      <w:keepLines/>
      <w:spacing w:before="120"/>
      <w:jc w:val="center"/>
      <w:outlineLvl w:val="0"/>
    </w:pPr>
    <w:rPr>
      <w:b/>
    </w:rPr>
  </w:style>
  <w:style w:type="paragraph" w:customStyle="1" w:styleId="Parlament">
    <w:name w:val="Parlament"/>
    <w:basedOn w:val="Normln"/>
    <w:next w:val="ST"/>
    <w:pPr>
      <w:keepNext/>
      <w:keepLines/>
      <w:spacing w:before="360" w:after="240"/>
    </w:pPr>
  </w:style>
  <w:style w:type="paragraph" w:customStyle="1" w:styleId="Textlnku">
    <w:name w:val="Text článku"/>
    <w:basedOn w:val="Normln"/>
    <w:link w:val="TextlnkuChar"/>
    <w:pPr>
      <w:spacing w:before="240"/>
      <w:ind w:firstLine="425"/>
      <w:outlineLvl w:val="5"/>
    </w:pPr>
  </w:style>
  <w:style w:type="paragraph" w:customStyle="1" w:styleId="lnek">
    <w:name w:val="Článek"/>
    <w:basedOn w:val="Normln"/>
    <w:next w:val="Textodstavce"/>
    <w:link w:val="lnekChar"/>
    <w:pPr>
      <w:keepNext/>
      <w:keepLines/>
      <w:numPr>
        <w:ilvl w:val="1"/>
        <w:numId w:val="21"/>
      </w:numPr>
      <w:spacing w:before="240"/>
      <w:jc w:val="center"/>
      <w:outlineLvl w:val="5"/>
    </w:pPr>
  </w:style>
  <w:style w:type="paragraph" w:customStyle="1" w:styleId="CELEX">
    <w:name w:val="CELEX"/>
    <w:basedOn w:val="Normln"/>
    <w:next w:val="Normln"/>
    <w:pPr>
      <w:spacing w:before="60"/>
    </w:pPr>
    <w:rPr>
      <w:i/>
      <w:sz w:val="20"/>
    </w:rPr>
  </w:style>
  <w:style w:type="paragraph" w:customStyle="1" w:styleId="funkce">
    <w:name w:val="funkce"/>
    <w:basedOn w:val="Normln"/>
    <w:pPr>
      <w:keepLines/>
      <w:jc w:val="center"/>
    </w:pPr>
  </w:style>
  <w:style w:type="paragraph" w:customStyle="1" w:styleId="Psmeno">
    <w:name w:val="&quot;Písmeno&quot;"/>
    <w:basedOn w:val="Normln"/>
    <w:next w:val="Normln"/>
    <w:pPr>
      <w:keepNext/>
      <w:keepLines/>
      <w:ind w:left="425" w:hanging="425"/>
    </w:pPr>
  </w:style>
  <w:style w:type="paragraph" w:customStyle="1" w:styleId="Oznaenpozmn">
    <w:name w:val="Označení pozm.n."/>
    <w:basedOn w:val="Normln"/>
    <w:next w:val="Normln"/>
    <w:pPr>
      <w:numPr>
        <w:numId w:val="2"/>
      </w:numPr>
      <w:spacing w:after="120"/>
    </w:pPr>
    <w:rPr>
      <w:b/>
    </w:rPr>
  </w:style>
  <w:style w:type="paragraph" w:customStyle="1" w:styleId="Textpozmn">
    <w:name w:val="Text pozm.n."/>
    <w:basedOn w:val="Normln"/>
    <w:next w:val="Normln"/>
    <w:pPr>
      <w:numPr>
        <w:numId w:val="3"/>
      </w:numPr>
      <w:tabs>
        <w:tab w:val="clear" w:pos="425"/>
        <w:tab w:val="left" w:pos="851"/>
      </w:tabs>
      <w:spacing w:after="120"/>
      <w:ind w:left="850"/>
    </w:pPr>
  </w:style>
  <w:style w:type="paragraph" w:customStyle="1" w:styleId="Novelizanbod">
    <w:name w:val="Novelizační bod"/>
    <w:basedOn w:val="Normln"/>
    <w:next w:val="Normln"/>
    <w:link w:val="NovelizanbodChar"/>
    <w:qFormat/>
    <w:pPr>
      <w:keepNext/>
      <w:keepLines/>
      <w:numPr>
        <w:numId w:val="24"/>
      </w:numPr>
      <w:tabs>
        <w:tab w:val="left" w:pos="851"/>
      </w:tabs>
      <w:spacing w:before="480" w:after="120"/>
    </w:pPr>
  </w:style>
  <w:style w:type="paragraph" w:customStyle="1" w:styleId="Novelizanbodvpozmn">
    <w:name w:val="Novelizační bod v pozm.n."/>
    <w:basedOn w:val="Normln"/>
    <w:next w:val="Normln"/>
    <w:pPr>
      <w:keepNext/>
      <w:keepLines/>
      <w:numPr>
        <w:numId w:val="1"/>
      </w:numPr>
      <w:tabs>
        <w:tab w:val="clear" w:pos="851"/>
        <w:tab w:val="left" w:pos="1418"/>
      </w:tabs>
      <w:spacing w:before="240"/>
      <w:ind w:left="1418" w:hanging="567"/>
    </w:pPr>
  </w:style>
  <w:style w:type="paragraph" w:customStyle="1" w:styleId="Nadpispozmn">
    <w:name w:val="Nadpis pozm.n."/>
    <w:basedOn w:val="Normln"/>
    <w:next w:val="Normln"/>
    <w:pPr>
      <w:keepNext/>
      <w:keepLines/>
      <w:spacing w:after="120"/>
      <w:jc w:val="center"/>
    </w:pPr>
    <w:rPr>
      <w:b/>
      <w:sz w:val="32"/>
    </w:rPr>
  </w:style>
  <w:style w:type="paragraph" w:customStyle="1" w:styleId="Textbodu">
    <w:name w:val="Text bodu"/>
    <w:basedOn w:val="Normln"/>
    <w:pPr>
      <w:numPr>
        <w:ilvl w:val="4"/>
        <w:numId w:val="21"/>
      </w:numPr>
      <w:outlineLvl w:val="8"/>
    </w:pPr>
  </w:style>
  <w:style w:type="paragraph" w:customStyle="1" w:styleId="Textpsmene">
    <w:name w:val="Text písmene"/>
    <w:basedOn w:val="Normln"/>
    <w:link w:val="TextpsmeneChar1"/>
    <w:pPr>
      <w:outlineLvl w:val="7"/>
    </w:pPr>
  </w:style>
  <w:style w:type="character" w:customStyle="1" w:styleId="Odkaznapoznpodarou">
    <w:name w:val="Odkaz na pozn. pod čarou"/>
    <w:rPr>
      <w:vertAlign w:val="superscript"/>
    </w:rPr>
  </w:style>
  <w:style w:type="paragraph" w:customStyle="1" w:styleId="Dvodovzprva">
    <w:name w:val="Důvodová zpráva"/>
    <w:basedOn w:val="Normln"/>
    <w:link w:val="DvodovzprvaChar"/>
    <w:uiPriority w:val="99"/>
    <w:qFormat/>
    <w:rsid w:val="008402A7"/>
    <w:pPr>
      <w:spacing w:before="120"/>
      <w:outlineLvl w:val="0"/>
    </w:pPr>
    <w:rPr>
      <w:rFonts w:ascii="Arial" w:hAnsi="Arial"/>
      <w:color w:val="0000FF"/>
      <w:sz w:val="22"/>
    </w:rPr>
  </w:style>
  <w:style w:type="paragraph" w:customStyle="1" w:styleId="Textodstavce">
    <w:name w:val="Text odstavce"/>
    <w:basedOn w:val="Normln"/>
    <w:link w:val="TextodstavceChar"/>
    <w:qFormat/>
    <w:pPr>
      <w:numPr>
        <w:ilvl w:val="2"/>
        <w:numId w:val="21"/>
      </w:numPr>
      <w:tabs>
        <w:tab w:val="left" w:pos="851"/>
      </w:tabs>
      <w:spacing w:before="120" w:after="120"/>
      <w:outlineLvl w:val="6"/>
    </w:pPr>
  </w:style>
  <w:style w:type="paragraph" w:customStyle="1" w:styleId="Textbodunovely">
    <w:name w:val="Text bodu novely"/>
    <w:basedOn w:val="Normln"/>
    <w:next w:val="Normln"/>
    <w:pPr>
      <w:ind w:left="567" w:hanging="567"/>
    </w:pPr>
  </w:style>
  <w:style w:type="character" w:styleId="slostrnky">
    <w:name w:val="page number"/>
    <w:basedOn w:val="Standardnpsmoodstavce"/>
  </w:style>
  <w:style w:type="paragraph" w:styleId="Zpat">
    <w:name w:val="footer"/>
    <w:basedOn w:val="Normln"/>
    <w:link w:val="ZpatChar"/>
    <w:pPr>
      <w:tabs>
        <w:tab w:val="center" w:pos="4536"/>
        <w:tab w:val="right" w:pos="9072"/>
      </w:tabs>
    </w:pPr>
  </w:style>
  <w:style w:type="paragraph" w:styleId="Textpoznpodarou">
    <w:name w:val="footnote text"/>
    <w:basedOn w:val="Normln"/>
    <w:link w:val="TextpoznpodarouChar"/>
    <w:pPr>
      <w:tabs>
        <w:tab w:val="left" w:pos="425"/>
      </w:tabs>
      <w:ind w:left="425" w:hanging="425"/>
    </w:pPr>
    <w:rPr>
      <w:sz w:val="20"/>
    </w:rPr>
  </w:style>
  <w:style w:type="character" w:styleId="Znakapoznpodarou">
    <w:name w:val="footnote reference"/>
    <w:aliases w:val="fr,Značka pozn. pod čarou1"/>
    <w:rPr>
      <w:vertAlign w:val="superscript"/>
    </w:rPr>
  </w:style>
  <w:style w:type="paragraph" w:styleId="Titulek">
    <w:name w:val="caption"/>
    <w:basedOn w:val="Dvodovzprva"/>
    <w:next w:val="Normln"/>
    <w:link w:val="TitulekChar"/>
    <w:qFormat/>
    <w:pPr>
      <w:spacing w:after="120"/>
    </w:pPr>
    <w:rPr>
      <w:b/>
    </w:rPr>
  </w:style>
  <w:style w:type="paragraph" w:customStyle="1" w:styleId="Nvrh">
    <w:name w:val="Návrh"/>
    <w:basedOn w:val="Normln"/>
    <w:next w:val="ZKON"/>
    <w:pPr>
      <w:keepNext/>
      <w:keepLines/>
      <w:spacing w:after="240"/>
      <w:jc w:val="center"/>
      <w:outlineLvl w:val="0"/>
    </w:pPr>
    <w:rPr>
      <w:spacing w:val="40"/>
    </w:rPr>
  </w:style>
  <w:style w:type="paragraph" w:customStyle="1" w:styleId="Podpis">
    <w:name w:val="Podpis_"/>
    <w:basedOn w:val="Normln"/>
    <w:next w:val="funkce"/>
    <w:pPr>
      <w:keepNext/>
      <w:keepLines/>
      <w:spacing w:before="720"/>
      <w:jc w:val="center"/>
    </w:pPr>
  </w:style>
  <w:style w:type="paragraph" w:customStyle="1" w:styleId="Dvodovzprvakbodu">
    <w:name w:val="Důvodová zpráva (k bodu)"/>
    <w:basedOn w:val="Dvodovzprva"/>
    <w:next w:val="Dvodovzprva"/>
    <w:qFormat/>
    <w:rsid w:val="00356681"/>
    <w:pPr>
      <w:keepNext/>
      <w:numPr>
        <w:numId w:val="99"/>
      </w:numPr>
    </w:pPr>
    <w:rPr>
      <w:b/>
    </w:rPr>
  </w:style>
  <w:style w:type="paragraph" w:customStyle="1" w:styleId="VARIANTA">
    <w:name w:val="VARIANTA"/>
    <w:basedOn w:val="Normln"/>
    <w:next w:val="Normln"/>
    <w:pPr>
      <w:keepNext/>
      <w:spacing w:before="120" w:after="120"/>
    </w:pPr>
    <w:rPr>
      <w:caps/>
      <w:spacing w:val="60"/>
    </w:rPr>
  </w:style>
  <w:style w:type="paragraph" w:customStyle="1" w:styleId="VARIANTA-konec">
    <w:name w:val="VARIANTA - konec"/>
    <w:basedOn w:val="Normln"/>
    <w:next w:val="Normln"/>
    <w:rPr>
      <w:caps/>
      <w:spacing w:val="60"/>
    </w:rPr>
  </w:style>
  <w:style w:type="paragraph" w:customStyle="1" w:styleId="Nadpisparagrafu">
    <w:name w:val="Nadpis paragrafu"/>
    <w:basedOn w:val="Paragraf"/>
    <w:next w:val="Textodstavce"/>
    <w:link w:val="NadpisparagrafuChar2"/>
    <w:rPr>
      <w:b/>
    </w:rPr>
  </w:style>
  <w:style w:type="paragraph" w:customStyle="1" w:styleId="Nadpislnku">
    <w:name w:val="Nadpis článku"/>
    <w:basedOn w:val="lnek"/>
    <w:next w:val="Textodstavce"/>
    <w:link w:val="NadpislnkuChar"/>
    <w:rPr>
      <w:b/>
    </w:rPr>
  </w:style>
  <w:style w:type="character" w:customStyle="1" w:styleId="DvodovzprvaChar">
    <w:name w:val="Důvodová zpráva Char"/>
    <w:link w:val="Dvodovzprva"/>
    <w:uiPriority w:val="99"/>
    <w:locked/>
    <w:rsid w:val="008402A7"/>
    <w:rPr>
      <w:rFonts w:ascii="Arial" w:hAnsi="Arial"/>
      <w:color w:val="0000FF"/>
      <w:sz w:val="22"/>
    </w:rPr>
  </w:style>
  <w:style w:type="paragraph" w:customStyle="1" w:styleId="Dvodovzprvaknovlnku">
    <w:name w:val="Důvodová zpráva (k nov. článku)"/>
    <w:basedOn w:val="Dvodovzprvakbodu"/>
    <w:next w:val="Dvodovzprva"/>
    <w:qFormat/>
    <w:rsid w:val="00FC204D"/>
    <w:pPr>
      <w:numPr>
        <w:numId w:val="4"/>
      </w:numPr>
    </w:pPr>
    <w:rPr>
      <w:sz w:val="24"/>
    </w:rPr>
  </w:style>
  <w:style w:type="paragraph" w:customStyle="1" w:styleId="Dvodovzprvaksti">
    <w:name w:val="Důvodová zpráva (k části)"/>
    <w:basedOn w:val="Dvodovzprva"/>
    <w:next w:val="Dvodovzprva"/>
    <w:qFormat/>
    <w:rsid w:val="00FC204D"/>
    <w:pPr>
      <w:keepNext/>
    </w:pPr>
    <w:rPr>
      <w:b/>
      <w:sz w:val="28"/>
    </w:rPr>
  </w:style>
  <w:style w:type="paragraph" w:customStyle="1" w:styleId="Nadpispododdlu">
    <w:name w:val="Nadpis pododdílu"/>
    <w:basedOn w:val="Nadpisoddlu"/>
    <w:qFormat/>
    <w:rsid w:val="00A52416"/>
  </w:style>
  <w:style w:type="paragraph" w:customStyle="1" w:styleId="Pododdl">
    <w:name w:val="Pododdíl"/>
    <w:basedOn w:val="Oddl"/>
    <w:qFormat/>
    <w:rsid w:val="00A52416"/>
  </w:style>
  <w:style w:type="paragraph" w:customStyle="1" w:styleId="Nadpisskupinyparagraf">
    <w:name w:val="Nadpis skupiny paragrafů"/>
    <w:basedOn w:val="Nadpisparagrafu"/>
    <w:qFormat/>
    <w:rsid w:val="00CC6237"/>
  </w:style>
  <w:style w:type="paragraph" w:customStyle="1" w:styleId="Dvodovzprvakhlav">
    <w:name w:val="Důvodová zpráva (k hlavě)"/>
    <w:basedOn w:val="Dvodovzprva"/>
    <w:next w:val="Dvodovzprva"/>
    <w:qFormat/>
    <w:rsid w:val="00FC204D"/>
    <w:pPr>
      <w:keepNext/>
      <w:numPr>
        <w:numId w:val="5"/>
      </w:numPr>
    </w:pPr>
    <w:rPr>
      <w:b/>
      <w:sz w:val="28"/>
    </w:rPr>
  </w:style>
  <w:style w:type="paragraph" w:customStyle="1" w:styleId="Dvodovzprvakdlu">
    <w:name w:val="Důvodová zpráva (k dílu)"/>
    <w:basedOn w:val="Dvodovzprva"/>
    <w:next w:val="Dvodovzprva"/>
    <w:qFormat/>
    <w:rsid w:val="00FC204D"/>
    <w:pPr>
      <w:keepNext/>
      <w:numPr>
        <w:numId w:val="6"/>
      </w:numPr>
    </w:pPr>
    <w:rPr>
      <w:b/>
      <w:sz w:val="24"/>
    </w:rPr>
  </w:style>
  <w:style w:type="paragraph" w:customStyle="1" w:styleId="Dvodovzprvakoddlu">
    <w:name w:val="Důvodová zpráva (k oddílu)"/>
    <w:basedOn w:val="Dvodovzprva"/>
    <w:next w:val="Dvodovzprva"/>
    <w:qFormat/>
    <w:rsid w:val="00FC204D"/>
    <w:pPr>
      <w:keepNext/>
      <w:numPr>
        <w:numId w:val="7"/>
      </w:numPr>
    </w:pPr>
    <w:rPr>
      <w:b/>
      <w:sz w:val="24"/>
    </w:rPr>
  </w:style>
  <w:style w:type="paragraph" w:customStyle="1" w:styleId="Dvodovzprvakpododdlu">
    <w:name w:val="Důvodová zpráva (k pododdílu)"/>
    <w:basedOn w:val="Dvodovzprva"/>
    <w:next w:val="Dvodovzprva"/>
    <w:qFormat/>
    <w:rsid w:val="00FC204D"/>
    <w:pPr>
      <w:keepNext/>
      <w:numPr>
        <w:numId w:val="8"/>
      </w:numPr>
    </w:pPr>
    <w:rPr>
      <w:b/>
      <w:sz w:val="24"/>
    </w:rPr>
  </w:style>
  <w:style w:type="paragraph" w:customStyle="1" w:styleId="Dvodovzprvaklnku">
    <w:name w:val="Důvodová zpráva (k článku)"/>
    <w:basedOn w:val="Dvodovzprva"/>
    <w:next w:val="Dvodovzprva"/>
    <w:qFormat/>
    <w:rsid w:val="00FC204D"/>
    <w:pPr>
      <w:keepNext/>
    </w:pPr>
    <w:rPr>
      <w:b/>
      <w:sz w:val="24"/>
    </w:rPr>
  </w:style>
  <w:style w:type="paragraph" w:customStyle="1" w:styleId="Dvodovzprvakparagrafu">
    <w:name w:val="Důvodová zpráva (k paragrafu)"/>
    <w:basedOn w:val="Dvodovzprva"/>
    <w:next w:val="Dvodovzprva"/>
    <w:qFormat/>
    <w:rsid w:val="00FC204D"/>
    <w:pPr>
      <w:keepNext/>
    </w:pPr>
    <w:rPr>
      <w:b/>
      <w:sz w:val="24"/>
    </w:rPr>
  </w:style>
  <w:style w:type="table" w:styleId="Mkatabulky">
    <w:name w:val="Table Grid"/>
    <w:basedOn w:val="Normlntabulka"/>
    <w:uiPriority w:val="59"/>
    <w:rsid w:val="0027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uiPriority w:val="9"/>
    <w:rsid w:val="00D0576B"/>
    <w:rPr>
      <w:rFonts w:eastAsiaTheme="majorEastAsia" w:cs="Arial"/>
      <w:b/>
      <w:bCs/>
      <w:iCs/>
      <w:sz w:val="24"/>
      <w:szCs w:val="24"/>
      <w:u w:val="single"/>
    </w:rPr>
  </w:style>
  <w:style w:type="character" w:customStyle="1" w:styleId="Nadpis5Char">
    <w:name w:val="Nadpis 5 Char"/>
    <w:basedOn w:val="Standardnpsmoodstavce"/>
    <w:link w:val="Nadpis5"/>
    <w:uiPriority w:val="9"/>
    <w:rsid w:val="00D0576B"/>
    <w:rPr>
      <w:rFonts w:eastAsia="Calibri" w:cstheme="majorBidi"/>
      <w:b/>
      <w:sz w:val="24"/>
      <w:lang w:eastAsia="en-US"/>
    </w:rPr>
  </w:style>
  <w:style w:type="character" w:customStyle="1" w:styleId="Nadpis6Char">
    <w:name w:val="Nadpis 6 Char"/>
    <w:basedOn w:val="Standardnpsmoodstavce"/>
    <w:link w:val="Nadpis6"/>
    <w:uiPriority w:val="9"/>
    <w:rsid w:val="00AA39F2"/>
    <w:rPr>
      <w:rFonts w:asciiTheme="majorHAnsi" w:eastAsiaTheme="majorEastAsia" w:hAnsiTheme="majorHAnsi" w:cstheme="majorBidi"/>
      <w:color w:val="243F60" w:themeColor="accent1" w:themeShade="7F"/>
      <w:sz w:val="22"/>
    </w:rPr>
  </w:style>
  <w:style w:type="character" w:customStyle="1" w:styleId="Nadpis7Char">
    <w:name w:val="Nadpis 7 Char"/>
    <w:basedOn w:val="Standardnpsmoodstavce"/>
    <w:link w:val="Nadpis7"/>
    <w:uiPriority w:val="9"/>
    <w:rsid w:val="00AA39F2"/>
    <w:rPr>
      <w:rFonts w:asciiTheme="majorHAnsi" w:eastAsiaTheme="majorEastAsia" w:hAnsiTheme="majorHAnsi" w:cstheme="majorBidi"/>
      <w:i/>
      <w:iCs/>
      <w:color w:val="243F60" w:themeColor="accent1" w:themeShade="7F"/>
      <w:sz w:val="24"/>
    </w:rPr>
  </w:style>
  <w:style w:type="character" w:customStyle="1" w:styleId="Nadpis8Char">
    <w:name w:val="Nadpis 8 Char"/>
    <w:basedOn w:val="Standardnpsmoodstavce"/>
    <w:link w:val="Nadpis8"/>
    <w:uiPriority w:val="9"/>
    <w:rsid w:val="00AA39F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rsid w:val="00AA39F2"/>
    <w:rPr>
      <w:rFonts w:asciiTheme="majorHAnsi" w:eastAsiaTheme="majorEastAsia" w:hAnsiTheme="majorHAnsi" w:cstheme="majorBidi"/>
      <w:i/>
      <w:iCs/>
      <w:color w:val="272727" w:themeColor="text1" w:themeTint="D8"/>
      <w:sz w:val="21"/>
      <w:szCs w:val="21"/>
    </w:rPr>
  </w:style>
  <w:style w:type="paragraph" w:styleId="Textbubliny">
    <w:name w:val="Balloon Text"/>
    <w:basedOn w:val="Normln"/>
    <w:link w:val="TextbublinyChar"/>
    <w:uiPriority w:val="99"/>
    <w:semiHidden/>
    <w:unhideWhenUsed/>
    <w:rsid w:val="002F14DF"/>
    <w:rPr>
      <w:rFonts w:ascii="Tahoma" w:hAnsi="Tahoma" w:cs="Tahoma"/>
      <w:sz w:val="16"/>
      <w:szCs w:val="16"/>
    </w:rPr>
  </w:style>
  <w:style w:type="character" w:customStyle="1" w:styleId="TextbublinyChar">
    <w:name w:val="Text bubliny Char"/>
    <w:basedOn w:val="Standardnpsmoodstavce"/>
    <w:link w:val="Textbubliny"/>
    <w:uiPriority w:val="99"/>
    <w:semiHidden/>
    <w:rsid w:val="002F14DF"/>
    <w:rPr>
      <w:rFonts w:ascii="Tahoma" w:hAnsi="Tahoma" w:cs="Tahoma"/>
      <w:sz w:val="16"/>
      <w:szCs w:val="16"/>
    </w:rPr>
  </w:style>
  <w:style w:type="character" w:styleId="Odkaznakoment">
    <w:name w:val="annotation reference"/>
    <w:basedOn w:val="Standardnpsmoodstavce"/>
    <w:uiPriority w:val="99"/>
    <w:unhideWhenUsed/>
    <w:rsid w:val="002F14DF"/>
    <w:rPr>
      <w:sz w:val="16"/>
      <w:szCs w:val="16"/>
    </w:rPr>
  </w:style>
  <w:style w:type="paragraph" w:styleId="Textkomente">
    <w:name w:val="annotation text"/>
    <w:basedOn w:val="Normln"/>
    <w:link w:val="TextkomenteChar"/>
    <w:uiPriority w:val="99"/>
    <w:unhideWhenUsed/>
    <w:rsid w:val="002F14DF"/>
    <w:rPr>
      <w:sz w:val="20"/>
    </w:rPr>
  </w:style>
  <w:style w:type="character" w:customStyle="1" w:styleId="TextkomenteChar">
    <w:name w:val="Text komentáře Char"/>
    <w:basedOn w:val="Standardnpsmoodstavce"/>
    <w:link w:val="Textkomente"/>
    <w:uiPriority w:val="99"/>
    <w:rsid w:val="002F14DF"/>
    <w:rPr>
      <w:rFonts w:ascii="Arial" w:hAnsi="Arial"/>
    </w:rPr>
  </w:style>
  <w:style w:type="paragraph" w:styleId="Pedmtkomente">
    <w:name w:val="annotation subject"/>
    <w:basedOn w:val="Textkomente"/>
    <w:next w:val="Textkomente"/>
    <w:link w:val="PedmtkomenteChar"/>
    <w:uiPriority w:val="99"/>
    <w:unhideWhenUsed/>
    <w:rsid w:val="002F14DF"/>
    <w:rPr>
      <w:b/>
      <w:bCs/>
    </w:rPr>
  </w:style>
  <w:style w:type="character" w:customStyle="1" w:styleId="PedmtkomenteChar">
    <w:name w:val="Předmět komentáře Char"/>
    <w:basedOn w:val="TextkomenteChar"/>
    <w:link w:val="Pedmtkomente"/>
    <w:uiPriority w:val="99"/>
    <w:rsid w:val="002F14DF"/>
    <w:rPr>
      <w:rFonts w:ascii="Arial" w:hAnsi="Arial"/>
      <w:b/>
      <w:bCs/>
    </w:rPr>
  </w:style>
  <w:style w:type="character" w:customStyle="1" w:styleId="Nadpis2Char">
    <w:name w:val="Nadpis 2 Char"/>
    <w:basedOn w:val="Standardnpsmoodstavce"/>
    <w:link w:val="Nadpis2"/>
    <w:rsid w:val="00D0576B"/>
    <w:rPr>
      <w:rFonts w:cs="Arial"/>
      <w:b/>
      <w:bCs/>
      <w:iCs/>
      <w:sz w:val="32"/>
      <w:szCs w:val="28"/>
    </w:rPr>
  </w:style>
  <w:style w:type="character" w:customStyle="1" w:styleId="Nadpis3Char">
    <w:name w:val="Nadpis 3 Char"/>
    <w:basedOn w:val="Standardnpsmoodstavce"/>
    <w:link w:val="Nadpis3"/>
    <w:uiPriority w:val="9"/>
    <w:rsid w:val="00D0576B"/>
    <w:rPr>
      <w:rFonts w:eastAsiaTheme="majorEastAsia" w:cs="Arial"/>
      <w:b/>
      <w:bCs/>
      <w:iCs/>
      <w:sz w:val="28"/>
      <w:szCs w:val="28"/>
    </w:rPr>
  </w:style>
  <w:style w:type="paragraph" w:styleId="Odstavecseseznamem">
    <w:name w:val="List Paragraph"/>
    <w:aliases w:val="Nad,1 odstavecH,Odstavec_muj,List Paragraph (Czech Tourism)"/>
    <w:basedOn w:val="Normln"/>
    <w:link w:val="OdstavecseseznamemChar"/>
    <w:uiPriority w:val="34"/>
    <w:qFormat/>
    <w:rsid w:val="00B957E1"/>
    <w:pPr>
      <w:ind w:left="720"/>
      <w:contextualSpacing/>
    </w:pPr>
  </w:style>
  <w:style w:type="character" w:customStyle="1" w:styleId="Nadpis1Char">
    <w:name w:val="Nadpis 1 Char"/>
    <w:basedOn w:val="Standardnpsmoodstavce"/>
    <w:link w:val="Nadpis1"/>
    <w:rsid w:val="00D0576B"/>
    <w:rPr>
      <w:rFonts w:ascii="Arial" w:eastAsiaTheme="majorEastAsia" w:hAnsi="Arial" w:cs="Arial"/>
      <w:b/>
      <w:bCs/>
      <w:kern w:val="32"/>
      <w:sz w:val="36"/>
      <w:szCs w:val="32"/>
    </w:rPr>
  </w:style>
  <w:style w:type="paragraph" w:styleId="AdresaHTML">
    <w:name w:val="HTML Address"/>
    <w:basedOn w:val="Normln"/>
    <w:link w:val="AdresaHTMLChar"/>
    <w:uiPriority w:val="99"/>
    <w:semiHidden/>
    <w:unhideWhenUsed/>
    <w:rsid w:val="00886DF4"/>
    <w:rPr>
      <w:i/>
      <w:iCs/>
    </w:rPr>
  </w:style>
  <w:style w:type="character" w:customStyle="1" w:styleId="AdresaHTMLChar">
    <w:name w:val="Adresa HTML Char"/>
    <w:basedOn w:val="Standardnpsmoodstavce"/>
    <w:link w:val="AdresaHTML"/>
    <w:uiPriority w:val="99"/>
    <w:semiHidden/>
    <w:rsid w:val="00886DF4"/>
    <w:rPr>
      <w:rFonts w:ascii="Arial" w:hAnsi="Arial"/>
      <w:i/>
      <w:iCs/>
      <w:sz w:val="22"/>
    </w:rPr>
  </w:style>
  <w:style w:type="paragraph" w:styleId="Adresanaoblku">
    <w:name w:val="envelope address"/>
    <w:basedOn w:val="Normln"/>
    <w:uiPriority w:val="99"/>
    <w:semiHidden/>
    <w:unhideWhenUsed/>
    <w:rsid w:val="00886DF4"/>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Bezmezer">
    <w:name w:val="No Spacing"/>
    <w:uiPriority w:val="1"/>
    <w:qFormat/>
    <w:rsid w:val="00886DF4"/>
    <w:pPr>
      <w:jc w:val="both"/>
    </w:pPr>
    <w:rPr>
      <w:rFonts w:ascii="Arial" w:hAnsi="Arial"/>
      <w:sz w:val="22"/>
    </w:rPr>
  </w:style>
  <w:style w:type="paragraph" w:styleId="Bibliografie">
    <w:name w:val="Bibliography"/>
    <w:basedOn w:val="Normln"/>
    <w:next w:val="Normln"/>
    <w:uiPriority w:val="37"/>
    <w:semiHidden/>
    <w:unhideWhenUsed/>
    <w:rsid w:val="00886DF4"/>
  </w:style>
  <w:style w:type="paragraph" w:styleId="Citt">
    <w:name w:val="Quote"/>
    <w:basedOn w:val="Normln"/>
    <w:next w:val="Normln"/>
    <w:link w:val="CittChar"/>
    <w:uiPriority w:val="29"/>
    <w:qFormat/>
    <w:rsid w:val="00886DF4"/>
    <w:rPr>
      <w:i/>
      <w:iCs/>
      <w:color w:val="000000" w:themeColor="text1"/>
    </w:rPr>
  </w:style>
  <w:style w:type="character" w:customStyle="1" w:styleId="CittChar">
    <w:name w:val="Citát Char"/>
    <w:basedOn w:val="Standardnpsmoodstavce"/>
    <w:link w:val="Citt"/>
    <w:uiPriority w:val="29"/>
    <w:rsid w:val="00886DF4"/>
    <w:rPr>
      <w:rFonts w:ascii="Arial" w:hAnsi="Arial"/>
      <w:i/>
      <w:iCs/>
      <w:color w:val="000000" w:themeColor="text1"/>
      <w:sz w:val="22"/>
    </w:rPr>
  </w:style>
  <w:style w:type="paragraph" w:styleId="slovanseznam">
    <w:name w:val="List Number"/>
    <w:basedOn w:val="Normln"/>
    <w:uiPriority w:val="99"/>
    <w:semiHidden/>
    <w:unhideWhenUsed/>
    <w:rsid w:val="00886DF4"/>
    <w:pPr>
      <w:numPr>
        <w:numId w:val="9"/>
      </w:numPr>
      <w:contextualSpacing/>
    </w:pPr>
  </w:style>
  <w:style w:type="paragraph" w:styleId="slovanseznam2">
    <w:name w:val="List Number 2"/>
    <w:basedOn w:val="Normln"/>
    <w:uiPriority w:val="99"/>
    <w:semiHidden/>
    <w:unhideWhenUsed/>
    <w:rsid w:val="00886DF4"/>
    <w:pPr>
      <w:numPr>
        <w:numId w:val="10"/>
      </w:numPr>
      <w:contextualSpacing/>
    </w:pPr>
  </w:style>
  <w:style w:type="paragraph" w:styleId="slovanseznam3">
    <w:name w:val="List Number 3"/>
    <w:basedOn w:val="Normln"/>
    <w:uiPriority w:val="99"/>
    <w:semiHidden/>
    <w:unhideWhenUsed/>
    <w:rsid w:val="00886DF4"/>
    <w:pPr>
      <w:numPr>
        <w:numId w:val="11"/>
      </w:numPr>
      <w:contextualSpacing/>
    </w:pPr>
  </w:style>
  <w:style w:type="paragraph" w:styleId="slovanseznam4">
    <w:name w:val="List Number 4"/>
    <w:basedOn w:val="Normln"/>
    <w:uiPriority w:val="99"/>
    <w:semiHidden/>
    <w:unhideWhenUsed/>
    <w:rsid w:val="00886DF4"/>
    <w:pPr>
      <w:numPr>
        <w:numId w:val="12"/>
      </w:numPr>
      <w:contextualSpacing/>
    </w:pPr>
  </w:style>
  <w:style w:type="paragraph" w:styleId="slovanseznam5">
    <w:name w:val="List Number 5"/>
    <w:basedOn w:val="Normln"/>
    <w:uiPriority w:val="99"/>
    <w:semiHidden/>
    <w:unhideWhenUsed/>
    <w:rsid w:val="00886DF4"/>
    <w:pPr>
      <w:numPr>
        <w:numId w:val="13"/>
      </w:numPr>
      <w:contextualSpacing/>
    </w:pPr>
  </w:style>
  <w:style w:type="paragraph" w:styleId="Datum">
    <w:name w:val="Date"/>
    <w:basedOn w:val="Normln"/>
    <w:next w:val="Normln"/>
    <w:link w:val="DatumChar"/>
    <w:uiPriority w:val="99"/>
    <w:semiHidden/>
    <w:unhideWhenUsed/>
    <w:rsid w:val="00886DF4"/>
  </w:style>
  <w:style w:type="character" w:customStyle="1" w:styleId="DatumChar">
    <w:name w:val="Datum Char"/>
    <w:basedOn w:val="Standardnpsmoodstavce"/>
    <w:link w:val="Datum"/>
    <w:uiPriority w:val="99"/>
    <w:semiHidden/>
    <w:rsid w:val="00886DF4"/>
    <w:rPr>
      <w:rFonts w:ascii="Arial" w:hAnsi="Arial"/>
      <w:sz w:val="22"/>
    </w:rPr>
  </w:style>
  <w:style w:type="paragraph" w:styleId="FormtovanvHTML">
    <w:name w:val="HTML Preformatted"/>
    <w:basedOn w:val="Normln"/>
    <w:link w:val="FormtovanvHTMLChar"/>
    <w:uiPriority w:val="99"/>
    <w:semiHidden/>
    <w:unhideWhenUsed/>
    <w:rsid w:val="00886DF4"/>
    <w:rPr>
      <w:rFonts w:ascii="Consolas" w:hAnsi="Consolas"/>
      <w:sz w:val="20"/>
    </w:rPr>
  </w:style>
  <w:style w:type="character" w:customStyle="1" w:styleId="FormtovanvHTMLChar">
    <w:name w:val="Formátovaný v HTML Char"/>
    <w:basedOn w:val="Standardnpsmoodstavce"/>
    <w:link w:val="FormtovanvHTML"/>
    <w:uiPriority w:val="99"/>
    <w:semiHidden/>
    <w:rsid w:val="00886DF4"/>
    <w:rPr>
      <w:rFonts w:ascii="Consolas" w:hAnsi="Consolas"/>
    </w:rPr>
  </w:style>
  <w:style w:type="paragraph" w:styleId="Hlavikaobsahu">
    <w:name w:val="toa heading"/>
    <w:basedOn w:val="Normln"/>
    <w:next w:val="Normln"/>
    <w:uiPriority w:val="99"/>
    <w:semiHidden/>
    <w:unhideWhenUsed/>
    <w:rsid w:val="00886DF4"/>
    <w:pPr>
      <w:spacing w:before="120"/>
    </w:pPr>
    <w:rPr>
      <w:rFonts w:asciiTheme="majorHAnsi" w:eastAsiaTheme="majorEastAsia" w:hAnsiTheme="majorHAnsi" w:cstheme="majorBidi"/>
      <w:b/>
      <w:bCs/>
      <w:szCs w:val="24"/>
    </w:rPr>
  </w:style>
  <w:style w:type="paragraph" w:styleId="Rejstk1">
    <w:name w:val="index 1"/>
    <w:basedOn w:val="Normln"/>
    <w:next w:val="Normln"/>
    <w:uiPriority w:val="99"/>
    <w:semiHidden/>
    <w:unhideWhenUsed/>
    <w:rsid w:val="00886DF4"/>
    <w:pPr>
      <w:ind w:left="220" w:hanging="220"/>
    </w:pPr>
  </w:style>
  <w:style w:type="paragraph" w:styleId="Hlavikarejstku">
    <w:name w:val="index heading"/>
    <w:basedOn w:val="Normln"/>
    <w:next w:val="Rejstk1"/>
    <w:uiPriority w:val="99"/>
    <w:semiHidden/>
    <w:unhideWhenUsed/>
    <w:rsid w:val="00886DF4"/>
    <w:rPr>
      <w:rFonts w:asciiTheme="majorHAnsi" w:eastAsiaTheme="majorEastAsia" w:hAnsiTheme="majorHAnsi" w:cstheme="majorBidi"/>
      <w:b/>
      <w:bCs/>
    </w:rPr>
  </w:style>
  <w:style w:type="paragraph" w:styleId="Nadpisobsahu">
    <w:name w:val="TOC Heading"/>
    <w:basedOn w:val="Nadpis1"/>
    <w:next w:val="Normln"/>
    <w:uiPriority w:val="39"/>
    <w:unhideWhenUsed/>
    <w:qFormat/>
    <w:rsid w:val="00886DF4"/>
    <w:pPr>
      <w:keepLines/>
      <w:spacing w:before="480" w:after="0"/>
      <w:jc w:val="both"/>
      <w:outlineLvl w:val="9"/>
    </w:pPr>
    <w:rPr>
      <w:rFonts w:asciiTheme="majorHAnsi" w:hAnsiTheme="majorHAnsi" w:cstheme="majorBidi"/>
      <w:color w:val="365F91" w:themeColor="accent1" w:themeShade="BF"/>
      <w:kern w:val="0"/>
      <w:sz w:val="28"/>
      <w:szCs w:val="28"/>
    </w:rPr>
  </w:style>
  <w:style w:type="paragraph" w:styleId="Nadpispoznmky">
    <w:name w:val="Note Heading"/>
    <w:basedOn w:val="Normln"/>
    <w:next w:val="Normln"/>
    <w:link w:val="NadpispoznmkyChar"/>
    <w:uiPriority w:val="99"/>
    <w:semiHidden/>
    <w:unhideWhenUsed/>
    <w:rsid w:val="00886DF4"/>
  </w:style>
  <w:style w:type="character" w:customStyle="1" w:styleId="NadpispoznmkyChar">
    <w:name w:val="Nadpis poznámky Char"/>
    <w:basedOn w:val="Standardnpsmoodstavce"/>
    <w:link w:val="Nadpispoznmky"/>
    <w:uiPriority w:val="99"/>
    <w:semiHidden/>
    <w:rsid w:val="00886DF4"/>
    <w:rPr>
      <w:rFonts w:ascii="Arial" w:hAnsi="Arial"/>
      <w:sz w:val="22"/>
    </w:rPr>
  </w:style>
  <w:style w:type="paragraph" w:styleId="Nzev">
    <w:name w:val="Title"/>
    <w:basedOn w:val="Normln"/>
    <w:next w:val="Normln"/>
    <w:link w:val="NzevChar"/>
    <w:uiPriority w:val="10"/>
    <w:qFormat/>
    <w:rsid w:val="00886DF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886DF4"/>
    <w:rPr>
      <w:rFonts w:asciiTheme="majorHAnsi" w:eastAsiaTheme="majorEastAsia" w:hAnsiTheme="majorHAnsi" w:cstheme="majorBidi"/>
      <w:color w:val="17365D" w:themeColor="text2" w:themeShade="BF"/>
      <w:spacing w:val="5"/>
      <w:kern w:val="28"/>
      <w:sz w:val="52"/>
      <w:szCs w:val="52"/>
    </w:rPr>
  </w:style>
  <w:style w:type="paragraph" w:styleId="Normlnweb">
    <w:name w:val="Normal (Web)"/>
    <w:basedOn w:val="Normln"/>
    <w:uiPriority w:val="99"/>
    <w:unhideWhenUsed/>
    <w:rsid w:val="00886DF4"/>
    <w:rPr>
      <w:szCs w:val="24"/>
    </w:rPr>
  </w:style>
  <w:style w:type="paragraph" w:styleId="Normlnodsazen">
    <w:name w:val="Normal Indent"/>
    <w:basedOn w:val="Normln"/>
    <w:uiPriority w:val="99"/>
    <w:semiHidden/>
    <w:unhideWhenUsed/>
    <w:rsid w:val="00886DF4"/>
    <w:pPr>
      <w:ind w:left="708"/>
    </w:pPr>
  </w:style>
  <w:style w:type="paragraph" w:styleId="Obsah1">
    <w:name w:val="toc 1"/>
    <w:basedOn w:val="Normln"/>
    <w:next w:val="Normln"/>
    <w:uiPriority w:val="39"/>
    <w:semiHidden/>
    <w:unhideWhenUsed/>
    <w:rsid w:val="00886DF4"/>
    <w:pPr>
      <w:spacing w:after="100"/>
    </w:pPr>
  </w:style>
  <w:style w:type="paragraph" w:styleId="Obsah2">
    <w:name w:val="toc 2"/>
    <w:basedOn w:val="Normln"/>
    <w:next w:val="Normln"/>
    <w:uiPriority w:val="39"/>
    <w:semiHidden/>
    <w:unhideWhenUsed/>
    <w:rsid w:val="00886DF4"/>
    <w:pPr>
      <w:spacing w:after="100"/>
      <w:ind w:left="220"/>
    </w:pPr>
  </w:style>
  <w:style w:type="paragraph" w:styleId="Obsah3">
    <w:name w:val="toc 3"/>
    <w:basedOn w:val="Normln"/>
    <w:next w:val="Normln"/>
    <w:uiPriority w:val="39"/>
    <w:semiHidden/>
    <w:unhideWhenUsed/>
    <w:rsid w:val="00886DF4"/>
    <w:pPr>
      <w:spacing w:after="100"/>
      <w:ind w:left="440"/>
    </w:pPr>
  </w:style>
  <w:style w:type="paragraph" w:styleId="Obsah4">
    <w:name w:val="toc 4"/>
    <w:basedOn w:val="Normln"/>
    <w:next w:val="Normln"/>
    <w:uiPriority w:val="39"/>
    <w:semiHidden/>
    <w:unhideWhenUsed/>
    <w:rsid w:val="00886DF4"/>
    <w:pPr>
      <w:spacing w:after="100"/>
      <w:ind w:left="660"/>
    </w:pPr>
  </w:style>
  <w:style w:type="paragraph" w:styleId="Obsah5">
    <w:name w:val="toc 5"/>
    <w:basedOn w:val="Normln"/>
    <w:next w:val="Normln"/>
    <w:uiPriority w:val="39"/>
    <w:semiHidden/>
    <w:unhideWhenUsed/>
    <w:rsid w:val="00886DF4"/>
    <w:pPr>
      <w:spacing w:after="100"/>
      <w:ind w:left="880"/>
    </w:pPr>
  </w:style>
  <w:style w:type="paragraph" w:styleId="Obsah6">
    <w:name w:val="toc 6"/>
    <w:basedOn w:val="Normln"/>
    <w:next w:val="Normln"/>
    <w:uiPriority w:val="39"/>
    <w:semiHidden/>
    <w:unhideWhenUsed/>
    <w:rsid w:val="00886DF4"/>
    <w:pPr>
      <w:spacing w:after="100"/>
      <w:ind w:left="1100"/>
    </w:pPr>
  </w:style>
  <w:style w:type="paragraph" w:styleId="Obsah7">
    <w:name w:val="toc 7"/>
    <w:basedOn w:val="Normln"/>
    <w:next w:val="Normln"/>
    <w:uiPriority w:val="39"/>
    <w:semiHidden/>
    <w:unhideWhenUsed/>
    <w:rsid w:val="00886DF4"/>
    <w:pPr>
      <w:spacing w:after="100"/>
      <w:ind w:left="1320"/>
    </w:pPr>
  </w:style>
  <w:style w:type="paragraph" w:styleId="Obsah8">
    <w:name w:val="toc 8"/>
    <w:basedOn w:val="Normln"/>
    <w:next w:val="Normln"/>
    <w:uiPriority w:val="39"/>
    <w:semiHidden/>
    <w:unhideWhenUsed/>
    <w:rsid w:val="00886DF4"/>
    <w:pPr>
      <w:spacing w:after="100"/>
      <w:ind w:left="1540"/>
    </w:pPr>
  </w:style>
  <w:style w:type="paragraph" w:styleId="Obsah9">
    <w:name w:val="toc 9"/>
    <w:basedOn w:val="Normln"/>
    <w:next w:val="Normln"/>
    <w:uiPriority w:val="39"/>
    <w:semiHidden/>
    <w:unhideWhenUsed/>
    <w:rsid w:val="00886DF4"/>
    <w:pPr>
      <w:spacing w:after="100"/>
      <w:ind w:left="1760"/>
    </w:pPr>
  </w:style>
  <w:style w:type="paragraph" w:styleId="Osloven">
    <w:name w:val="Salutation"/>
    <w:basedOn w:val="Normln"/>
    <w:next w:val="Normln"/>
    <w:link w:val="OslovenChar"/>
    <w:uiPriority w:val="99"/>
    <w:semiHidden/>
    <w:unhideWhenUsed/>
    <w:rsid w:val="00886DF4"/>
  </w:style>
  <w:style w:type="character" w:customStyle="1" w:styleId="OslovenChar">
    <w:name w:val="Oslovení Char"/>
    <w:basedOn w:val="Standardnpsmoodstavce"/>
    <w:link w:val="Osloven"/>
    <w:uiPriority w:val="99"/>
    <w:semiHidden/>
    <w:rsid w:val="00886DF4"/>
    <w:rPr>
      <w:rFonts w:ascii="Arial" w:hAnsi="Arial"/>
      <w:sz w:val="22"/>
    </w:rPr>
  </w:style>
  <w:style w:type="paragraph" w:styleId="Podpis0">
    <w:name w:val="Signature"/>
    <w:basedOn w:val="Normln"/>
    <w:link w:val="PodpisChar"/>
    <w:uiPriority w:val="99"/>
    <w:semiHidden/>
    <w:unhideWhenUsed/>
    <w:rsid w:val="00886DF4"/>
    <w:pPr>
      <w:ind w:left="4252"/>
    </w:pPr>
  </w:style>
  <w:style w:type="character" w:customStyle="1" w:styleId="PodpisChar">
    <w:name w:val="Podpis Char"/>
    <w:basedOn w:val="Standardnpsmoodstavce"/>
    <w:link w:val="Podpis0"/>
    <w:uiPriority w:val="99"/>
    <w:semiHidden/>
    <w:rsid w:val="00886DF4"/>
    <w:rPr>
      <w:rFonts w:ascii="Arial" w:hAnsi="Arial"/>
      <w:sz w:val="22"/>
    </w:rPr>
  </w:style>
  <w:style w:type="paragraph" w:styleId="Podpise-mailu">
    <w:name w:val="E-mail Signature"/>
    <w:basedOn w:val="Normln"/>
    <w:link w:val="Podpise-mailuChar"/>
    <w:uiPriority w:val="99"/>
    <w:semiHidden/>
    <w:unhideWhenUsed/>
    <w:rsid w:val="00886DF4"/>
  </w:style>
  <w:style w:type="character" w:customStyle="1" w:styleId="Podpise-mailuChar">
    <w:name w:val="Podpis e-mailu Char"/>
    <w:basedOn w:val="Standardnpsmoodstavce"/>
    <w:link w:val="Podpise-mailu"/>
    <w:uiPriority w:val="99"/>
    <w:semiHidden/>
    <w:rsid w:val="00886DF4"/>
    <w:rPr>
      <w:rFonts w:ascii="Arial" w:hAnsi="Arial"/>
      <w:sz w:val="22"/>
    </w:rPr>
  </w:style>
  <w:style w:type="paragraph" w:styleId="Podnadpis">
    <w:name w:val="Subtitle"/>
    <w:aliases w:val="Podnadpis v kapitolách"/>
    <w:basedOn w:val="Normln"/>
    <w:next w:val="Normln"/>
    <w:link w:val="PodnadpisChar"/>
    <w:uiPriority w:val="11"/>
    <w:qFormat/>
    <w:rsid w:val="00886DF4"/>
    <w:pPr>
      <w:numPr>
        <w:ilvl w:val="1"/>
      </w:numPr>
    </w:pPr>
    <w:rPr>
      <w:rFonts w:asciiTheme="majorHAnsi" w:eastAsiaTheme="majorEastAsia" w:hAnsiTheme="majorHAnsi" w:cstheme="majorBidi"/>
      <w:i/>
      <w:iCs/>
      <w:color w:val="4F81BD" w:themeColor="accent1"/>
      <w:spacing w:val="15"/>
      <w:szCs w:val="24"/>
    </w:rPr>
  </w:style>
  <w:style w:type="character" w:customStyle="1" w:styleId="PodnadpisChar">
    <w:name w:val="Podnadpis Char"/>
    <w:aliases w:val="Podnadpis v kapitolách Char"/>
    <w:basedOn w:val="Standardnpsmoodstavce"/>
    <w:link w:val="Podnadpis"/>
    <w:uiPriority w:val="11"/>
    <w:rsid w:val="00886DF4"/>
    <w:rPr>
      <w:rFonts w:asciiTheme="majorHAnsi" w:eastAsiaTheme="majorEastAsia" w:hAnsiTheme="majorHAnsi" w:cstheme="majorBidi"/>
      <w:i/>
      <w:iCs/>
      <w:color w:val="4F81BD" w:themeColor="accent1"/>
      <w:spacing w:val="15"/>
      <w:sz w:val="24"/>
      <w:szCs w:val="24"/>
    </w:rPr>
  </w:style>
  <w:style w:type="paragraph" w:styleId="Pokraovnseznamu">
    <w:name w:val="List Continue"/>
    <w:basedOn w:val="Normln"/>
    <w:uiPriority w:val="99"/>
    <w:semiHidden/>
    <w:unhideWhenUsed/>
    <w:rsid w:val="00886DF4"/>
    <w:pPr>
      <w:spacing w:after="120"/>
      <w:ind w:left="283"/>
      <w:contextualSpacing/>
    </w:pPr>
  </w:style>
  <w:style w:type="paragraph" w:styleId="Pokraovnseznamu2">
    <w:name w:val="List Continue 2"/>
    <w:basedOn w:val="Normln"/>
    <w:uiPriority w:val="99"/>
    <w:semiHidden/>
    <w:unhideWhenUsed/>
    <w:rsid w:val="00886DF4"/>
    <w:pPr>
      <w:spacing w:after="120"/>
      <w:ind w:left="566"/>
      <w:contextualSpacing/>
    </w:pPr>
  </w:style>
  <w:style w:type="paragraph" w:styleId="Pokraovnseznamu3">
    <w:name w:val="List Continue 3"/>
    <w:basedOn w:val="Normln"/>
    <w:uiPriority w:val="99"/>
    <w:semiHidden/>
    <w:unhideWhenUsed/>
    <w:rsid w:val="00886DF4"/>
    <w:pPr>
      <w:spacing w:after="120"/>
      <w:ind w:left="849"/>
      <w:contextualSpacing/>
    </w:pPr>
  </w:style>
  <w:style w:type="paragraph" w:styleId="Pokraovnseznamu4">
    <w:name w:val="List Continue 4"/>
    <w:basedOn w:val="Normln"/>
    <w:uiPriority w:val="99"/>
    <w:semiHidden/>
    <w:unhideWhenUsed/>
    <w:rsid w:val="00886DF4"/>
    <w:pPr>
      <w:spacing w:after="120"/>
      <w:ind w:left="1132"/>
      <w:contextualSpacing/>
    </w:pPr>
  </w:style>
  <w:style w:type="paragraph" w:styleId="Pokraovnseznamu5">
    <w:name w:val="List Continue 5"/>
    <w:basedOn w:val="Normln"/>
    <w:uiPriority w:val="99"/>
    <w:semiHidden/>
    <w:unhideWhenUsed/>
    <w:rsid w:val="00886DF4"/>
    <w:pPr>
      <w:spacing w:after="120"/>
      <w:ind w:left="1415"/>
      <w:contextualSpacing/>
    </w:pPr>
  </w:style>
  <w:style w:type="paragraph" w:styleId="Prosttext">
    <w:name w:val="Plain Text"/>
    <w:basedOn w:val="Normln"/>
    <w:link w:val="ProsttextChar"/>
    <w:uiPriority w:val="99"/>
    <w:semiHidden/>
    <w:unhideWhenUsed/>
    <w:rsid w:val="00886DF4"/>
    <w:rPr>
      <w:rFonts w:ascii="Consolas" w:hAnsi="Consolas"/>
      <w:sz w:val="21"/>
      <w:szCs w:val="21"/>
    </w:rPr>
  </w:style>
  <w:style w:type="character" w:customStyle="1" w:styleId="ProsttextChar">
    <w:name w:val="Prostý text Char"/>
    <w:basedOn w:val="Standardnpsmoodstavce"/>
    <w:link w:val="Prosttext"/>
    <w:uiPriority w:val="99"/>
    <w:semiHidden/>
    <w:rsid w:val="00886DF4"/>
    <w:rPr>
      <w:rFonts w:ascii="Consolas" w:hAnsi="Consolas"/>
      <w:sz w:val="21"/>
      <w:szCs w:val="21"/>
    </w:rPr>
  </w:style>
  <w:style w:type="paragraph" w:styleId="Rejstk2">
    <w:name w:val="index 2"/>
    <w:basedOn w:val="Normln"/>
    <w:next w:val="Normln"/>
    <w:uiPriority w:val="99"/>
    <w:semiHidden/>
    <w:unhideWhenUsed/>
    <w:rsid w:val="00886DF4"/>
    <w:pPr>
      <w:ind w:left="440" w:hanging="220"/>
    </w:pPr>
  </w:style>
  <w:style w:type="paragraph" w:styleId="Rejstk3">
    <w:name w:val="index 3"/>
    <w:basedOn w:val="Normln"/>
    <w:next w:val="Normln"/>
    <w:uiPriority w:val="99"/>
    <w:semiHidden/>
    <w:unhideWhenUsed/>
    <w:rsid w:val="00886DF4"/>
    <w:pPr>
      <w:ind w:left="660" w:hanging="220"/>
    </w:pPr>
  </w:style>
  <w:style w:type="paragraph" w:styleId="Rejstk4">
    <w:name w:val="index 4"/>
    <w:basedOn w:val="Normln"/>
    <w:next w:val="Normln"/>
    <w:uiPriority w:val="99"/>
    <w:semiHidden/>
    <w:unhideWhenUsed/>
    <w:rsid w:val="00886DF4"/>
    <w:pPr>
      <w:ind w:left="880" w:hanging="220"/>
    </w:pPr>
  </w:style>
  <w:style w:type="paragraph" w:styleId="Rejstk5">
    <w:name w:val="index 5"/>
    <w:basedOn w:val="Normln"/>
    <w:next w:val="Normln"/>
    <w:uiPriority w:val="99"/>
    <w:semiHidden/>
    <w:unhideWhenUsed/>
    <w:rsid w:val="00886DF4"/>
    <w:pPr>
      <w:ind w:left="1100" w:hanging="220"/>
    </w:pPr>
  </w:style>
  <w:style w:type="paragraph" w:styleId="Rejstk6">
    <w:name w:val="index 6"/>
    <w:basedOn w:val="Normln"/>
    <w:next w:val="Normln"/>
    <w:uiPriority w:val="99"/>
    <w:semiHidden/>
    <w:unhideWhenUsed/>
    <w:rsid w:val="00886DF4"/>
    <w:pPr>
      <w:ind w:left="1320" w:hanging="220"/>
    </w:pPr>
  </w:style>
  <w:style w:type="paragraph" w:styleId="Rejstk7">
    <w:name w:val="index 7"/>
    <w:basedOn w:val="Normln"/>
    <w:next w:val="Normln"/>
    <w:uiPriority w:val="99"/>
    <w:semiHidden/>
    <w:unhideWhenUsed/>
    <w:rsid w:val="00886DF4"/>
    <w:pPr>
      <w:ind w:left="1540" w:hanging="220"/>
    </w:pPr>
  </w:style>
  <w:style w:type="paragraph" w:styleId="Rejstk8">
    <w:name w:val="index 8"/>
    <w:basedOn w:val="Normln"/>
    <w:next w:val="Normln"/>
    <w:uiPriority w:val="99"/>
    <w:semiHidden/>
    <w:unhideWhenUsed/>
    <w:rsid w:val="00886DF4"/>
    <w:pPr>
      <w:ind w:left="1760" w:hanging="220"/>
    </w:pPr>
  </w:style>
  <w:style w:type="paragraph" w:styleId="Rejstk9">
    <w:name w:val="index 9"/>
    <w:basedOn w:val="Normln"/>
    <w:next w:val="Normln"/>
    <w:uiPriority w:val="99"/>
    <w:semiHidden/>
    <w:unhideWhenUsed/>
    <w:rsid w:val="00886DF4"/>
    <w:pPr>
      <w:ind w:left="1980" w:hanging="220"/>
    </w:pPr>
  </w:style>
  <w:style w:type="paragraph" w:styleId="Rozloendokumentu">
    <w:name w:val="Document Map"/>
    <w:basedOn w:val="Normln"/>
    <w:link w:val="RozloendokumentuChar"/>
    <w:uiPriority w:val="99"/>
    <w:semiHidden/>
    <w:unhideWhenUsed/>
    <w:rsid w:val="00886DF4"/>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886DF4"/>
    <w:rPr>
      <w:rFonts w:ascii="Tahoma" w:hAnsi="Tahoma" w:cs="Tahoma"/>
      <w:sz w:val="16"/>
      <w:szCs w:val="16"/>
    </w:rPr>
  </w:style>
  <w:style w:type="paragraph" w:styleId="Seznam">
    <w:name w:val="List"/>
    <w:basedOn w:val="Normln"/>
    <w:uiPriority w:val="99"/>
    <w:semiHidden/>
    <w:unhideWhenUsed/>
    <w:rsid w:val="00886DF4"/>
    <w:pPr>
      <w:ind w:left="283" w:hanging="283"/>
      <w:contextualSpacing/>
    </w:pPr>
  </w:style>
  <w:style w:type="paragraph" w:styleId="Seznam2">
    <w:name w:val="List 2"/>
    <w:basedOn w:val="Normln"/>
    <w:uiPriority w:val="99"/>
    <w:semiHidden/>
    <w:unhideWhenUsed/>
    <w:rsid w:val="00886DF4"/>
    <w:pPr>
      <w:ind w:left="566" w:hanging="283"/>
      <w:contextualSpacing/>
    </w:pPr>
  </w:style>
  <w:style w:type="paragraph" w:styleId="Seznam3">
    <w:name w:val="List 3"/>
    <w:basedOn w:val="Normln"/>
    <w:uiPriority w:val="99"/>
    <w:semiHidden/>
    <w:unhideWhenUsed/>
    <w:rsid w:val="00886DF4"/>
    <w:pPr>
      <w:ind w:left="849" w:hanging="283"/>
      <w:contextualSpacing/>
    </w:pPr>
  </w:style>
  <w:style w:type="paragraph" w:styleId="Seznam4">
    <w:name w:val="List 4"/>
    <w:basedOn w:val="Normln"/>
    <w:uiPriority w:val="99"/>
    <w:semiHidden/>
    <w:unhideWhenUsed/>
    <w:rsid w:val="00886DF4"/>
    <w:pPr>
      <w:ind w:left="1132" w:hanging="283"/>
      <w:contextualSpacing/>
    </w:pPr>
  </w:style>
  <w:style w:type="paragraph" w:styleId="Seznam5">
    <w:name w:val="List 5"/>
    <w:basedOn w:val="Normln"/>
    <w:uiPriority w:val="99"/>
    <w:semiHidden/>
    <w:unhideWhenUsed/>
    <w:rsid w:val="00886DF4"/>
    <w:pPr>
      <w:ind w:left="1415" w:hanging="283"/>
      <w:contextualSpacing/>
    </w:pPr>
  </w:style>
  <w:style w:type="paragraph" w:styleId="Seznamcitac">
    <w:name w:val="table of authorities"/>
    <w:basedOn w:val="Normln"/>
    <w:next w:val="Normln"/>
    <w:uiPriority w:val="99"/>
    <w:semiHidden/>
    <w:unhideWhenUsed/>
    <w:rsid w:val="00886DF4"/>
    <w:pPr>
      <w:ind w:left="220" w:hanging="220"/>
    </w:pPr>
  </w:style>
  <w:style w:type="paragraph" w:styleId="Seznamobrzk">
    <w:name w:val="table of figures"/>
    <w:basedOn w:val="Normln"/>
    <w:next w:val="Normln"/>
    <w:uiPriority w:val="99"/>
    <w:semiHidden/>
    <w:unhideWhenUsed/>
    <w:rsid w:val="00886DF4"/>
  </w:style>
  <w:style w:type="paragraph" w:styleId="Seznamsodrkami">
    <w:name w:val="List Bullet"/>
    <w:basedOn w:val="Normln"/>
    <w:uiPriority w:val="99"/>
    <w:semiHidden/>
    <w:unhideWhenUsed/>
    <w:rsid w:val="00886DF4"/>
    <w:pPr>
      <w:numPr>
        <w:numId w:val="15"/>
      </w:numPr>
      <w:contextualSpacing/>
    </w:pPr>
  </w:style>
  <w:style w:type="paragraph" w:styleId="Seznamsodrkami2">
    <w:name w:val="List Bullet 2"/>
    <w:basedOn w:val="Normln"/>
    <w:uiPriority w:val="99"/>
    <w:semiHidden/>
    <w:unhideWhenUsed/>
    <w:rsid w:val="00886DF4"/>
    <w:pPr>
      <w:numPr>
        <w:numId w:val="16"/>
      </w:numPr>
      <w:contextualSpacing/>
    </w:pPr>
  </w:style>
  <w:style w:type="paragraph" w:styleId="Seznamsodrkami3">
    <w:name w:val="List Bullet 3"/>
    <w:basedOn w:val="Normln"/>
    <w:uiPriority w:val="99"/>
    <w:semiHidden/>
    <w:unhideWhenUsed/>
    <w:rsid w:val="00886DF4"/>
    <w:pPr>
      <w:numPr>
        <w:numId w:val="17"/>
      </w:numPr>
      <w:contextualSpacing/>
    </w:pPr>
  </w:style>
  <w:style w:type="paragraph" w:styleId="Seznamsodrkami4">
    <w:name w:val="List Bullet 4"/>
    <w:basedOn w:val="Normln"/>
    <w:uiPriority w:val="99"/>
    <w:semiHidden/>
    <w:unhideWhenUsed/>
    <w:rsid w:val="00886DF4"/>
    <w:pPr>
      <w:numPr>
        <w:numId w:val="18"/>
      </w:numPr>
      <w:contextualSpacing/>
    </w:pPr>
  </w:style>
  <w:style w:type="paragraph" w:styleId="Seznamsodrkami5">
    <w:name w:val="List Bullet 5"/>
    <w:basedOn w:val="Normln"/>
    <w:uiPriority w:val="99"/>
    <w:semiHidden/>
    <w:unhideWhenUsed/>
    <w:rsid w:val="00886DF4"/>
    <w:pPr>
      <w:numPr>
        <w:numId w:val="19"/>
      </w:numPr>
      <w:contextualSpacing/>
    </w:pPr>
  </w:style>
  <w:style w:type="paragraph" w:styleId="Textmakra">
    <w:name w:val="macro"/>
    <w:link w:val="TextmakraChar"/>
    <w:uiPriority w:val="99"/>
    <w:semiHidden/>
    <w:unhideWhenUsed/>
    <w:rsid w:val="00886DF4"/>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TextmakraChar">
    <w:name w:val="Text makra Char"/>
    <w:basedOn w:val="Standardnpsmoodstavce"/>
    <w:link w:val="Textmakra"/>
    <w:uiPriority w:val="99"/>
    <w:semiHidden/>
    <w:rsid w:val="00886DF4"/>
    <w:rPr>
      <w:rFonts w:ascii="Consolas" w:hAnsi="Consolas"/>
    </w:rPr>
  </w:style>
  <w:style w:type="paragraph" w:styleId="Textvbloku">
    <w:name w:val="Block Text"/>
    <w:basedOn w:val="Normln"/>
    <w:uiPriority w:val="99"/>
    <w:semiHidden/>
    <w:unhideWhenUsed/>
    <w:rsid w:val="00886DF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vysvtlivek">
    <w:name w:val="endnote text"/>
    <w:basedOn w:val="Normln"/>
    <w:link w:val="TextvysvtlivekChar"/>
    <w:uiPriority w:val="99"/>
    <w:unhideWhenUsed/>
    <w:rsid w:val="00886DF4"/>
    <w:rPr>
      <w:sz w:val="20"/>
    </w:rPr>
  </w:style>
  <w:style w:type="character" w:customStyle="1" w:styleId="TextvysvtlivekChar">
    <w:name w:val="Text vysvětlivek Char"/>
    <w:basedOn w:val="Standardnpsmoodstavce"/>
    <w:link w:val="Textvysvtlivek"/>
    <w:uiPriority w:val="99"/>
    <w:rsid w:val="00886DF4"/>
    <w:rPr>
      <w:rFonts w:ascii="Arial" w:hAnsi="Arial"/>
    </w:rPr>
  </w:style>
  <w:style w:type="paragraph" w:styleId="Vrazncitt">
    <w:name w:val="Intense Quote"/>
    <w:basedOn w:val="Normln"/>
    <w:next w:val="Normln"/>
    <w:link w:val="VrazncittChar"/>
    <w:uiPriority w:val="30"/>
    <w:qFormat/>
    <w:rsid w:val="00886DF4"/>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886DF4"/>
    <w:rPr>
      <w:rFonts w:ascii="Arial" w:hAnsi="Arial"/>
      <w:b/>
      <w:bCs/>
      <w:i/>
      <w:iCs/>
      <w:color w:val="4F81BD" w:themeColor="accent1"/>
      <w:sz w:val="22"/>
    </w:rPr>
  </w:style>
  <w:style w:type="paragraph" w:styleId="Zhlavzprvy">
    <w:name w:val="Message Header"/>
    <w:basedOn w:val="Normln"/>
    <w:link w:val="ZhlavzprvyChar"/>
    <w:uiPriority w:val="99"/>
    <w:semiHidden/>
    <w:unhideWhenUsed/>
    <w:rsid w:val="00886DF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ZhlavzprvyChar">
    <w:name w:val="Záhlaví zprávy Char"/>
    <w:basedOn w:val="Standardnpsmoodstavce"/>
    <w:link w:val="Zhlavzprvy"/>
    <w:uiPriority w:val="99"/>
    <w:semiHidden/>
    <w:rsid w:val="00886DF4"/>
    <w:rPr>
      <w:rFonts w:asciiTheme="majorHAnsi" w:eastAsiaTheme="majorEastAsia" w:hAnsiTheme="majorHAnsi" w:cstheme="majorBidi"/>
      <w:sz w:val="24"/>
      <w:szCs w:val="24"/>
      <w:shd w:val="pct20" w:color="auto" w:fill="auto"/>
    </w:rPr>
  </w:style>
  <w:style w:type="paragraph" w:styleId="Zkladntext">
    <w:name w:val="Body Text"/>
    <w:basedOn w:val="Normln"/>
    <w:link w:val="ZkladntextChar"/>
    <w:uiPriority w:val="99"/>
    <w:unhideWhenUsed/>
    <w:rsid w:val="00886DF4"/>
    <w:pPr>
      <w:spacing w:after="120"/>
    </w:pPr>
  </w:style>
  <w:style w:type="character" w:customStyle="1" w:styleId="ZkladntextChar">
    <w:name w:val="Základní text Char"/>
    <w:basedOn w:val="Standardnpsmoodstavce"/>
    <w:link w:val="Zkladntext"/>
    <w:uiPriority w:val="99"/>
    <w:rsid w:val="00886DF4"/>
    <w:rPr>
      <w:rFonts w:ascii="Arial" w:hAnsi="Arial"/>
      <w:sz w:val="22"/>
    </w:rPr>
  </w:style>
  <w:style w:type="paragraph" w:styleId="Zkladntext-prvnodsazen">
    <w:name w:val="Body Text First Indent"/>
    <w:basedOn w:val="Zkladntext"/>
    <w:link w:val="Zkladntext-prvnodsazenChar"/>
    <w:uiPriority w:val="99"/>
    <w:semiHidden/>
    <w:unhideWhenUsed/>
    <w:rsid w:val="00886DF4"/>
    <w:pPr>
      <w:spacing w:after="0"/>
      <w:ind w:firstLine="360"/>
    </w:pPr>
  </w:style>
  <w:style w:type="character" w:customStyle="1" w:styleId="Zkladntext-prvnodsazenChar">
    <w:name w:val="Základní text - první odsazený Char"/>
    <w:basedOn w:val="ZkladntextChar"/>
    <w:link w:val="Zkladntext-prvnodsazen"/>
    <w:uiPriority w:val="99"/>
    <w:semiHidden/>
    <w:rsid w:val="00886DF4"/>
    <w:rPr>
      <w:rFonts w:ascii="Arial" w:hAnsi="Arial"/>
      <w:sz w:val="22"/>
    </w:rPr>
  </w:style>
  <w:style w:type="paragraph" w:styleId="Zkladntextodsazen">
    <w:name w:val="Body Text Indent"/>
    <w:basedOn w:val="Normln"/>
    <w:link w:val="ZkladntextodsazenChar"/>
    <w:uiPriority w:val="99"/>
    <w:unhideWhenUsed/>
    <w:rsid w:val="00886DF4"/>
    <w:pPr>
      <w:spacing w:after="120"/>
      <w:ind w:left="283"/>
    </w:pPr>
  </w:style>
  <w:style w:type="character" w:customStyle="1" w:styleId="ZkladntextodsazenChar">
    <w:name w:val="Základní text odsazený Char"/>
    <w:basedOn w:val="Standardnpsmoodstavce"/>
    <w:link w:val="Zkladntextodsazen"/>
    <w:uiPriority w:val="99"/>
    <w:rsid w:val="00886DF4"/>
    <w:rPr>
      <w:rFonts w:ascii="Arial" w:hAnsi="Arial"/>
      <w:sz w:val="22"/>
    </w:rPr>
  </w:style>
  <w:style w:type="paragraph" w:styleId="Zkladntext-prvnodsazen2">
    <w:name w:val="Body Text First Indent 2"/>
    <w:basedOn w:val="Zkladntextodsazen"/>
    <w:link w:val="Zkladntext-prvnodsazen2Char"/>
    <w:uiPriority w:val="99"/>
    <w:semiHidden/>
    <w:unhideWhenUsed/>
    <w:rsid w:val="00886DF4"/>
    <w:pPr>
      <w:spacing w:after="0"/>
      <w:ind w:left="360" w:firstLine="360"/>
    </w:pPr>
  </w:style>
  <w:style w:type="character" w:customStyle="1" w:styleId="Zkladntext-prvnodsazen2Char">
    <w:name w:val="Základní text - první odsazený 2 Char"/>
    <w:basedOn w:val="ZkladntextodsazenChar"/>
    <w:link w:val="Zkladntext-prvnodsazen2"/>
    <w:uiPriority w:val="99"/>
    <w:semiHidden/>
    <w:rsid w:val="00886DF4"/>
    <w:rPr>
      <w:rFonts w:ascii="Arial" w:hAnsi="Arial"/>
      <w:sz w:val="22"/>
    </w:rPr>
  </w:style>
  <w:style w:type="paragraph" w:styleId="Zkladntext2">
    <w:name w:val="Body Text 2"/>
    <w:basedOn w:val="Normln"/>
    <w:link w:val="Zkladntext2Char"/>
    <w:uiPriority w:val="99"/>
    <w:unhideWhenUsed/>
    <w:rsid w:val="00886DF4"/>
    <w:pPr>
      <w:spacing w:after="120" w:line="480" w:lineRule="auto"/>
    </w:pPr>
  </w:style>
  <w:style w:type="character" w:customStyle="1" w:styleId="Zkladntext2Char">
    <w:name w:val="Základní text 2 Char"/>
    <w:basedOn w:val="Standardnpsmoodstavce"/>
    <w:link w:val="Zkladntext2"/>
    <w:uiPriority w:val="99"/>
    <w:rsid w:val="00886DF4"/>
    <w:rPr>
      <w:rFonts w:ascii="Arial" w:hAnsi="Arial"/>
      <w:sz w:val="22"/>
    </w:rPr>
  </w:style>
  <w:style w:type="paragraph" w:styleId="Zkladntext3">
    <w:name w:val="Body Text 3"/>
    <w:basedOn w:val="Normln"/>
    <w:link w:val="Zkladntext3Char"/>
    <w:uiPriority w:val="99"/>
    <w:unhideWhenUsed/>
    <w:rsid w:val="00886DF4"/>
    <w:pPr>
      <w:spacing w:after="120"/>
    </w:pPr>
    <w:rPr>
      <w:sz w:val="16"/>
      <w:szCs w:val="16"/>
    </w:rPr>
  </w:style>
  <w:style w:type="character" w:customStyle="1" w:styleId="Zkladntext3Char">
    <w:name w:val="Základní text 3 Char"/>
    <w:basedOn w:val="Standardnpsmoodstavce"/>
    <w:link w:val="Zkladntext3"/>
    <w:uiPriority w:val="99"/>
    <w:rsid w:val="00886DF4"/>
    <w:rPr>
      <w:rFonts w:ascii="Arial" w:hAnsi="Arial"/>
      <w:sz w:val="16"/>
      <w:szCs w:val="16"/>
    </w:rPr>
  </w:style>
  <w:style w:type="paragraph" w:styleId="Zkladntextodsazen2">
    <w:name w:val="Body Text Indent 2"/>
    <w:basedOn w:val="Normln"/>
    <w:link w:val="Zkladntextodsazen2Char"/>
    <w:uiPriority w:val="99"/>
    <w:semiHidden/>
    <w:unhideWhenUsed/>
    <w:rsid w:val="00886DF4"/>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886DF4"/>
    <w:rPr>
      <w:rFonts w:ascii="Arial" w:hAnsi="Arial"/>
      <w:sz w:val="22"/>
    </w:rPr>
  </w:style>
  <w:style w:type="paragraph" w:styleId="Zkladntextodsazen3">
    <w:name w:val="Body Text Indent 3"/>
    <w:basedOn w:val="Normln"/>
    <w:link w:val="Zkladntextodsazen3Char"/>
    <w:uiPriority w:val="99"/>
    <w:semiHidden/>
    <w:unhideWhenUsed/>
    <w:rsid w:val="00886DF4"/>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886DF4"/>
    <w:rPr>
      <w:rFonts w:ascii="Arial" w:hAnsi="Arial"/>
      <w:sz w:val="16"/>
      <w:szCs w:val="16"/>
    </w:rPr>
  </w:style>
  <w:style w:type="paragraph" w:styleId="Zvr">
    <w:name w:val="Closing"/>
    <w:basedOn w:val="Normln"/>
    <w:link w:val="ZvrChar"/>
    <w:uiPriority w:val="99"/>
    <w:semiHidden/>
    <w:unhideWhenUsed/>
    <w:rsid w:val="00886DF4"/>
    <w:pPr>
      <w:ind w:left="4252"/>
    </w:pPr>
  </w:style>
  <w:style w:type="character" w:customStyle="1" w:styleId="ZvrChar">
    <w:name w:val="Závěr Char"/>
    <w:basedOn w:val="Standardnpsmoodstavce"/>
    <w:link w:val="Zvr"/>
    <w:uiPriority w:val="99"/>
    <w:semiHidden/>
    <w:rsid w:val="00886DF4"/>
    <w:rPr>
      <w:rFonts w:ascii="Arial" w:hAnsi="Arial"/>
      <w:sz w:val="22"/>
    </w:rPr>
  </w:style>
  <w:style w:type="paragraph" w:styleId="Zptenadresanaoblku">
    <w:name w:val="envelope return"/>
    <w:basedOn w:val="Normln"/>
    <w:uiPriority w:val="99"/>
    <w:semiHidden/>
    <w:unhideWhenUsed/>
    <w:rsid w:val="00886DF4"/>
    <w:rPr>
      <w:rFonts w:asciiTheme="majorHAnsi" w:eastAsiaTheme="majorEastAsia" w:hAnsiTheme="majorHAnsi" w:cstheme="majorBidi"/>
      <w:sz w:val="20"/>
    </w:rPr>
  </w:style>
  <w:style w:type="numbering" w:styleId="111111">
    <w:name w:val="Outline List 2"/>
    <w:basedOn w:val="Bezseznamu"/>
    <w:uiPriority w:val="99"/>
    <w:semiHidden/>
    <w:unhideWhenUsed/>
    <w:rsid w:val="003224FE"/>
    <w:pPr>
      <w:numPr>
        <w:numId w:val="20"/>
      </w:numPr>
    </w:pPr>
  </w:style>
  <w:style w:type="paragraph" w:customStyle="1" w:styleId="Textpechodka">
    <w:name w:val="Text přechodka"/>
    <w:basedOn w:val="Normln"/>
    <w:qFormat/>
    <w:rsid w:val="00A9335C"/>
    <w:pPr>
      <w:numPr>
        <w:ilvl w:val="2"/>
        <w:numId w:val="23"/>
      </w:numPr>
    </w:pPr>
  </w:style>
  <w:style w:type="paragraph" w:customStyle="1" w:styleId="Textpechodkapsmene">
    <w:name w:val="Text přechodka písmene"/>
    <w:basedOn w:val="Normln"/>
    <w:qFormat/>
    <w:rsid w:val="00A9335C"/>
    <w:pPr>
      <w:numPr>
        <w:ilvl w:val="3"/>
        <w:numId w:val="23"/>
      </w:numPr>
    </w:pPr>
  </w:style>
  <w:style w:type="paragraph" w:customStyle="1" w:styleId="PZTextodstavce">
    <w:name w:val="PZ Text odstavce"/>
    <w:basedOn w:val="Textodstavce"/>
    <w:qFormat/>
    <w:rsid w:val="00094A77"/>
    <w:pPr>
      <w:numPr>
        <w:ilvl w:val="0"/>
        <w:numId w:val="0"/>
      </w:numPr>
      <w:tabs>
        <w:tab w:val="left" w:pos="782"/>
      </w:tabs>
      <w:ind w:firstLine="425"/>
    </w:pPr>
  </w:style>
  <w:style w:type="paragraph" w:customStyle="1" w:styleId="PZTextpsmene">
    <w:name w:val="PZ Text písmene"/>
    <w:basedOn w:val="Textpsmene"/>
    <w:qFormat/>
    <w:rsid w:val="00094A77"/>
    <w:pPr>
      <w:ind w:left="425" w:hanging="425"/>
    </w:pPr>
  </w:style>
  <w:style w:type="paragraph" w:customStyle="1" w:styleId="PZTextbodu">
    <w:name w:val="PZ Text bodu"/>
    <w:basedOn w:val="Textbodu"/>
    <w:qFormat/>
    <w:rsid w:val="0012081A"/>
    <w:pPr>
      <w:numPr>
        <w:ilvl w:val="0"/>
        <w:numId w:val="0"/>
      </w:numPr>
      <w:tabs>
        <w:tab w:val="left" w:pos="851"/>
      </w:tabs>
      <w:ind w:left="850" w:hanging="425"/>
    </w:pPr>
  </w:style>
  <w:style w:type="character" w:customStyle="1" w:styleId="TextlnkuChar">
    <w:name w:val="Text článku Char"/>
    <w:link w:val="Textlnku"/>
    <w:rsid w:val="00553011"/>
    <w:rPr>
      <w:sz w:val="24"/>
    </w:rPr>
  </w:style>
  <w:style w:type="numbering" w:customStyle="1" w:styleId="Bezseznamu1">
    <w:name w:val="Bez seznamu1"/>
    <w:next w:val="Bezseznamu"/>
    <w:uiPriority w:val="99"/>
    <w:semiHidden/>
    <w:unhideWhenUsed/>
    <w:rsid w:val="007A3BD1"/>
  </w:style>
  <w:style w:type="paragraph" w:customStyle="1" w:styleId="Default">
    <w:name w:val="Default"/>
    <w:rsid w:val="007A3BD1"/>
    <w:pPr>
      <w:autoSpaceDE w:val="0"/>
      <w:autoSpaceDN w:val="0"/>
      <w:adjustRightInd w:val="0"/>
    </w:pPr>
    <w:rPr>
      <w:rFonts w:eastAsia="Calibri"/>
      <w:color w:val="000000"/>
      <w:sz w:val="24"/>
      <w:szCs w:val="24"/>
      <w:lang w:eastAsia="en-US"/>
    </w:rPr>
  </w:style>
  <w:style w:type="character" w:customStyle="1" w:styleId="lnekChar">
    <w:name w:val="Článek Char"/>
    <w:link w:val="lnek"/>
    <w:rsid w:val="007A3BD1"/>
    <w:rPr>
      <w:sz w:val="24"/>
    </w:rPr>
  </w:style>
  <w:style w:type="character" w:customStyle="1" w:styleId="ParagrafChar">
    <w:name w:val="Paragraf Char"/>
    <w:link w:val="Paragraf"/>
    <w:rsid w:val="007A3BD1"/>
    <w:rPr>
      <w:sz w:val="24"/>
    </w:rPr>
  </w:style>
  <w:style w:type="character" w:customStyle="1" w:styleId="NovelizanbodChar">
    <w:name w:val="Novelizační bod Char"/>
    <w:link w:val="Novelizanbod"/>
    <w:locked/>
    <w:rsid w:val="007A3BD1"/>
    <w:rPr>
      <w:sz w:val="24"/>
    </w:rPr>
  </w:style>
  <w:style w:type="character" w:customStyle="1" w:styleId="TextodstavceChar">
    <w:name w:val="Text odstavce Char"/>
    <w:link w:val="Textodstavce"/>
    <w:locked/>
    <w:rsid w:val="007A3BD1"/>
    <w:rPr>
      <w:sz w:val="24"/>
    </w:rPr>
  </w:style>
  <w:style w:type="character" w:customStyle="1" w:styleId="TextpsmeneChar1">
    <w:name w:val="Text písmene Char1"/>
    <w:link w:val="Textpsmene"/>
    <w:locked/>
    <w:rsid w:val="007A3BD1"/>
    <w:rPr>
      <w:sz w:val="24"/>
    </w:rPr>
  </w:style>
  <w:style w:type="character" w:customStyle="1" w:styleId="ZhlavChar">
    <w:name w:val="Záhlaví Char"/>
    <w:link w:val="Zhlav"/>
    <w:uiPriority w:val="99"/>
    <w:rsid w:val="007A3BD1"/>
    <w:rPr>
      <w:sz w:val="24"/>
    </w:rPr>
  </w:style>
  <w:style w:type="character" w:customStyle="1" w:styleId="ZpatChar">
    <w:name w:val="Zápatí Char"/>
    <w:link w:val="Zpat"/>
    <w:rsid w:val="007A3BD1"/>
    <w:rPr>
      <w:sz w:val="24"/>
    </w:rPr>
  </w:style>
  <w:style w:type="character" w:customStyle="1" w:styleId="TextpsmeneChar">
    <w:name w:val="Text písmene Char"/>
    <w:locked/>
    <w:rsid w:val="007A3BD1"/>
    <w:rPr>
      <w:sz w:val="24"/>
    </w:rPr>
  </w:style>
  <w:style w:type="paragraph" w:styleId="Revize">
    <w:name w:val="Revision"/>
    <w:hidden/>
    <w:uiPriority w:val="99"/>
    <w:semiHidden/>
    <w:rsid w:val="007A3BD1"/>
    <w:rPr>
      <w:rFonts w:ascii="Calibri" w:eastAsia="Calibri" w:hAnsi="Calibri"/>
      <w:sz w:val="22"/>
      <w:szCs w:val="22"/>
      <w:lang w:eastAsia="en-US"/>
    </w:rPr>
  </w:style>
  <w:style w:type="character" w:customStyle="1" w:styleId="NADPISSTIChar">
    <w:name w:val="NADPIS ČÁSTI Char"/>
    <w:link w:val="NADPISSTI"/>
    <w:rsid w:val="007A3BD1"/>
    <w:rPr>
      <w:b/>
      <w:sz w:val="24"/>
    </w:rPr>
  </w:style>
  <w:style w:type="paragraph" w:customStyle="1" w:styleId="Aodstavec">
    <w:name w:val="A_odstavec"/>
    <w:basedOn w:val="Normln"/>
    <w:link w:val="AodstavecChar"/>
    <w:uiPriority w:val="99"/>
    <w:rsid w:val="007A3BD1"/>
    <w:pPr>
      <w:widowControl w:val="0"/>
      <w:tabs>
        <w:tab w:val="left" w:pos="851"/>
        <w:tab w:val="left" w:pos="993"/>
      </w:tabs>
      <w:spacing w:before="120" w:after="120"/>
      <w:ind w:left="142" w:firstLine="425"/>
      <w:outlineLvl w:val="2"/>
    </w:pPr>
  </w:style>
  <w:style w:type="character" w:customStyle="1" w:styleId="AodstavecChar">
    <w:name w:val="A_odstavec Char"/>
    <w:link w:val="Aodstavec"/>
    <w:uiPriority w:val="99"/>
    <w:locked/>
    <w:rsid w:val="007A3BD1"/>
    <w:rPr>
      <w:sz w:val="24"/>
    </w:rPr>
  </w:style>
  <w:style w:type="character" w:customStyle="1" w:styleId="TextpoznpodarouChar">
    <w:name w:val="Text pozn. pod čarou Char"/>
    <w:link w:val="Textpoznpodarou"/>
    <w:rsid w:val="007A3BD1"/>
  </w:style>
  <w:style w:type="character" w:customStyle="1" w:styleId="NadpisparagrafuChar2">
    <w:name w:val="Nadpis paragrafu Char2"/>
    <w:link w:val="Nadpisparagrafu"/>
    <w:rsid w:val="007A3BD1"/>
    <w:rPr>
      <w:b/>
      <w:sz w:val="24"/>
    </w:rPr>
  </w:style>
  <w:style w:type="paragraph" w:customStyle="1" w:styleId="Dvodovzprvakbodu0">
    <w:name w:val="Důvodová zpráva k bodu"/>
    <w:basedOn w:val="Normln"/>
    <w:next w:val="Dvodovzprva"/>
    <w:qFormat/>
    <w:rsid w:val="007A3BD1"/>
    <w:pPr>
      <w:keepNext/>
      <w:numPr>
        <w:numId w:val="22"/>
      </w:numPr>
      <w:tabs>
        <w:tab w:val="left" w:pos="1134"/>
      </w:tabs>
      <w:spacing w:before="120"/>
      <w:outlineLvl w:val="0"/>
    </w:pPr>
    <w:rPr>
      <w:rFonts w:ascii="Arial" w:hAnsi="Arial"/>
      <w:b/>
      <w:bCs/>
      <w:color w:val="0000FF"/>
      <w:sz w:val="22"/>
      <w:szCs w:val="24"/>
    </w:rPr>
  </w:style>
  <w:style w:type="character" w:customStyle="1" w:styleId="normln0">
    <w:name w:val="normln"/>
    <w:basedOn w:val="Standardnpsmoodstavce"/>
    <w:rsid w:val="00A90ED7"/>
    <w:rPr>
      <w:sz w:val="24"/>
      <w:szCs w:val="24"/>
    </w:rPr>
  </w:style>
  <w:style w:type="paragraph" w:customStyle="1" w:styleId="normln1">
    <w:name w:val="normln1"/>
    <w:basedOn w:val="Normln"/>
    <w:rsid w:val="00A90ED7"/>
    <w:pPr>
      <w:spacing w:after="20"/>
      <w:jc w:val="left"/>
    </w:pPr>
    <w:rPr>
      <w:szCs w:val="24"/>
    </w:rPr>
  </w:style>
  <w:style w:type="numbering" w:customStyle="1" w:styleId="Bezseznamu2">
    <w:name w:val="Bez seznamu2"/>
    <w:next w:val="Bezseznamu"/>
    <w:uiPriority w:val="99"/>
    <w:semiHidden/>
    <w:unhideWhenUsed/>
    <w:rsid w:val="00A90ED7"/>
  </w:style>
  <w:style w:type="paragraph" w:customStyle="1" w:styleId="a">
    <w:link w:val="PodtitulChar"/>
    <w:uiPriority w:val="11"/>
    <w:rsid w:val="00A90ED7"/>
    <w:pPr>
      <w:numPr>
        <w:ilvl w:val="1"/>
      </w:numPr>
      <w:spacing w:after="120"/>
      <w:jc w:val="both"/>
    </w:pPr>
    <w:rPr>
      <w:rFonts w:ascii="Cambria" w:hAnsi="Cambria"/>
      <w:i/>
      <w:iCs/>
      <w:color w:val="4F81BD"/>
      <w:spacing w:val="15"/>
      <w:sz w:val="24"/>
      <w:szCs w:val="24"/>
    </w:rPr>
  </w:style>
  <w:style w:type="character" w:customStyle="1" w:styleId="PodtitulChar">
    <w:name w:val="Podtitul Char"/>
    <w:link w:val="a"/>
    <w:uiPriority w:val="11"/>
    <w:rsid w:val="00A90ED7"/>
    <w:rPr>
      <w:rFonts w:ascii="Cambria" w:hAnsi="Cambria"/>
      <w:i/>
      <w:iCs/>
      <w:color w:val="4F81BD"/>
      <w:spacing w:val="15"/>
      <w:sz w:val="24"/>
      <w:szCs w:val="24"/>
    </w:rPr>
  </w:style>
  <w:style w:type="numbering" w:customStyle="1" w:styleId="1111111">
    <w:name w:val="1 / 1.1 / 1.1.11"/>
    <w:basedOn w:val="Bezseznamu"/>
    <w:next w:val="111111"/>
    <w:uiPriority w:val="99"/>
    <w:semiHidden/>
    <w:unhideWhenUsed/>
    <w:rsid w:val="00A90ED7"/>
  </w:style>
  <w:style w:type="paragraph" w:customStyle="1" w:styleId="StylDvodovzprva16bTun">
    <w:name w:val="Styl Důvodová zpráva + 16 b. Tučné"/>
    <w:basedOn w:val="Dvodovzprva"/>
    <w:rsid w:val="00A90ED7"/>
    <w:pPr>
      <w:numPr>
        <w:numId w:val="25"/>
      </w:numPr>
      <w:tabs>
        <w:tab w:val="num" w:pos="425"/>
        <w:tab w:val="num" w:pos="567"/>
      </w:tabs>
      <w:spacing w:after="120"/>
      <w:ind w:left="425" w:hanging="425"/>
    </w:pPr>
    <w:rPr>
      <w:rFonts w:ascii="Times New Roman" w:hAnsi="Times New Roman"/>
      <w:b/>
      <w:bCs/>
      <w:sz w:val="32"/>
    </w:rPr>
  </w:style>
  <w:style w:type="character" w:styleId="Hypertextovodkaz">
    <w:name w:val="Hyperlink"/>
    <w:uiPriority w:val="99"/>
    <w:unhideWhenUsed/>
    <w:rsid w:val="00A90ED7"/>
    <w:rPr>
      <w:color w:val="0000FF"/>
      <w:u w:val="single"/>
    </w:rPr>
  </w:style>
  <w:style w:type="character" w:styleId="Zdraznnintenzivn">
    <w:name w:val="Intense Emphasis"/>
    <w:aliases w:val="Pracovní poznámka"/>
    <w:uiPriority w:val="21"/>
    <w:qFormat/>
    <w:rsid w:val="00A90ED7"/>
    <w:rPr>
      <w:rFonts w:ascii="Arial" w:hAnsi="Arial" w:cs="Arial"/>
      <w:color w:val="0000FF"/>
      <w:sz w:val="20"/>
      <w:szCs w:val="24"/>
    </w:rPr>
  </w:style>
  <w:style w:type="paragraph" w:customStyle="1" w:styleId="Dvodovzprvanadpissti">
    <w:name w:val="Důvodová zpráva nadpis části"/>
    <w:basedOn w:val="Dvodovzprva"/>
    <w:next w:val="Dvodovzprva"/>
    <w:qFormat/>
    <w:rsid w:val="00A90ED7"/>
    <w:pPr>
      <w:keepNext/>
      <w:spacing w:after="120"/>
    </w:pPr>
    <w:rPr>
      <w:b/>
      <w:bCs/>
      <w:sz w:val="28"/>
      <w:szCs w:val="24"/>
    </w:rPr>
  </w:style>
  <w:style w:type="paragraph" w:customStyle="1" w:styleId="Point0">
    <w:name w:val="Point 0"/>
    <w:basedOn w:val="Normln"/>
    <w:uiPriority w:val="99"/>
    <w:rsid w:val="00A90ED7"/>
    <w:pPr>
      <w:spacing w:before="120" w:after="120"/>
      <w:ind w:left="850" w:hanging="850"/>
    </w:pPr>
    <w:rPr>
      <w:rFonts w:eastAsia="Calibri"/>
      <w:szCs w:val="24"/>
      <w:lang w:eastAsia="en-US"/>
    </w:rPr>
  </w:style>
  <w:style w:type="paragraph" w:customStyle="1" w:styleId="odstavec">
    <w:name w:val="odstavec"/>
    <w:basedOn w:val="Normln"/>
    <w:rsid w:val="00A90ED7"/>
    <w:pPr>
      <w:tabs>
        <w:tab w:val="left" w:pos="851"/>
      </w:tabs>
      <w:spacing w:before="120" w:after="120"/>
      <w:ind w:firstLine="482"/>
    </w:pPr>
    <w:rPr>
      <w:noProof/>
      <w:szCs w:val="24"/>
    </w:rPr>
  </w:style>
  <w:style w:type="character" w:styleId="Odkaznavysvtlivky">
    <w:name w:val="endnote reference"/>
    <w:unhideWhenUsed/>
    <w:rsid w:val="00A90ED7"/>
    <w:rPr>
      <w:vertAlign w:val="superscript"/>
    </w:rPr>
  </w:style>
  <w:style w:type="numbering" w:customStyle="1" w:styleId="Bezseznamu11">
    <w:name w:val="Bez seznamu11"/>
    <w:next w:val="Bezseznamu"/>
    <w:uiPriority w:val="99"/>
    <w:semiHidden/>
    <w:unhideWhenUsed/>
    <w:rsid w:val="00A90ED7"/>
  </w:style>
  <w:style w:type="numbering" w:customStyle="1" w:styleId="11111111">
    <w:name w:val="1 / 1.1 / 1.1.111"/>
    <w:basedOn w:val="Bezseznamu"/>
    <w:next w:val="111111"/>
    <w:uiPriority w:val="99"/>
    <w:semiHidden/>
    <w:unhideWhenUsed/>
    <w:rsid w:val="00A90ED7"/>
  </w:style>
  <w:style w:type="character" w:customStyle="1" w:styleId="OdstavecseseznamemChar">
    <w:name w:val="Odstavec se seznamem Char"/>
    <w:aliases w:val="Nad Char,1 odstavecH Char,Odstavec_muj Char,List Paragraph (Czech Tourism) Char"/>
    <w:link w:val="Odstavecseseznamem"/>
    <w:uiPriority w:val="34"/>
    <w:qFormat/>
    <w:locked/>
    <w:rsid w:val="00A90ED7"/>
    <w:rPr>
      <w:sz w:val="24"/>
    </w:rPr>
  </w:style>
  <w:style w:type="paragraph" w:customStyle="1" w:styleId="Dslovnpsmenatun">
    <w:name w:val="D Číslování písmena + tučné"/>
    <w:basedOn w:val="Normln"/>
    <w:uiPriority w:val="99"/>
    <w:rsid w:val="00A90ED7"/>
    <w:pPr>
      <w:numPr>
        <w:numId w:val="26"/>
      </w:numPr>
      <w:spacing w:before="120" w:after="120"/>
    </w:pPr>
    <w:rPr>
      <w:b/>
      <w:szCs w:val="24"/>
    </w:rPr>
  </w:style>
  <w:style w:type="paragraph" w:customStyle="1" w:styleId="DTlotextu1">
    <w:name w:val="D Tělo textu 1"/>
    <w:basedOn w:val="Normln"/>
    <w:uiPriority w:val="99"/>
    <w:qFormat/>
    <w:rsid w:val="00A90ED7"/>
    <w:pPr>
      <w:spacing w:before="120" w:after="120"/>
    </w:pPr>
    <w:rPr>
      <w:szCs w:val="24"/>
    </w:rPr>
  </w:style>
  <w:style w:type="paragraph" w:customStyle="1" w:styleId="DTlotextu2">
    <w:name w:val="D Tělo textu 2"/>
    <w:basedOn w:val="Normln"/>
    <w:uiPriority w:val="99"/>
    <w:rsid w:val="00A90ED7"/>
    <w:pPr>
      <w:spacing w:before="120" w:after="120"/>
      <w:ind w:left="567"/>
    </w:pPr>
    <w:rPr>
      <w:szCs w:val="24"/>
    </w:rPr>
  </w:style>
  <w:style w:type="table" w:styleId="Svtlstnovn">
    <w:name w:val="Light Shading"/>
    <w:basedOn w:val="Normlntabulka"/>
    <w:uiPriority w:val="60"/>
    <w:rsid w:val="00A90ED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lavnnadpis">
    <w:name w:val="Hlavní nadpis"/>
    <w:basedOn w:val="Normln"/>
    <w:link w:val="HlavnnadpisChar"/>
    <w:qFormat/>
    <w:rsid w:val="00A90ED7"/>
    <w:pPr>
      <w:spacing w:before="240" w:after="120"/>
      <w:jc w:val="center"/>
    </w:pPr>
    <w:rPr>
      <w:rFonts w:ascii="Arial" w:hAnsi="Arial" w:cs="Arial"/>
      <w:b/>
      <w:kern w:val="32"/>
      <w:sz w:val="36"/>
      <w:szCs w:val="32"/>
    </w:rPr>
  </w:style>
  <w:style w:type="paragraph" w:customStyle="1" w:styleId="Malnadpis">
    <w:name w:val="Malý nadpis"/>
    <w:basedOn w:val="Normln"/>
    <w:link w:val="MalnadpisChar"/>
    <w:qFormat/>
    <w:rsid w:val="00A90ED7"/>
    <w:pPr>
      <w:keepNext/>
      <w:spacing w:before="240" w:after="120"/>
    </w:pPr>
    <w:rPr>
      <w:u w:val="single"/>
    </w:rPr>
  </w:style>
  <w:style w:type="character" w:customStyle="1" w:styleId="HlavnnadpisChar">
    <w:name w:val="Hlavní nadpis Char"/>
    <w:link w:val="Hlavnnadpis"/>
    <w:rsid w:val="00A90ED7"/>
    <w:rPr>
      <w:rFonts w:ascii="Arial" w:hAnsi="Arial" w:cs="Arial"/>
      <w:b/>
      <w:kern w:val="32"/>
      <w:sz w:val="36"/>
      <w:szCs w:val="32"/>
    </w:rPr>
  </w:style>
  <w:style w:type="character" w:customStyle="1" w:styleId="TitulekChar">
    <w:name w:val="Titulek Char"/>
    <w:link w:val="Titulek"/>
    <w:uiPriority w:val="35"/>
    <w:rsid w:val="00A90ED7"/>
    <w:rPr>
      <w:rFonts w:ascii="Arial" w:hAnsi="Arial"/>
      <w:b/>
      <w:color w:val="0000FF"/>
      <w:sz w:val="22"/>
    </w:rPr>
  </w:style>
  <w:style w:type="character" w:customStyle="1" w:styleId="MalnadpisChar">
    <w:name w:val="Malý nadpis Char"/>
    <w:link w:val="Malnadpis"/>
    <w:rsid w:val="00A90ED7"/>
    <w:rPr>
      <w:sz w:val="24"/>
      <w:u w:val="single"/>
    </w:rPr>
  </w:style>
  <w:style w:type="character" w:customStyle="1" w:styleId="PracovnpoznmkaChar">
    <w:name w:val="Pracovní poznámka Char"/>
    <w:rsid w:val="00A90ED7"/>
    <w:rPr>
      <w:rFonts w:ascii="Arial" w:hAnsi="Arial" w:cs="Arial"/>
      <w:color w:val="0000FF"/>
    </w:rPr>
  </w:style>
  <w:style w:type="paragraph" w:customStyle="1" w:styleId="Obecnnadpis">
    <w:name w:val="Obecný nadpis"/>
    <w:basedOn w:val="Normln"/>
    <w:link w:val="ObecnnadpisChar"/>
    <w:qFormat/>
    <w:rsid w:val="00A90ED7"/>
    <w:pPr>
      <w:tabs>
        <w:tab w:val="left" w:pos="709"/>
      </w:tabs>
      <w:spacing w:before="240" w:after="40" w:line="288" w:lineRule="auto"/>
      <w:jc w:val="left"/>
    </w:pPr>
    <w:rPr>
      <w:rFonts w:eastAsia="Calibri"/>
      <w:b/>
      <w:color w:val="000000"/>
      <w:szCs w:val="24"/>
    </w:rPr>
  </w:style>
  <w:style w:type="character" w:customStyle="1" w:styleId="ObecnnadpisChar">
    <w:name w:val="Obecný nadpis Char"/>
    <w:link w:val="Obecnnadpis"/>
    <w:rsid w:val="00A90ED7"/>
    <w:rPr>
      <w:rFonts w:eastAsia="Calibri"/>
      <w:b/>
      <w:color w:val="000000"/>
      <w:sz w:val="24"/>
      <w:szCs w:val="24"/>
    </w:rPr>
  </w:style>
  <w:style w:type="paragraph" w:customStyle="1" w:styleId="Poznmka">
    <w:name w:val="Poznámka"/>
    <w:basedOn w:val="Textodstavce"/>
    <w:rsid w:val="00A90ED7"/>
    <w:pPr>
      <w:keepNext/>
      <w:numPr>
        <w:ilvl w:val="0"/>
        <w:numId w:val="0"/>
      </w:numPr>
    </w:pPr>
    <w:rPr>
      <w:rFonts w:ascii="Arial" w:hAnsi="Arial" w:cs="Arial"/>
      <w:iCs/>
      <w:color w:val="0000FF"/>
      <w:sz w:val="18"/>
    </w:rPr>
  </w:style>
  <w:style w:type="paragraph" w:customStyle="1" w:styleId="Textelnku">
    <w:name w:val="Text elánku"/>
    <w:basedOn w:val="Normln"/>
    <w:rsid w:val="00A90ED7"/>
    <w:pPr>
      <w:overflowPunct w:val="0"/>
      <w:autoSpaceDE w:val="0"/>
      <w:autoSpaceDN w:val="0"/>
      <w:adjustRightInd w:val="0"/>
      <w:spacing w:before="240" w:after="120"/>
      <w:ind w:firstLine="425"/>
      <w:textAlignment w:val="baseline"/>
    </w:pPr>
  </w:style>
  <w:style w:type="paragraph" w:customStyle="1" w:styleId="Elnek">
    <w:name w:val="Elánek"/>
    <w:basedOn w:val="Normln"/>
    <w:next w:val="Normln"/>
    <w:rsid w:val="00A90ED7"/>
    <w:pPr>
      <w:keepNext/>
      <w:keepLines/>
      <w:spacing w:before="240" w:after="120"/>
      <w:jc w:val="center"/>
    </w:pPr>
  </w:style>
  <w:style w:type="paragraph" w:customStyle="1" w:styleId="BodyText22">
    <w:name w:val="Body Text 22"/>
    <w:basedOn w:val="Normln"/>
    <w:rsid w:val="00A90ED7"/>
    <w:pPr>
      <w:widowControl w:val="0"/>
      <w:spacing w:after="120"/>
    </w:pPr>
    <w:rPr>
      <w:sz w:val="20"/>
    </w:rPr>
  </w:style>
  <w:style w:type="character" w:styleId="Sledovanodkaz">
    <w:name w:val="FollowedHyperlink"/>
    <w:uiPriority w:val="99"/>
    <w:semiHidden/>
    <w:unhideWhenUsed/>
    <w:rsid w:val="00A90ED7"/>
    <w:rPr>
      <w:color w:val="954F72"/>
      <w:u w:val="single"/>
    </w:rPr>
  </w:style>
  <w:style w:type="paragraph" w:customStyle="1" w:styleId="stDZ">
    <w:name w:val="Část DZ"/>
    <w:basedOn w:val="Hlavnnadpis"/>
    <w:qFormat/>
    <w:rsid w:val="00A90ED7"/>
    <w:pPr>
      <w:keepNext/>
      <w:keepLines/>
      <w:numPr>
        <w:numId w:val="27"/>
      </w:numPr>
      <w:tabs>
        <w:tab w:val="num" w:pos="567"/>
      </w:tabs>
      <w:ind w:left="567" w:hanging="567"/>
    </w:pPr>
    <w:rPr>
      <w:rFonts w:ascii="Times New Roman" w:hAnsi="Times New Roman" w:cs="Times New Roman"/>
      <w:kern w:val="0"/>
      <w:szCs w:val="20"/>
    </w:rPr>
  </w:style>
  <w:style w:type="character" w:styleId="Siln">
    <w:name w:val="Strong"/>
    <w:uiPriority w:val="22"/>
    <w:qFormat/>
    <w:rsid w:val="00A90ED7"/>
    <w:rPr>
      <w:b/>
      <w:bCs/>
    </w:rPr>
  </w:style>
  <w:style w:type="paragraph" w:customStyle="1" w:styleId="Nadpisyvtextu">
    <w:name w:val="Nadpisy v textu"/>
    <w:basedOn w:val="Normln"/>
    <w:next w:val="Normln"/>
    <w:uiPriority w:val="1"/>
    <w:qFormat/>
    <w:rsid w:val="00A90ED7"/>
    <w:pPr>
      <w:keepNext/>
      <w:spacing w:before="240" w:after="120"/>
    </w:pPr>
    <w:rPr>
      <w:szCs w:val="22"/>
      <w:u w:val="single"/>
      <w:lang w:eastAsia="en-US"/>
    </w:rPr>
  </w:style>
  <w:style w:type="table" w:customStyle="1" w:styleId="Svtlstnovn1">
    <w:name w:val="Světlé stínování1"/>
    <w:basedOn w:val="Normlntabulka"/>
    <w:next w:val="Svtlstnovn"/>
    <w:uiPriority w:val="60"/>
    <w:rsid w:val="00A90ED7"/>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Zdraznn">
    <w:name w:val="Emphasis"/>
    <w:basedOn w:val="Standardnpsmoodstavce"/>
    <w:uiPriority w:val="20"/>
    <w:qFormat/>
    <w:rsid w:val="00A90ED7"/>
    <w:rPr>
      <w:i/>
      <w:iCs/>
    </w:rPr>
  </w:style>
  <w:style w:type="table" w:customStyle="1" w:styleId="Mkatabulky1">
    <w:name w:val="Mřížka tabulky1"/>
    <w:basedOn w:val="Normlntabulka"/>
    <w:next w:val="Mkatabulky"/>
    <w:uiPriority w:val="59"/>
    <w:rsid w:val="00E81C9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znmkapodarou">
    <w:name w:val="Poznámka pod čarou"/>
    <w:basedOn w:val="Normln"/>
    <w:link w:val="PoznmkapodarouChar"/>
    <w:qFormat/>
    <w:rsid w:val="00FA3978"/>
    <w:pPr>
      <w:spacing w:before="120" w:after="160"/>
    </w:pPr>
    <w:rPr>
      <w:rFonts w:eastAsiaTheme="minorHAnsi" w:cs="Arial"/>
      <w:sz w:val="18"/>
      <w:szCs w:val="18"/>
      <w:lang w:eastAsia="en-US"/>
    </w:rPr>
  </w:style>
  <w:style w:type="character" w:customStyle="1" w:styleId="PoznmkapodarouChar">
    <w:name w:val="Poznámka pod čarou Char"/>
    <w:basedOn w:val="Standardnpsmoodstavce"/>
    <w:link w:val="Poznmkapodarou"/>
    <w:rsid w:val="00FA3978"/>
    <w:rPr>
      <w:rFonts w:eastAsiaTheme="minorHAnsi" w:cs="Arial"/>
      <w:sz w:val="18"/>
      <w:szCs w:val="18"/>
      <w:lang w:eastAsia="en-US"/>
    </w:rPr>
  </w:style>
  <w:style w:type="paragraph" w:customStyle="1" w:styleId="l4">
    <w:name w:val="l4"/>
    <w:basedOn w:val="Normln"/>
    <w:rsid w:val="00DC19E6"/>
    <w:pPr>
      <w:spacing w:before="100" w:beforeAutospacing="1" w:after="100" w:afterAutospacing="1"/>
      <w:jc w:val="left"/>
    </w:pPr>
    <w:rPr>
      <w:szCs w:val="24"/>
    </w:rPr>
  </w:style>
  <w:style w:type="table" w:styleId="Tabulkasmkou3">
    <w:name w:val="Grid Table 3"/>
    <w:basedOn w:val="Normlntabulka"/>
    <w:uiPriority w:val="48"/>
    <w:rsid w:val="00133A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NadpislnkuChar">
    <w:name w:val="Nadpis článku Char"/>
    <w:link w:val="Nadpislnku"/>
    <w:locked/>
    <w:rsid w:val="00133AC8"/>
    <w:rPr>
      <w:b/>
      <w:sz w:val="24"/>
    </w:rPr>
  </w:style>
  <w:style w:type="character" w:customStyle="1" w:styleId="tituleknadpisu">
    <w:name w:val="titulek nadpisu"/>
    <w:rsid w:val="00133AC8"/>
    <w:rPr>
      <w:b/>
    </w:rPr>
  </w:style>
  <w:style w:type="paragraph" w:customStyle="1" w:styleId="odstavecEva">
    <w:name w:val="odstavecEva"/>
    <w:basedOn w:val="Normln"/>
    <w:uiPriority w:val="99"/>
    <w:rsid w:val="00133AC8"/>
    <w:pPr>
      <w:spacing w:before="120" w:after="120"/>
      <w:ind w:firstLine="425"/>
    </w:pPr>
    <w:rPr>
      <w:szCs w:val="24"/>
    </w:rPr>
  </w:style>
  <w:style w:type="paragraph" w:customStyle="1" w:styleId="bod">
    <w:name w:val="bod"/>
    <w:basedOn w:val="slovanseznam2"/>
    <w:rsid w:val="00133AC8"/>
    <w:pPr>
      <w:numPr>
        <w:numId w:val="0"/>
      </w:numPr>
      <w:tabs>
        <w:tab w:val="left" w:pos="357"/>
      </w:tabs>
      <w:ind w:left="714" w:hanging="357"/>
      <w:contextualSpacing w:val="0"/>
    </w:pPr>
    <w:rPr>
      <w:noProof/>
      <w:szCs w:val="24"/>
    </w:rPr>
  </w:style>
  <w:style w:type="paragraph" w:customStyle="1" w:styleId="psmeno0">
    <w:name w:val="písmeno"/>
    <w:basedOn w:val="slovanseznam"/>
    <w:rsid w:val="00133AC8"/>
    <w:pPr>
      <w:numPr>
        <w:numId w:val="0"/>
      </w:numPr>
      <w:tabs>
        <w:tab w:val="left" w:pos="357"/>
      </w:tabs>
      <w:ind w:left="357" w:hanging="357"/>
      <w:contextualSpacing w:val="0"/>
    </w:pPr>
    <w:rPr>
      <w:noProof/>
      <w:szCs w:val="24"/>
      <w:lang w:val="en-US"/>
    </w:rPr>
  </w:style>
  <w:style w:type="paragraph" w:customStyle="1" w:styleId="paragraf0">
    <w:name w:val="paragraf"/>
    <w:basedOn w:val="Normln"/>
    <w:next w:val="odstavec"/>
    <w:rsid w:val="00133AC8"/>
    <w:pPr>
      <w:keepNext/>
      <w:spacing w:before="240"/>
      <w:jc w:val="center"/>
    </w:pPr>
    <w:rPr>
      <w:noProof/>
      <w:szCs w:val="24"/>
    </w:rPr>
  </w:style>
  <w:style w:type="paragraph" w:customStyle="1" w:styleId="l3">
    <w:name w:val="l3"/>
    <w:basedOn w:val="Normln"/>
    <w:rsid w:val="00133AC8"/>
    <w:pPr>
      <w:spacing w:before="100" w:beforeAutospacing="1" w:after="100" w:afterAutospacing="1"/>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307803">
      <w:bodyDiv w:val="1"/>
      <w:marLeft w:val="0"/>
      <w:marRight w:val="0"/>
      <w:marTop w:val="0"/>
      <w:marBottom w:val="0"/>
      <w:divBdr>
        <w:top w:val="none" w:sz="0" w:space="0" w:color="auto"/>
        <w:left w:val="none" w:sz="0" w:space="0" w:color="auto"/>
        <w:bottom w:val="none" w:sz="0" w:space="0" w:color="auto"/>
        <w:right w:val="none" w:sz="0" w:space="0" w:color="auto"/>
      </w:divBdr>
    </w:div>
    <w:div w:id="265694854">
      <w:bodyDiv w:val="1"/>
      <w:marLeft w:val="0"/>
      <w:marRight w:val="0"/>
      <w:marTop w:val="0"/>
      <w:marBottom w:val="0"/>
      <w:divBdr>
        <w:top w:val="none" w:sz="0" w:space="0" w:color="auto"/>
        <w:left w:val="none" w:sz="0" w:space="0" w:color="auto"/>
        <w:bottom w:val="none" w:sz="0" w:space="0" w:color="auto"/>
        <w:right w:val="none" w:sz="0" w:space="0" w:color="auto"/>
      </w:divBdr>
    </w:div>
    <w:div w:id="274602171">
      <w:bodyDiv w:val="1"/>
      <w:marLeft w:val="0"/>
      <w:marRight w:val="0"/>
      <w:marTop w:val="0"/>
      <w:marBottom w:val="0"/>
      <w:divBdr>
        <w:top w:val="none" w:sz="0" w:space="0" w:color="auto"/>
        <w:left w:val="none" w:sz="0" w:space="0" w:color="auto"/>
        <w:bottom w:val="none" w:sz="0" w:space="0" w:color="auto"/>
        <w:right w:val="none" w:sz="0" w:space="0" w:color="auto"/>
      </w:divBdr>
    </w:div>
    <w:div w:id="408429831">
      <w:bodyDiv w:val="1"/>
      <w:marLeft w:val="0"/>
      <w:marRight w:val="0"/>
      <w:marTop w:val="0"/>
      <w:marBottom w:val="0"/>
      <w:divBdr>
        <w:top w:val="none" w:sz="0" w:space="0" w:color="auto"/>
        <w:left w:val="none" w:sz="0" w:space="0" w:color="auto"/>
        <w:bottom w:val="none" w:sz="0" w:space="0" w:color="auto"/>
        <w:right w:val="none" w:sz="0" w:space="0" w:color="auto"/>
      </w:divBdr>
    </w:div>
    <w:div w:id="414135542">
      <w:bodyDiv w:val="1"/>
      <w:marLeft w:val="0"/>
      <w:marRight w:val="0"/>
      <w:marTop w:val="0"/>
      <w:marBottom w:val="0"/>
      <w:divBdr>
        <w:top w:val="none" w:sz="0" w:space="0" w:color="auto"/>
        <w:left w:val="none" w:sz="0" w:space="0" w:color="auto"/>
        <w:bottom w:val="none" w:sz="0" w:space="0" w:color="auto"/>
        <w:right w:val="none" w:sz="0" w:space="0" w:color="auto"/>
      </w:divBdr>
      <w:divsChild>
        <w:div w:id="1866672448">
          <w:marLeft w:val="0"/>
          <w:marRight w:val="0"/>
          <w:marTop w:val="0"/>
          <w:marBottom w:val="0"/>
          <w:divBdr>
            <w:top w:val="none" w:sz="0" w:space="0" w:color="auto"/>
            <w:left w:val="none" w:sz="0" w:space="0" w:color="auto"/>
            <w:bottom w:val="none" w:sz="0" w:space="0" w:color="auto"/>
            <w:right w:val="none" w:sz="0" w:space="0" w:color="auto"/>
          </w:divBdr>
          <w:divsChild>
            <w:div w:id="165217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99366">
      <w:bodyDiv w:val="1"/>
      <w:marLeft w:val="0"/>
      <w:marRight w:val="0"/>
      <w:marTop w:val="0"/>
      <w:marBottom w:val="0"/>
      <w:divBdr>
        <w:top w:val="none" w:sz="0" w:space="0" w:color="auto"/>
        <w:left w:val="none" w:sz="0" w:space="0" w:color="auto"/>
        <w:bottom w:val="none" w:sz="0" w:space="0" w:color="auto"/>
        <w:right w:val="none" w:sz="0" w:space="0" w:color="auto"/>
      </w:divBdr>
    </w:div>
    <w:div w:id="573902922">
      <w:bodyDiv w:val="1"/>
      <w:marLeft w:val="0"/>
      <w:marRight w:val="0"/>
      <w:marTop w:val="0"/>
      <w:marBottom w:val="0"/>
      <w:divBdr>
        <w:top w:val="none" w:sz="0" w:space="0" w:color="auto"/>
        <w:left w:val="none" w:sz="0" w:space="0" w:color="auto"/>
        <w:bottom w:val="none" w:sz="0" w:space="0" w:color="auto"/>
        <w:right w:val="none" w:sz="0" w:space="0" w:color="auto"/>
      </w:divBdr>
    </w:div>
    <w:div w:id="641621935">
      <w:bodyDiv w:val="1"/>
      <w:marLeft w:val="0"/>
      <w:marRight w:val="0"/>
      <w:marTop w:val="0"/>
      <w:marBottom w:val="0"/>
      <w:divBdr>
        <w:top w:val="none" w:sz="0" w:space="0" w:color="auto"/>
        <w:left w:val="none" w:sz="0" w:space="0" w:color="auto"/>
        <w:bottom w:val="none" w:sz="0" w:space="0" w:color="auto"/>
        <w:right w:val="none" w:sz="0" w:space="0" w:color="auto"/>
      </w:divBdr>
    </w:div>
    <w:div w:id="659382517">
      <w:bodyDiv w:val="1"/>
      <w:marLeft w:val="0"/>
      <w:marRight w:val="0"/>
      <w:marTop w:val="0"/>
      <w:marBottom w:val="0"/>
      <w:divBdr>
        <w:top w:val="none" w:sz="0" w:space="0" w:color="auto"/>
        <w:left w:val="none" w:sz="0" w:space="0" w:color="auto"/>
        <w:bottom w:val="none" w:sz="0" w:space="0" w:color="auto"/>
        <w:right w:val="none" w:sz="0" w:space="0" w:color="auto"/>
      </w:divBdr>
    </w:div>
    <w:div w:id="701368874">
      <w:bodyDiv w:val="1"/>
      <w:marLeft w:val="0"/>
      <w:marRight w:val="0"/>
      <w:marTop w:val="0"/>
      <w:marBottom w:val="0"/>
      <w:divBdr>
        <w:top w:val="none" w:sz="0" w:space="0" w:color="auto"/>
        <w:left w:val="none" w:sz="0" w:space="0" w:color="auto"/>
        <w:bottom w:val="none" w:sz="0" w:space="0" w:color="auto"/>
        <w:right w:val="none" w:sz="0" w:space="0" w:color="auto"/>
      </w:divBdr>
    </w:div>
    <w:div w:id="732461754">
      <w:bodyDiv w:val="1"/>
      <w:marLeft w:val="0"/>
      <w:marRight w:val="0"/>
      <w:marTop w:val="0"/>
      <w:marBottom w:val="0"/>
      <w:divBdr>
        <w:top w:val="none" w:sz="0" w:space="0" w:color="auto"/>
        <w:left w:val="none" w:sz="0" w:space="0" w:color="auto"/>
        <w:bottom w:val="none" w:sz="0" w:space="0" w:color="auto"/>
        <w:right w:val="none" w:sz="0" w:space="0" w:color="auto"/>
      </w:divBdr>
    </w:div>
    <w:div w:id="816922810">
      <w:bodyDiv w:val="1"/>
      <w:marLeft w:val="0"/>
      <w:marRight w:val="0"/>
      <w:marTop w:val="0"/>
      <w:marBottom w:val="0"/>
      <w:divBdr>
        <w:top w:val="none" w:sz="0" w:space="0" w:color="auto"/>
        <w:left w:val="none" w:sz="0" w:space="0" w:color="auto"/>
        <w:bottom w:val="none" w:sz="0" w:space="0" w:color="auto"/>
        <w:right w:val="none" w:sz="0" w:space="0" w:color="auto"/>
      </w:divBdr>
    </w:div>
    <w:div w:id="860625511">
      <w:bodyDiv w:val="1"/>
      <w:marLeft w:val="0"/>
      <w:marRight w:val="0"/>
      <w:marTop w:val="0"/>
      <w:marBottom w:val="0"/>
      <w:divBdr>
        <w:top w:val="none" w:sz="0" w:space="0" w:color="auto"/>
        <w:left w:val="none" w:sz="0" w:space="0" w:color="auto"/>
        <w:bottom w:val="none" w:sz="0" w:space="0" w:color="auto"/>
        <w:right w:val="none" w:sz="0" w:space="0" w:color="auto"/>
      </w:divBdr>
    </w:div>
    <w:div w:id="920798989">
      <w:bodyDiv w:val="1"/>
      <w:marLeft w:val="0"/>
      <w:marRight w:val="0"/>
      <w:marTop w:val="0"/>
      <w:marBottom w:val="0"/>
      <w:divBdr>
        <w:top w:val="none" w:sz="0" w:space="0" w:color="auto"/>
        <w:left w:val="none" w:sz="0" w:space="0" w:color="auto"/>
        <w:bottom w:val="none" w:sz="0" w:space="0" w:color="auto"/>
        <w:right w:val="none" w:sz="0" w:space="0" w:color="auto"/>
      </w:divBdr>
    </w:div>
    <w:div w:id="990597082">
      <w:bodyDiv w:val="1"/>
      <w:marLeft w:val="0"/>
      <w:marRight w:val="0"/>
      <w:marTop w:val="0"/>
      <w:marBottom w:val="0"/>
      <w:divBdr>
        <w:top w:val="none" w:sz="0" w:space="0" w:color="auto"/>
        <w:left w:val="none" w:sz="0" w:space="0" w:color="auto"/>
        <w:bottom w:val="none" w:sz="0" w:space="0" w:color="auto"/>
        <w:right w:val="none" w:sz="0" w:space="0" w:color="auto"/>
      </w:divBdr>
      <w:divsChild>
        <w:div w:id="1097218667">
          <w:marLeft w:val="0"/>
          <w:marRight w:val="0"/>
          <w:marTop w:val="0"/>
          <w:marBottom w:val="0"/>
          <w:divBdr>
            <w:top w:val="none" w:sz="0" w:space="0" w:color="auto"/>
            <w:left w:val="none" w:sz="0" w:space="0" w:color="auto"/>
            <w:bottom w:val="none" w:sz="0" w:space="0" w:color="auto"/>
            <w:right w:val="none" w:sz="0" w:space="0" w:color="auto"/>
          </w:divBdr>
          <w:divsChild>
            <w:div w:id="5315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552">
      <w:bodyDiv w:val="1"/>
      <w:marLeft w:val="0"/>
      <w:marRight w:val="0"/>
      <w:marTop w:val="0"/>
      <w:marBottom w:val="0"/>
      <w:divBdr>
        <w:top w:val="none" w:sz="0" w:space="0" w:color="auto"/>
        <w:left w:val="none" w:sz="0" w:space="0" w:color="auto"/>
        <w:bottom w:val="none" w:sz="0" w:space="0" w:color="auto"/>
        <w:right w:val="none" w:sz="0" w:space="0" w:color="auto"/>
      </w:divBdr>
    </w:div>
    <w:div w:id="1204056788">
      <w:bodyDiv w:val="1"/>
      <w:marLeft w:val="0"/>
      <w:marRight w:val="0"/>
      <w:marTop w:val="0"/>
      <w:marBottom w:val="0"/>
      <w:divBdr>
        <w:top w:val="none" w:sz="0" w:space="0" w:color="auto"/>
        <w:left w:val="none" w:sz="0" w:space="0" w:color="auto"/>
        <w:bottom w:val="none" w:sz="0" w:space="0" w:color="auto"/>
        <w:right w:val="none" w:sz="0" w:space="0" w:color="auto"/>
      </w:divBdr>
    </w:div>
    <w:div w:id="1258368011">
      <w:bodyDiv w:val="1"/>
      <w:marLeft w:val="0"/>
      <w:marRight w:val="0"/>
      <w:marTop w:val="0"/>
      <w:marBottom w:val="0"/>
      <w:divBdr>
        <w:top w:val="none" w:sz="0" w:space="0" w:color="auto"/>
        <w:left w:val="none" w:sz="0" w:space="0" w:color="auto"/>
        <w:bottom w:val="none" w:sz="0" w:space="0" w:color="auto"/>
        <w:right w:val="none" w:sz="0" w:space="0" w:color="auto"/>
      </w:divBdr>
    </w:div>
    <w:div w:id="1354654330">
      <w:bodyDiv w:val="1"/>
      <w:marLeft w:val="0"/>
      <w:marRight w:val="0"/>
      <w:marTop w:val="0"/>
      <w:marBottom w:val="0"/>
      <w:divBdr>
        <w:top w:val="none" w:sz="0" w:space="0" w:color="auto"/>
        <w:left w:val="none" w:sz="0" w:space="0" w:color="auto"/>
        <w:bottom w:val="none" w:sz="0" w:space="0" w:color="auto"/>
        <w:right w:val="none" w:sz="0" w:space="0" w:color="auto"/>
      </w:divBdr>
    </w:div>
    <w:div w:id="1505970507">
      <w:bodyDiv w:val="1"/>
      <w:marLeft w:val="0"/>
      <w:marRight w:val="0"/>
      <w:marTop w:val="0"/>
      <w:marBottom w:val="0"/>
      <w:divBdr>
        <w:top w:val="none" w:sz="0" w:space="0" w:color="auto"/>
        <w:left w:val="none" w:sz="0" w:space="0" w:color="auto"/>
        <w:bottom w:val="none" w:sz="0" w:space="0" w:color="auto"/>
        <w:right w:val="none" w:sz="0" w:space="0" w:color="auto"/>
      </w:divBdr>
    </w:div>
    <w:div w:id="1593318835">
      <w:bodyDiv w:val="1"/>
      <w:marLeft w:val="0"/>
      <w:marRight w:val="0"/>
      <w:marTop w:val="0"/>
      <w:marBottom w:val="0"/>
      <w:divBdr>
        <w:top w:val="none" w:sz="0" w:space="0" w:color="auto"/>
        <w:left w:val="none" w:sz="0" w:space="0" w:color="auto"/>
        <w:bottom w:val="none" w:sz="0" w:space="0" w:color="auto"/>
        <w:right w:val="none" w:sz="0" w:space="0" w:color="auto"/>
      </w:divBdr>
    </w:div>
    <w:div w:id="1659844567">
      <w:bodyDiv w:val="1"/>
      <w:marLeft w:val="0"/>
      <w:marRight w:val="0"/>
      <w:marTop w:val="0"/>
      <w:marBottom w:val="0"/>
      <w:divBdr>
        <w:top w:val="none" w:sz="0" w:space="0" w:color="auto"/>
        <w:left w:val="none" w:sz="0" w:space="0" w:color="auto"/>
        <w:bottom w:val="none" w:sz="0" w:space="0" w:color="auto"/>
        <w:right w:val="none" w:sz="0" w:space="0" w:color="auto"/>
      </w:divBdr>
    </w:div>
    <w:div w:id="1730105619">
      <w:bodyDiv w:val="1"/>
      <w:marLeft w:val="0"/>
      <w:marRight w:val="0"/>
      <w:marTop w:val="0"/>
      <w:marBottom w:val="0"/>
      <w:divBdr>
        <w:top w:val="none" w:sz="0" w:space="0" w:color="auto"/>
        <w:left w:val="none" w:sz="0" w:space="0" w:color="auto"/>
        <w:bottom w:val="none" w:sz="0" w:space="0" w:color="auto"/>
        <w:right w:val="none" w:sz="0" w:space="0" w:color="auto"/>
      </w:divBdr>
    </w:div>
    <w:div w:id="1919287642">
      <w:bodyDiv w:val="1"/>
      <w:marLeft w:val="0"/>
      <w:marRight w:val="0"/>
      <w:marTop w:val="0"/>
      <w:marBottom w:val="0"/>
      <w:divBdr>
        <w:top w:val="none" w:sz="0" w:space="0" w:color="auto"/>
        <w:left w:val="none" w:sz="0" w:space="0" w:color="auto"/>
        <w:bottom w:val="none" w:sz="0" w:space="0" w:color="auto"/>
        <w:right w:val="none" w:sz="0" w:space="0" w:color="auto"/>
      </w:divBdr>
    </w:div>
    <w:div w:id="1977681906">
      <w:bodyDiv w:val="1"/>
      <w:marLeft w:val="0"/>
      <w:marRight w:val="0"/>
      <w:marTop w:val="0"/>
      <w:marBottom w:val="0"/>
      <w:divBdr>
        <w:top w:val="none" w:sz="0" w:space="0" w:color="auto"/>
        <w:left w:val="none" w:sz="0" w:space="0" w:color="auto"/>
        <w:bottom w:val="none" w:sz="0" w:space="0" w:color="auto"/>
        <w:right w:val="none" w:sz="0" w:space="0" w:color="auto"/>
      </w:divBdr>
    </w:div>
    <w:div w:id="2024670061">
      <w:bodyDiv w:val="1"/>
      <w:marLeft w:val="0"/>
      <w:marRight w:val="0"/>
      <w:marTop w:val="0"/>
      <w:marBottom w:val="0"/>
      <w:divBdr>
        <w:top w:val="none" w:sz="0" w:space="0" w:color="auto"/>
        <w:left w:val="none" w:sz="0" w:space="0" w:color="auto"/>
        <w:bottom w:val="none" w:sz="0" w:space="0" w:color="auto"/>
        <w:right w:val="none" w:sz="0" w:space="0" w:color="auto"/>
      </w:divBdr>
    </w:div>
    <w:div w:id="2047637834">
      <w:bodyDiv w:val="1"/>
      <w:marLeft w:val="0"/>
      <w:marRight w:val="0"/>
      <w:marTop w:val="0"/>
      <w:marBottom w:val="0"/>
      <w:divBdr>
        <w:top w:val="none" w:sz="0" w:space="0" w:color="auto"/>
        <w:left w:val="none" w:sz="0" w:space="0" w:color="auto"/>
        <w:bottom w:val="none" w:sz="0" w:space="0" w:color="auto"/>
        <w:right w:val="none" w:sz="0" w:space="0" w:color="auto"/>
      </w:divBdr>
    </w:div>
    <w:div w:id="209659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8.png"/><Relationship Id="rId26" Type="http://schemas.openxmlformats.org/officeDocument/2006/relationships/hyperlink" Target="https://www.mfcr.cz/cs/legislativa/legislativni-dokumenty/2023/zruseni-kolkovych-znamek-v-tzv-konsolida-51307"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cid:image001.png@01D930B2.2B5B3590" TargetMode="Externa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psv.cz/web/cz/duchodova-reforma" TargetMode="External"/><Relationship Id="rId23" Type="http://schemas.openxmlformats.org/officeDocument/2006/relationships/image" Target="media/image12.emf"/><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cid:image002.png@01D930B2.2B5B359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lada.cz/assets/media-centrum/aktualne/Navrhy-NERV-na-snizeni-vydaju-a-zvyseni-prijmu.pdf" TargetMode="External"/><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mpo.cz/cz/prumysl/memorandum-o-dlouhodobe-spolupraci-v-oblasti-rozvoje-vozidel-na-zemni-plyn-pro-obdobi-do-roku-2025--23693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Odbor32\33%20P&#345;&#237;ru&#269;ky%20a%20vzory,%20sekretari&#225;t\02%20Vzory\LN_Z&#225;kon_MT.dotm"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28E8DBB-2897-4AF6-90AF-7FD367E69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LN_Zákon_MT.dotm</Template>
  <TotalTime>113</TotalTime>
  <Pages>238</Pages>
  <Words>114195</Words>
  <Characters>673755</Characters>
  <Application>Microsoft Office Word</Application>
  <DocSecurity>0</DocSecurity>
  <Lines>5614</Lines>
  <Paragraphs>1572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Šablona pro zápis návrhů zákonů</vt:lpstr>
    </vt:vector>
  </TitlesOfParts>
  <Company>MFCR</Company>
  <LinksUpToDate>false</LinksUpToDate>
  <CharactersWithSpaces>786378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Tuláček Michal Mgr.</dc:creator>
  <dc:description>Dokument původně založený na šabloně LN_Zákon verze 2.1</dc:description>
  <cp:lastModifiedBy>Kroupa Jiří JUDr.</cp:lastModifiedBy>
  <cp:revision>47</cp:revision>
  <cp:lastPrinted>2023-05-18T05:12:00Z</cp:lastPrinted>
  <dcterms:created xsi:type="dcterms:W3CDTF">2023-05-22T05:19:00Z</dcterms:created>
  <dcterms:modified xsi:type="dcterms:W3CDTF">2023-05-22T11:32:00Z</dcterms:modified>
</cp:coreProperties>
</file>